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before="185" w:line="560" w:lineRule="exact"/>
        <w:jc w:val="center"/>
        <w:rPr>
          <w:rFonts w:hint="eastAsia" w:ascii="微软雅黑" w:hAnsi="微软雅黑" w:eastAsia="微软雅黑" w:cs="微软雅黑"/>
          <w:color w:val="343434"/>
          <w:spacing w:val="9"/>
          <w:sz w:val="43"/>
          <w:szCs w:val="43"/>
          <w:lang w:val="en-US" w:eastAsia="zh-CN"/>
        </w:rPr>
      </w:pPr>
      <w:r>
        <w:rPr>
          <w:rFonts w:hint="eastAsia" w:ascii="微软雅黑" w:hAnsi="微软雅黑" w:eastAsia="微软雅黑" w:cs="微软雅黑"/>
          <w:color w:val="343434"/>
          <w:spacing w:val="10"/>
          <w:sz w:val="43"/>
          <w:szCs w:val="43"/>
          <w:lang w:val="en-US" w:eastAsia="zh-CN"/>
        </w:rPr>
        <w:t>信阳市</w:t>
      </w:r>
      <w:r>
        <w:rPr>
          <w:rFonts w:ascii="微软雅黑" w:hAnsi="微软雅黑" w:eastAsia="微软雅黑" w:cs="微软雅黑"/>
          <w:color w:val="343434"/>
          <w:spacing w:val="10"/>
          <w:sz w:val="43"/>
          <w:szCs w:val="43"/>
        </w:rPr>
        <w:t>生态环</w:t>
      </w:r>
      <w:r>
        <w:rPr>
          <w:rFonts w:ascii="微软雅黑" w:hAnsi="微软雅黑" w:eastAsia="微软雅黑" w:cs="微软雅黑"/>
          <w:color w:val="343434"/>
          <w:spacing w:val="9"/>
          <w:sz w:val="43"/>
          <w:szCs w:val="43"/>
        </w:rPr>
        <w:t>境</w:t>
      </w:r>
      <w:r>
        <w:rPr>
          <w:rFonts w:hint="eastAsia" w:ascii="微软雅黑" w:hAnsi="微软雅黑" w:eastAsia="微软雅黑" w:cs="微软雅黑"/>
          <w:color w:val="343434"/>
          <w:spacing w:val="9"/>
          <w:sz w:val="43"/>
          <w:szCs w:val="43"/>
          <w:lang w:val="en-US" w:eastAsia="zh-CN"/>
        </w:rPr>
        <w:t>局</w:t>
      </w:r>
      <w:r>
        <w:rPr>
          <w:rFonts w:ascii="微软雅黑" w:hAnsi="微软雅黑" w:eastAsia="微软雅黑" w:cs="微软雅黑"/>
          <w:color w:val="343434"/>
          <w:spacing w:val="10"/>
          <w:sz w:val="43"/>
          <w:szCs w:val="43"/>
        </w:rPr>
        <w:t>重大行</w:t>
      </w:r>
      <w:r>
        <w:rPr>
          <w:rFonts w:ascii="微软雅黑" w:hAnsi="微软雅黑" w:eastAsia="微软雅黑" w:cs="微软雅黑"/>
          <w:color w:val="343434"/>
          <w:spacing w:val="9"/>
          <w:sz w:val="43"/>
          <w:szCs w:val="43"/>
        </w:rPr>
        <w:t>政执法决定法制审核目录</w:t>
      </w:r>
      <w:r>
        <w:rPr>
          <w:rFonts w:hint="eastAsia" w:ascii="微软雅黑" w:hAnsi="微软雅黑" w:eastAsia="微软雅黑" w:cs="微软雅黑"/>
          <w:color w:val="343434"/>
          <w:spacing w:val="9"/>
          <w:sz w:val="43"/>
          <w:szCs w:val="43"/>
          <w:lang w:val="en-US" w:eastAsia="zh-CN"/>
        </w:rPr>
        <w:t>清单</w:t>
      </w:r>
    </w:p>
    <w:tbl>
      <w:tblPr>
        <w:tblStyle w:val="9"/>
        <w:tblpPr w:leftFromText="180" w:rightFromText="180" w:vertAnchor="text" w:horzAnchor="page" w:tblpX="1469" w:tblpY="403"/>
        <w:tblOverlap w:val="never"/>
        <w:tblW w:w="1392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335"/>
        <w:gridCol w:w="8280"/>
        <w:gridCol w:w="38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="186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lang w:val="en-US" w:eastAsia="zh-CN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="186" w:line="56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lang w:val="en-US" w:eastAsia="zh-CN"/>
              </w:rPr>
              <w:t>重大行政执法类别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="186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lang w:val="en-US" w:eastAsia="zh-CN"/>
              </w:rPr>
              <w:t>法制审核目录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="186"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lang w:val="en-US" w:eastAsia="zh-CN"/>
              </w:rPr>
              <w:t>审核内容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0" w:hRule="atLeast"/>
        </w:trPr>
        <w:tc>
          <w:tcPr>
            <w:tcW w:w="465" w:type="dxa"/>
            <w:vAlign w:val="center"/>
          </w:tcPr>
          <w:p>
            <w:pPr>
              <w:spacing w:before="186" w:line="23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spacing w:before="186" w:line="23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行政处罚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（一）涉及重大公共利益，可能造成重大社会影响或者引发社会风险；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（二）直接关系当事人或者第三人重大权益，经过听证程序的；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（三）案件情况疑难复杂、涉及多个法律关系的；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（四）以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人民政府名义作出行政执法决定的；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（五）对公民处以一万元以上、对法人或者其他组织处以十万元以上罚款的；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（六）对公民、法人或者其他组织作出没收违法所得、没收非法财物价值达到第（五）项规定的数额的；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（七）降低资质等级、吊销许可证件的；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（八）责令停产停业、责令关闭、限制从业的；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（九）法律、法规规定应当进行法制审核的其他情形。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一）审核行政处罚主体是否合法，行政执法人员是否具备执法资格;（二）行政处罚程序是否合法;（三）案件事实是否清楚，证据是否合法充分;（四）适用法律、法规、规章是否准确，裁量基准运用是否适当;（五）执法是否超越执法机关法定权限;（六）行政执法文书是否完备、规范;（七）违法行为是否涉嫌犯罪、需要移送司法机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465" w:type="dxa"/>
            <w:vAlign w:val="center"/>
          </w:tcPr>
          <w:p>
            <w:pPr>
              <w:spacing w:before="186" w:line="23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spacing w:before="186" w:line="23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行政许可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涉及重大公共利益，可能造成重大社会影响或者引发社会风险的；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直接关系当事人或者第三人重大权益，经过听证程序的；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（三）案件情况疑难复杂、涉及多个法律关系的；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（四）法律、法规、规章规定应当进行法制审核的其他情形。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审核行政许可主体是否合法，行政执法人员是否具备执法资格;（二）实施行政许可的依据是否合法有效;（三）办理行政许可的期限是否符合法律规定;（四）行政许可申请是否符合法定条件、标准;（五）行政许可程序是否合法、完整，决定是否适当;（六）行政许可文书是否完备、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465" w:type="dxa"/>
            <w:vAlign w:val="center"/>
          </w:tcPr>
          <w:p>
            <w:pPr>
              <w:spacing w:before="186" w:line="23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spacing w:before="186" w:line="23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行政强制</w:t>
            </w:r>
          </w:p>
        </w:tc>
        <w:tc>
          <w:tcPr>
            <w:tcW w:w="8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（一）涉及重大公共利益，可能造成重大社会影响或者引发社会风险的；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（二）直接关系当事人或者第三人重大权益，经过听证程序的；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（三）案件情况疑难复杂、涉及多个法律关系的；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（四）以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人民政府名义作出行政执法决定的；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（五）决定代履行、代治理的；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（六）查封、扣押公民的有关设施、设备、物品，涉案价值 20 万元以上的；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（七）查封、扣押法人或者其他组织的有关设施、设备、物品，涉案价值100 万元以上的；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（八）做出强制拆除违法设施、设备决定的；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（九）申请人民法院强制执行的；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（十）法律、法规、规章规定应当进行法制审核的其他情形。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一）审核行政强制主体是否合法，行政执法人员是否具备执法资格;（二）实施主体是否合法，是否超越职权;（三）行政强制是否有法律、法规依据;（四）行政强制程序是否合法、完整，决定是否适当;（五）行政强制文书是否完备、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65" w:type="dxa"/>
            <w:vAlign w:val="center"/>
          </w:tcPr>
          <w:p>
            <w:pPr>
              <w:spacing w:before="186" w:line="23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spacing w:before="186" w:line="230" w:lineRule="auto"/>
              <w:ind w:firstLine="113" w:firstLineChars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其他事项</w:t>
            </w:r>
          </w:p>
        </w:tc>
        <w:tc>
          <w:tcPr>
            <w:tcW w:w="8280" w:type="dxa"/>
            <w:vAlign w:val="center"/>
          </w:tcPr>
          <w:p>
            <w:pPr>
              <w:spacing w:before="186" w:line="230" w:lineRule="auto"/>
              <w:ind w:firstLine="113" w:firstLineChars="0"/>
              <w:jc w:val="both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经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党组会、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局长办公会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讨论认为需要进行法制审核的执法事项。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是否属于本机关的职权范围；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事实是否清楚，证据是否确凿；适用法律是否正确；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是否符合法定程序；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行政执法裁量基准适用是否恰当；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行政执法文书是否规范齐备；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其他需要审核的内容。</w:t>
            </w: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Dg4ZTcxNmE4ODRiMTBhNTk0MDE3ODY1MTcxZDIifQ=="/>
  </w:docVars>
  <w:rsids>
    <w:rsidRoot w:val="7F6E63CE"/>
    <w:rsid w:val="6D3F4D60"/>
    <w:rsid w:val="7F6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600" w:lineRule="exact"/>
      <w:ind w:firstLine="88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Body Text"/>
    <w:basedOn w:val="1"/>
    <w:next w:val="4"/>
    <w:semiHidden/>
    <w:unhideWhenUsed/>
    <w:qFormat/>
    <w:uiPriority w:val="99"/>
    <w:pPr>
      <w:spacing w:after="120"/>
    </w:pPr>
  </w:style>
  <w:style w:type="paragraph" w:customStyle="1" w:styleId="4">
    <w:name w:val="Body Text 2_050de59c-084d-4175-9105-ef8c1c28e700"/>
    <w:basedOn w:val="1"/>
    <w:qFormat/>
    <w:uiPriority w:val="0"/>
    <w:pPr>
      <w:spacing w:after="120" w:line="480" w:lineRule="auto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1196</Words>
  <Characters>1199</Characters>
  <Lines>0</Lines>
  <Paragraphs>0</Paragraphs>
  <TotalTime>0</TotalTime>
  <ScaleCrop>false</ScaleCrop>
  <LinksUpToDate>false</LinksUpToDate>
  <CharactersWithSpaces>1202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2022-06-16T08:44:00Z</dcterms:created>
  <dc:creator>信阳～牛律师℡18237620816</dc:creator>
  <cp:lastModifiedBy>信阳～牛律师℡18237620816</cp:lastModifiedBy>
  <dcterms:modified xsi:type="dcterms:W3CDTF">2022-06-16T08:46:01Z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EC05F69B17D14E7A94D30916C4154E7F</vt:lpwstr>
  </property>
</Properties>
</file>