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  <w:t>信阳市生态环境综合行政执法支队2022年第4季度</w:t>
      </w:r>
    </w:p>
    <w:p>
      <w:pPr>
        <w:jc w:val="center"/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  <w:t>双随机抽查情况公示</w:t>
      </w:r>
    </w:p>
    <w:p>
      <w:pPr>
        <w:jc w:val="center"/>
        <w:rPr>
          <w:rFonts w:hint="eastAsia" w:ascii="宋体" w:hAnsi="宋体" w:eastAsia="宋体" w:cs="宋体"/>
          <w:b w:val="0"/>
          <w:bCs/>
          <w:color w:val="auto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关于认真贯彻落实生态环境“双随机、一公开监管制度的通知》（豫环办〔2022〕47号）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信阳市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污染源日常监管“双随机、一公开”工作实施细则（试行）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等文件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要求，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信阳市生态环境综合行政执法支队2022年第4季度从污染源动态数据库随机抽取一般排污单位34家、重点排污单位8家、特殊监管单位3家开展现场检查，符合抽查规定比例。双随机现场检查和远程检查中，发现存在环境管理问题企业5家，已要求企业立行立改、限期整改。</w:t>
      </w:r>
    </w:p>
    <w:p>
      <w:pPr>
        <w:ind w:firstLine="68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信阳市生态环境综合行政执法支队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2023年1月3日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2NlNTYzZGJhZTgwNzdkMjI1ZDJiODU5OGRmMWQifQ=="/>
  </w:docVars>
  <w:rsids>
    <w:rsidRoot w:val="00000000"/>
    <w:rsid w:val="4E297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2023-01-05T08:41:54Z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3BE6B7EA6F9747788294A1741B0926A1</vt:lpwstr>
  </property>
</Properties>
</file>