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E0394">
      <w:pPr>
        <w:pStyle w:val="6"/>
        <w:spacing w:line="296" w:lineRule="auto"/>
        <w:rPr>
          <w:color w:val="auto"/>
          <w:highlight w:val="none"/>
        </w:rPr>
      </w:pPr>
    </w:p>
    <w:p w14:paraId="0552E471">
      <w:pPr>
        <w:pStyle w:val="6"/>
        <w:spacing w:line="296" w:lineRule="auto"/>
        <w:rPr>
          <w:color w:val="auto"/>
          <w:highlight w:val="none"/>
        </w:rPr>
      </w:pPr>
    </w:p>
    <w:p w14:paraId="16D6A6AA">
      <w:pPr>
        <w:pStyle w:val="6"/>
        <w:spacing w:line="296" w:lineRule="auto"/>
        <w:rPr>
          <w:color w:val="auto"/>
          <w:highlight w:val="none"/>
        </w:rPr>
      </w:pPr>
    </w:p>
    <w:p w14:paraId="1D0E64E3">
      <w:pPr>
        <w:pStyle w:val="6"/>
        <w:spacing w:line="296" w:lineRule="auto"/>
        <w:rPr>
          <w:color w:val="auto"/>
          <w:highlight w:val="none"/>
        </w:rPr>
      </w:pPr>
    </w:p>
    <w:p w14:paraId="104F71AB">
      <w:pPr>
        <w:spacing w:before="169" w:line="221" w:lineRule="auto"/>
        <w:jc w:val="center"/>
        <w:rPr>
          <w:rFonts w:ascii="黑体" w:hAnsi="黑体" w:eastAsia="黑体" w:cs="黑体"/>
          <w:color w:val="auto"/>
          <w:sz w:val="52"/>
          <w:szCs w:val="52"/>
          <w:highlight w:val="none"/>
          <w:lang w:eastAsia="zh-CN"/>
        </w:rPr>
      </w:pPr>
      <w:r>
        <w:rPr>
          <w:rFonts w:hint="eastAsia" w:ascii="黑体" w:hAnsi="黑体" w:eastAsia="黑体" w:cs="黑体"/>
          <w:color w:val="auto"/>
          <w:sz w:val="52"/>
          <w:szCs w:val="52"/>
          <w:highlight w:val="none"/>
          <w:lang w:eastAsia="zh-CN"/>
        </w:rPr>
        <w:t>信阳市中心城区路检路查及入户检查重型货车检测服务项目</w:t>
      </w:r>
    </w:p>
    <w:p w14:paraId="18CBBE3B">
      <w:pPr>
        <w:spacing w:before="309" w:line="224" w:lineRule="auto"/>
        <w:ind w:left="2396"/>
        <w:outlineLvl w:val="0"/>
        <w:rPr>
          <w:rFonts w:ascii="黑体" w:hAnsi="黑体" w:eastAsia="黑体" w:cs="黑体"/>
          <w:color w:val="auto"/>
          <w:sz w:val="83"/>
          <w:szCs w:val="83"/>
          <w:highlight w:val="none"/>
          <w:lang w:eastAsia="zh-CN"/>
        </w:rPr>
      </w:pPr>
      <w:r>
        <w:rPr>
          <w:rFonts w:ascii="黑体" w:hAnsi="黑体" w:eastAsia="黑体" w:cs="黑体"/>
          <w:color w:val="auto"/>
          <w:spacing w:val="-9"/>
          <w:sz w:val="83"/>
          <w:szCs w:val="83"/>
          <w:highlight w:val="none"/>
          <w:lang w:eastAsia="zh-CN"/>
        </w:rPr>
        <w:t>比选文件</w:t>
      </w:r>
    </w:p>
    <w:p w14:paraId="55306D88">
      <w:pPr>
        <w:pStyle w:val="6"/>
        <w:spacing w:line="241" w:lineRule="auto"/>
        <w:rPr>
          <w:color w:val="auto"/>
          <w:highlight w:val="none"/>
          <w:lang w:eastAsia="zh-CN"/>
        </w:rPr>
      </w:pPr>
    </w:p>
    <w:p w14:paraId="1520EB08">
      <w:pPr>
        <w:pStyle w:val="6"/>
        <w:spacing w:line="241" w:lineRule="auto"/>
        <w:rPr>
          <w:color w:val="auto"/>
          <w:highlight w:val="none"/>
          <w:lang w:eastAsia="zh-CN"/>
        </w:rPr>
      </w:pPr>
    </w:p>
    <w:p w14:paraId="1241FF76">
      <w:pPr>
        <w:pStyle w:val="6"/>
        <w:spacing w:line="241" w:lineRule="auto"/>
        <w:rPr>
          <w:color w:val="auto"/>
          <w:highlight w:val="none"/>
          <w:lang w:eastAsia="zh-CN"/>
        </w:rPr>
      </w:pPr>
    </w:p>
    <w:p w14:paraId="5586BE0E">
      <w:pPr>
        <w:pStyle w:val="6"/>
        <w:spacing w:line="241" w:lineRule="auto"/>
        <w:rPr>
          <w:color w:val="auto"/>
          <w:highlight w:val="none"/>
          <w:lang w:eastAsia="zh-CN"/>
        </w:rPr>
      </w:pPr>
    </w:p>
    <w:p w14:paraId="495DF742">
      <w:pPr>
        <w:pStyle w:val="6"/>
        <w:spacing w:line="241" w:lineRule="auto"/>
        <w:rPr>
          <w:color w:val="auto"/>
          <w:highlight w:val="none"/>
          <w:lang w:eastAsia="zh-CN"/>
        </w:rPr>
      </w:pPr>
    </w:p>
    <w:p w14:paraId="0242AF28">
      <w:pPr>
        <w:pStyle w:val="6"/>
        <w:spacing w:line="241" w:lineRule="auto"/>
        <w:rPr>
          <w:color w:val="auto"/>
          <w:highlight w:val="none"/>
          <w:lang w:eastAsia="zh-CN"/>
        </w:rPr>
      </w:pPr>
    </w:p>
    <w:p w14:paraId="2C2BC37B">
      <w:pPr>
        <w:pStyle w:val="6"/>
        <w:spacing w:line="241" w:lineRule="auto"/>
        <w:rPr>
          <w:color w:val="auto"/>
          <w:highlight w:val="none"/>
          <w:lang w:eastAsia="zh-CN"/>
        </w:rPr>
      </w:pPr>
    </w:p>
    <w:p w14:paraId="64275E8E">
      <w:pPr>
        <w:pStyle w:val="6"/>
        <w:spacing w:line="241" w:lineRule="auto"/>
        <w:rPr>
          <w:color w:val="auto"/>
          <w:highlight w:val="none"/>
          <w:lang w:eastAsia="zh-CN"/>
        </w:rPr>
      </w:pPr>
    </w:p>
    <w:p w14:paraId="5992618C">
      <w:pPr>
        <w:pStyle w:val="6"/>
        <w:spacing w:line="241" w:lineRule="auto"/>
        <w:rPr>
          <w:color w:val="auto"/>
          <w:highlight w:val="none"/>
          <w:lang w:eastAsia="zh-CN"/>
        </w:rPr>
      </w:pPr>
    </w:p>
    <w:p w14:paraId="736E3BCC">
      <w:pPr>
        <w:pStyle w:val="6"/>
        <w:spacing w:line="241" w:lineRule="auto"/>
        <w:rPr>
          <w:color w:val="auto"/>
          <w:highlight w:val="none"/>
          <w:lang w:eastAsia="zh-CN"/>
        </w:rPr>
      </w:pPr>
    </w:p>
    <w:p w14:paraId="2A5CB3FA">
      <w:pPr>
        <w:pStyle w:val="6"/>
        <w:spacing w:line="241" w:lineRule="auto"/>
        <w:rPr>
          <w:color w:val="auto"/>
          <w:highlight w:val="none"/>
          <w:lang w:eastAsia="zh-CN"/>
        </w:rPr>
      </w:pPr>
    </w:p>
    <w:p w14:paraId="50BB3645">
      <w:pPr>
        <w:pStyle w:val="6"/>
        <w:spacing w:line="241" w:lineRule="auto"/>
        <w:rPr>
          <w:color w:val="auto"/>
          <w:highlight w:val="none"/>
          <w:lang w:eastAsia="zh-CN"/>
        </w:rPr>
      </w:pPr>
    </w:p>
    <w:p w14:paraId="3734B2D2">
      <w:pPr>
        <w:pStyle w:val="6"/>
        <w:spacing w:line="241" w:lineRule="auto"/>
        <w:rPr>
          <w:color w:val="auto"/>
          <w:highlight w:val="none"/>
          <w:lang w:eastAsia="zh-CN"/>
        </w:rPr>
      </w:pPr>
    </w:p>
    <w:p w14:paraId="17219B2F">
      <w:pPr>
        <w:pStyle w:val="6"/>
        <w:spacing w:line="241" w:lineRule="auto"/>
        <w:rPr>
          <w:color w:val="auto"/>
          <w:highlight w:val="none"/>
          <w:lang w:eastAsia="zh-CN"/>
        </w:rPr>
      </w:pPr>
    </w:p>
    <w:p w14:paraId="67ACEC51">
      <w:pPr>
        <w:pStyle w:val="6"/>
        <w:spacing w:line="241" w:lineRule="auto"/>
        <w:rPr>
          <w:color w:val="auto"/>
          <w:highlight w:val="none"/>
          <w:lang w:eastAsia="zh-CN"/>
        </w:rPr>
      </w:pPr>
    </w:p>
    <w:p w14:paraId="66BD92AE">
      <w:pPr>
        <w:pStyle w:val="6"/>
        <w:spacing w:line="241" w:lineRule="auto"/>
        <w:rPr>
          <w:color w:val="auto"/>
          <w:highlight w:val="none"/>
          <w:lang w:eastAsia="zh-CN"/>
        </w:rPr>
      </w:pPr>
    </w:p>
    <w:p w14:paraId="11A26A2E">
      <w:pPr>
        <w:pStyle w:val="6"/>
        <w:spacing w:line="241" w:lineRule="auto"/>
        <w:rPr>
          <w:color w:val="auto"/>
          <w:highlight w:val="none"/>
          <w:lang w:eastAsia="zh-CN"/>
        </w:rPr>
      </w:pPr>
    </w:p>
    <w:p w14:paraId="4913C7C2">
      <w:pPr>
        <w:pStyle w:val="6"/>
        <w:spacing w:line="241" w:lineRule="auto"/>
        <w:rPr>
          <w:color w:val="auto"/>
          <w:highlight w:val="none"/>
          <w:lang w:eastAsia="zh-CN"/>
        </w:rPr>
      </w:pPr>
    </w:p>
    <w:p w14:paraId="64764EA2">
      <w:pPr>
        <w:pStyle w:val="6"/>
        <w:spacing w:line="241" w:lineRule="auto"/>
        <w:rPr>
          <w:color w:val="auto"/>
          <w:highlight w:val="none"/>
          <w:lang w:eastAsia="zh-CN"/>
        </w:rPr>
      </w:pPr>
    </w:p>
    <w:p w14:paraId="1B05C066">
      <w:pPr>
        <w:pStyle w:val="6"/>
        <w:spacing w:line="241" w:lineRule="auto"/>
        <w:rPr>
          <w:color w:val="auto"/>
          <w:highlight w:val="none"/>
          <w:lang w:eastAsia="zh-CN"/>
        </w:rPr>
      </w:pPr>
    </w:p>
    <w:p w14:paraId="6D34E5D6">
      <w:pPr>
        <w:pStyle w:val="6"/>
        <w:spacing w:line="241" w:lineRule="auto"/>
        <w:rPr>
          <w:color w:val="auto"/>
          <w:highlight w:val="none"/>
          <w:lang w:eastAsia="zh-CN"/>
        </w:rPr>
      </w:pPr>
    </w:p>
    <w:p w14:paraId="4B50A3A9">
      <w:pPr>
        <w:pStyle w:val="6"/>
        <w:spacing w:line="241" w:lineRule="auto"/>
        <w:rPr>
          <w:color w:val="auto"/>
          <w:highlight w:val="none"/>
          <w:lang w:eastAsia="zh-CN"/>
        </w:rPr>
      </w:pPr>
    </w:p>
    <w:p w14:paraId="72BA4579">
      <w:pPr>
        <w:pStyle w:val="6"/>
        <w:spacing w:line="241" w:lineRule="auto"/>
        <w:rPr>
          <w:color w:val="auto"/>
          <w:highlight w:val="none"/>
          <w:lang w:eastAsia="zh-CN"/>
        </w:rPr>
      </w:pPr>
    </w:p>
    <w:p w14:paraId="01299855">
      <w:pPr>
        <w:pStyle w:val="6"/>
        <w:spacing w:line="241" w:lineRule="auto"/>
        <w:rPr>
          <w:color w:val="auto"/>
          <w:highlight w:val="none"/>
          <w:lang w:eastAsia="zh-CN"/>
        </w:rPr>
      </w:pPr>
    </w:p>
    <w:p w14:paraId="640B9ADF">
      <w:pPr>
        <w:pStyle w:val="6"/>
        <w:spacing w:line="241" w:lineRule="auto"/>
        <w:rPr>
          <w:color w:val="auto"/>
          <w:highlight w:val="none"/>
          <w:lang w:eastAsia="zh-CN"/>
        </w:rPr>
      </w:pPr>
    </w:p>
    <w:p w14:paraId="4FAE9DAC">
      <w:pPr>
        <w:pStyle w:val="6"/>
        <w:spacing w:line="241" w:lineRule="auto"/>
        <w:rPr>
          <w:color w:val="auto"/>
          <w:highlight w:val="none"/>
          <w:lang w:eastAsia="zh-CN"/>
        </w:rPr>
      </w:pPr>
    </w:p>
    <w:p w14:paraId="0F240177">
      <w:pPr>
        <w:pStyle w:val="6"/>
        <w:spacing w:line="241" w:lineRule="auto"/>
        <w:rPr>
          <w:color w:val="auto"/>
          <w:highlight w:val="none"/>
          <w:lang w:eastAsia="zh-CN"/>
        </w:rPr>
      </w:pPr>
    </w:p>
    <w:p w14:paraId="719F6639">
      <w:pPr>
        <w:pStyle w:val="6"/>
        <w:spacing w:line="242" w:lineRule="auto"/>
        <w:rPr>
          <w:color w:val="auto"/>
          <w:highlight w:val="none"/>
          <w:lang w:eastAsia="zh-CN"/>
        </w:rPr>
      </w:pPr>
    </w:p>
    <w:p w14:paraId="61A9090C">
      <w:pPr>
        <w:pStyle w:val="6"/>
        <w:spacing w:line="242" w:lineRule="auto"/>
        <w:rPr>
          <w:color w:val="auto"/>
          <w:highlight w:val="none"/>
          <w:lang w:eastAsia="zh-CN"/>
        </w:rPr>
      </w:pPr>
    </w:p>
    <w:p w14:paraId="57716B17">
      <w:pPr>
        <w:pStyle w:val="6"/>
        <w:spacing w:line="242" w:lineRule="auto"/>
        <w:rPr>
          <w:color w:val="auto"/>
          <w:highlight w:val="none"/>
          <w:lang w:eastAsia="zh-CN"/>
        </w:rPr>
      </w:pPr>
    </w:p>
    <w:p w14:paraId="21F4ABE6">
      <w:pPr>
        <w:pStyle w:val="6"/>
        <w:spacing w:line="242" w:lineRule="auto"/>
        <w:rPr>
          <w:color w:val="auto"/>
          <w:highlight w:val="none"/>
          <w:lang w:eastAsia="zh-CN"/>
        </w:rPr>
      </w:pPr>
    </w:p>
    <w:p w14:paraId="5D91D2CE">
      <w:pPr>
        <w:spacing w:before="114" w:line="227" w:lineRule="auto"/>
        <w:jc w:val="center"/>
        <w:rPr>
          <w:rFonts w:ascii="黑体" w:hAnsi="黑体" w:eastAsia="黑体" w:cs="黑体"/>
          <w:color w:val="auto"/>
          <w:sz w:val="35"/>
          <w:szCs w:val="35"/>
          <w:highlight w:val="none"/>
          <w:lang w:eastAsia="zh-CN"/>
        </w:rPr>
      </w:pPr>
      <w:r>
        <w:rPr>
          <w:rFonts w:ascii="黑体" w:hAnsi="黑体" w:eastAsia="黑体" w:cs="黑体"/>
          <w:color w:val="auto"/>
          <w:spacing w:val="8"/>
          <w:sz w:val="35"/>
          <w:szCs w:val="35"/>
          <w:highlight w:val="none"/>
          <w:lang w:eastAsia="zh-CN"/>
        </w:rPr>
        <w:t>信阳市生态环境局</w:t>
      </w:r>
    </w:p>
    <w:p w14:paraId="1EDA2FDC">
      <w:pPr>
        <w:pStyle w:val="6"/>
        <w:spacing w:line="321" w:lineRule="auto"/>
        <w:rPr>
          <w:color w:val="auto"/>
          <w:highlight w:val="none"/>
          <w:lang w:eastAsia="zh-CN"/>
        </w:rPr>
      </w:pPr>
    </w:p>
    <w:p w14:paraId="497FDA7E">
      <w:pPr>
        <w:spacing w:before="113" w:line="228" w:lineRule="auto"/>
        <w:jc w:val="center"/>
        <w:rPr>
          <w:rFonts w:ascii="黑体" w:hAnsi="黑体" w:eastAsia="黑体" w:cs="黑体"/>
          <w:color w:val="auto"/>
          <w:sz w:val="35"/>
          <w:szCs w:val="35"/>
          <w:highlight w:val="none"/>
          <w:lang w:eastAsia="zh-CN"/>
        </w:rPr>
      </w:pPr>
      <w:r>
        <w:rPr>
          <w:rFonts w:ascii="黑体" w:hAnsi="黑体" w:eastAsia="黑体" w:cs="黑体"/>
          <w:color w:val="auto"/>
          <w:spacing w:val="2"/>
          <w:sz w:val="35"/>
          <w:szCs w:val="35"/>
          <w:highlight w:val="none"/>
          <w:lang w:eastAsia="zh-CN"/>
        </w:rPr>
        <w:t>二O二</w:t>
      </w:r>
      <w:r>
        <w:rPr>
          <w:rFonts w:hint="eastAsia" w:ascii="黑体" w:hAnsi="黑体" w:eastAsia="黑体" w:cs="黑体"/>
          <w:color w:val="auto"/>
          <w:spacing w:val="2"/>
          <w:sz w:val="35"/>
          <w:szCs w:val="35"/>
          <w:highlight w:val="none"/>
          <w:lang w:eastAsia="zh-CN"/>
        </w:rPr>
        <w:t>四</w:t>
      </w:r>
      <w:r>
        <w:rPr>
          <w:rFonts w:ascii="黑体" w:hAnsi="黑体" w:eastAsia="黑体" w:cs="黑体"/>
          <w:color w:val="auto"/>
          <w:spacing w:val="2"/>
          <w:sz w:val="35"/>
          <w:szCs w:val="35"/>
          <w:highlight w:val="none"/>
          <w:lang w:eastAsia="zh-CN"/>
        </w:rPr>
        <w:t>年</w:t>
      </w:r>
      <w:r>
        <w:rPr>
          <w:rFonts w:hint="eastAsia" w:ascii="黑体" w:hAnsi="黑体" w:eastAsia="黑体" w:cs="黑体"/>
          <w:color w:val="auto"/>
          <w:spacing w:val="2"/>
          <w:sz w:val="35"/>
          <w:szCs w:val="35"/>
          <w:highlight w:val="none"/>
          <w:lang w:eastAsia="zh-CN"/>
        </w:rPr>
        <w:t>十二</w:t>
      </w:r>
      <w:r>
        <w:rPr>
          <w:rFonts w:ascii="黑体" w:hAnsi="黑体" w:eastAsia="黑体" w:cs="黑体"/>
          <w:color w:val="auto"/>
          <w:spacing w:val="2"/>
          <w:sz w:val="35"/>
          <w:szCs w:val="35"/>
          <w:highlight w:val="none"/>
          <w:lang w:eastAsia="zh-CN"/>
        </w:rPr>
        <w:t>月</w:t>
      </w:r>
    </w:p>
    <w:p w14:paraId="2072AA5B">
      <w:pPr>
        <w:spacing w:line="228" w:lineRule="auto"/>
        <w:rPr>
          <w:rFonts w:ascii="黑体" w:hAnsi="黑体" w:eastAsia="黑体" w:cs="黑体"/>
          <w:color w:val="auto"/>
          <w:sz w:val="35"/>
          <w:szCs w:val="35"/>
          <w:highlight w:val="none"/>
          <w:lang w:eastAsia="zh-CN"/>
        </w:rPr>
        <w:sectPr>
          <w:pgSz w:w="11906" w:h="16839"/>
          <w:pgMar w:top="1440" w:right="1800" w:bottom="1440" w:left="1800" w:header="0" w:footer="0" w:gutter="0"/>
          <w:cols w:space="720" w:num="1"/>
        </w:sectPr>
      </w:pPr>
    </w:p>
    <w:p w14:paraId="631FAD87">
      <w:pPr>
        <w:spacing w:before="150" w:line="171" w:lineRule="auto"/>
        <w:ind w:left="4108"/>
        <w:rPr>
          <w:rFonts w:ascii="微软雅黑" w:hAnsi="微软雅黑" w:eastAsia="微软雅黑" w:cs="微软雅黑"/>
          <w:color w:val="auto"/>
          <w:sz w:val="35"/>
          <w:szCs w:val="35"/>
          <w:highlight w:val="none"/>
          <w:lang w:eastAsia="zh-CN"/>
        </w:rPr>
      </w:pPr>
      <w:r>
        <w:rPr>
          <w:rFonts w:ascii="微软雅黑" w:hAnsi="微软雅黑" w:eastAsia="微软雅黑" w:cs="微软雅黑"/>
          <w:color w:val="auto"/>
          <w:spacing w:val="-28"/>
          <w:sz w:val="35"/>
          <w:szCs w:val="35"/>
          <w:highlight w:val="none"/>
          <w:lang w:eastAsia="zh-CN"/>
        </w:rPr>
        <w:t>目录</w:t>
      </w:r>
    </w:p>
    <w:p w14:paraId="042FFE21">
      <w:pPr>
        <w:pStyle w:val="6"/>
        <w:spacing w:line="342" w:lineRule="auto"/>
        <w:rPr>
          <w:color w:val="auto"/>
          <w:highlight w:val="none"/>
          <w:lang w:eastAsia="zh-CN"/>
        </w:rPr>
      </w:pPr>
    </w:p>
    <w:p w14:paraId="61F0D947">
      <w:pPr>
        <w:pStyle w:val="6"/>
        <w:spacing w:line="342" w:lineRule="auto"/>
        <w:rPr>
          <w:color w:val="auto"/>
          <w:highlight w:val="none"/>
          <w:lang w:eastAsia="zh-CN"/>
        </w:rPr>
      </w:pPr>
    </w:p>
    <w:p w14:paraId="6C882730">
      <w:pPr>
        <w:spacing w:before="101" w:line="600" w:lineRule="exact"/>
        <w:rPr>
          <w:rFonts w:ascii="仿宋" w:hAnsi="仿宋" w:eastAsia="仿宋" w:cs="仿宋"/>
          <w:color w:val="auto"/>
          <w:sz w:val="31"/>
          <w:szCs w:val="31"/>
          <w:highlight w:val="none"/>
          <w:lang w:eastAsia="zh-CN"/>
        </w:rPr>
      </w:pPr>
      <w:r>
        <w:rPr>
          <w:rFonts w:ascii="仿宋" w:hAnsi="仿宋" w:eastAsia="仿宋" w:cs="仿宋"/>
          <w:color w:val="auto"/>
          <w:position w:val="21"/>
          <w:sz w:val="31"/>
          <w:szCs w:val="31"/>
          <w:highlight w:val="none"/>
          <w:lang w:eastAsia="zh-CN"/>
        </w:rPr>
        <w:t>第一章</w:t>
      </w:r>
      <w:r>
        <w:rPr>
          <w:rFonts w:hint="eastAsia" w:ascii="仿宋" w:hAnsi="仿宋" w:eastAsia="仿宋" w:cs="仿宋"/>
          <w:color w:val="auto"/>
          <w:position w:val="21"/>
          <w:sz w:val="31"/>
          <w:szCs w:val="31"/>
          <w:highlight w:val="none"/>
          <w:lang w:val="en-US" w:eastAsia="zh-CN"/>
        </w:rPr>
        <w:t xml:space="preserve"> </w:t>
      </w:r>
      <w:r>
        <w:rPr>
          <w:rFonts w:ascii="仿宋" w:hAnsi="仿宋" w:eastAsia="仿宋" w:cs="仿宋"/>
          <w:color w:val="auto"/>
          <w:position w:val="21"/>
          <w:sz w:val="31"/>
          <w:szCs w:val="31"/>
          <w:highlight w:val="none"/>
          <w:lang w:eastAsia="zh-CN"/>
        </w:rPr>
        <w:t>比选招标公告</w:t>
      </w:r>
    </w:p>
    <w:p w14:paraId="62EB09A0">
      <w:pPr>
        <w:spacing w:line="222" w:lineRule="auto"/>
        <w:rPr>
          <w:rFonts w:ascii="仿宋" w:hAnsi="仿宋" w:eastAsia="仿宋" w:cs="仿宋"/>
          <w:color w:val="auto"/>
          <w:sz w:val="31"/>
          <w:szCs w:val="31"/>
          <w:highlight w:val="none"/>
          <w:lang w:eastAsia="zh-CN"/>
        </w:rPr>
      </w:pPr>
      <w:r>
        <w:rPr>
          <w:rFonts w:ascii="仿宋" w:hAnsi="仿宋" w:eastAsia="仿宋" w:cs="仿宋"/>
          <w:color w:val="auto"/>
          <w:spacing w:val="6"/>
          <w:sz w:val="31"/>
          <w:szCs w:val="31"/>
          <w:highlight w:val="none"/>
          <w:lang w:eastAsia="zh-CN"/>
        </w:rPr>
        <w:t>第二章 投标人须知</w:t>
      </w:r>
    </w:p>
    <w:p w14:paraId="00AF75AB">
      <w:pPr>
        <w:spacing w:before="227" w:line="222" w:lineRule="auto"/>
        <w:rPr>
          <w:rFonts w:ascii="仿宋" w:hAnsi="仿宋" w:eastAsia="仿宋" w:cs="仿宋"/>
          <w:color w:val="auto"/>
          <w:sz w:val="31"/>
          <w:szCs w:val="31"/>
          <w:highlight w:val="none"/>
          <w:lang w:eastAsia="zh-CN"/>
        </w:rPr>
      </w:pPr>
      <w:r>
        <w:rPr>
          <w:rFonts w:ascii="仿宋" w:hAnsi="仿宋" w:eastAsia="仿宋" w:cs="仿宋"/>
          <w:color w:val="auto"/>
          <w:spacing w:val="5"/>
          <w:sz w:val="31"/>
          <w:szCs w:val="31"/>
          <w:highlight w:val="none"/>
          <w:lang w:eastAsia="zh-CN"/>
        </w:rPr>
        <w:t>第三章 技术要求</w:t>
      </w:r>
    </w:p>
    <w:p w14:paraId="4ACC444C">
      <w:pPr>
        <w:spacing w:before="226" w:line="600" w:lineRule="exact"/>
        <w:rPr>
          <w:rFonts w:ascii="仿宋" w:hAnsi="仿宋" w:eastAsia="仿宋" w:cs="仿宋"/>
          <w:color w:val="auto"/>
          <w:sz w:val="31"/>
          <w:szCs w:val="31"/>
          <w:highlight w:val="none"/>
          <w:lang w:eastAsia="zh-CN"/>
        </w:rPr>
      </w:pPr>
      <w:r>
        <w:rPr>
          <w:rFonts w:ascii="仿宋" w:hAnsi="仿宋" w:eastAsia="仿宋" w:cs="仿宋"/>
          <w:color w:val="auto"/>
          <w:spacing w:val="7"/>
          <w:position w:val="21"/>
          <w:sz w:val="31"/>
          <w:szCs w:val="31"/>
          <w:highlight w:val="none"/>
          <w:lang w:eastAsia="zh-CN"/>
        </w:rPr>
        <w:t>第四章 评审程序、方法及标准</w:t>
      </w:r>
    </w:p>
    <w:p w14:paraId="35F1419F">
      <w:pPr>
        <w:spacing w:line="222" w:lineRule="auto"/>
        <w:rPr>
          <w:rFonts w:ascii="仿宋" w:hAnsi="仿宋" w:eastAsia="仿宋" w:cs="仿宋"/>
          <w:color w:val="auto"/>
          <w:sz w:val="31"/>
          <w:szCs w:val="31"/>
          <w:highlight w:val="none"/>
          <w:lang w:eastAsia="zh-CN"/>
        </w:rPr>
      </w:pPr>
      <w:r>
        <w:rPr>
          <w:rFonts w:ascii="仿宋" w:hAnsi="仿宋" w:eastAsia="仿宋" w:cs="仿宋"/>
          <w:color w:val="auto"/>
          <w:spacing w:val="-4"/>
          <w:sz w:val="31"/>
          <w:szCs w:val="31"/>
          <w:highlight w:val="none"/>
          <w:lang w:eastAsia="zh-CN"/>
        </w:rPr>
        <w:t>第五章</w:t>
      </w:r>
      <w:r>
        <w:rPr>
          <w:rFonts w:hint="eastAsia" w:ascii="仿宋" w:hAnsi="仿宋" w:eastAsia="仿宋" w:cs="仿宋"/>
          <w:color w:val="auto"/>
          <w:spacing w:val="-4"/>
          <w:sz w:val="31"/>
          <w:szCs w:val="31"/>
          <w:highlight w:val="none"/>
          <w:lang w:val="en-US" w:eastAsia="zh-CN"/>
        </w:rPr>
        <w:t xml:space="preserve"> </w:t>
      </w:r>
      <w:r>
        <w:rPr>
          <w:rFonts w:ascii="仿宋" w:hAnsi="仿宋" w:eastAsia="仿宋" w:cs="仿宋"/>
          <w:color w:val="auto"/>
          <w:spacing w:val="-4"/>
          <w:sz w:val="31"/>
          <w:szCs w:val="31"/>
          <w:highlight w:val="none"/>
          <w:lang w:eastAsia="zh-CN"/>
        </w:rPr>
        <w:t>附件</w:t>
      </w:r>
    </w:p>
    <w:p w14:paraId="02EB22CD">
      <w:pPr>
        <w:spacing w:line="222" w:lineRule="auto"/>
        <w:rPr>
          <w:rFonts w:ascii="仿宋" w:hAnsi="仿宋" w:eastAsia="仿宋" w:cs="仿宋"/>
          <w:color w:val="auto"/>
          <w:sz w:val="31"/>
          <w:szCs w:val="31"/>
          <w:highlight w:val="none"/>
          <w:lang w:eastAsia="zh-CN"/>
        </w:rPr>
        <w:sectPr>
          <w:pgSz w:w="11906" w:h="16839"/>
          <w:pgMar w:top="1440" w:right="1800" w:bottom="1440" w:left="1800" w:header="0" w:footer="0" w:gutter="0"/>
          <w:cols w:space="720" w:num="1"/>
        </w:sectPr>
      </w:pPr>
    </w:p>
    <w:p w14:paraId="033003B8">
      <w:pPr>
        <w:pStyle w:val="6"/>
        <w:spacing w:line="270" w:lineRule="auto"/>
        <w:jc w:val="center"/>
        <w:rPr>
          <w:rFonts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第一章</w:t>
      </w:r>
      <w:bookmarkStart w:id="7" w:name="_GoBack"/>
      <w:r>
        <w:rPr>
          <w:rFonts w:hint="eastAsia" w:ascii="黑体" w:hAnsi="黑体" w:eastAsia="黑体" w:cs="黑体"/>
          <w:color w:val="auto"/>
          <w:sz w:val="32"/>
          <w:szCs w:val="32"/>
          <w:highlight w:val="none"/>
          <w:lang w:eastAsia="zh-CN"/>
        </w:rPr>
        <w:t>信阳市中心城区路检路查及入户检查重型货车检测服务项目</w:t>
      </w:r>
    </w:p>
    <w:p w14:paraId="44B91787">
      <w:pPr>
        <w:pStyle w:val="6"/>
        <w:spacing w:line="270" w:lineRule="auto"/>
        <w:jc w:val="center"/>
        <w:rPr>
          <w:rFonts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比选招标公告</w:t>
      </w:r>
    </w:p>
    <w:p w14:paraId="42927498">
      <w:pPr>
        <w:pStyle w:val="6"/>
        <w:spacing w:line="270" w:lineRule="auto"/>
        <w:rPr>
          <w:color w:val="auto"/>
          <w:highlight w:val="none"/>
          <w:lang w:eastAsia="zh-CN"/>
        </w:rPr>
      </w:pPr>
    </w:p>
    <w:p w14:paraId="0B34EEC9">
      <w:pPr>
        <w:pStyle w:val="6"/>
        <w:spacing w:line="270" w:lineRule="auto"/>
        <w:rPr>
          <w:color w:val="auto"/>
          <w:highlight w:val="none"/>
          <w:lang w:eastAsia="zh-CN"/>
        </w:rPr>
      </w:pPr>
    </w:p>
    <w:p w14:paraId="4FE78A3C">
      <w:pPr>
        <w:pStyle w:val="6"/>
        <w:spacing w:line="270" w:lineRule="auto"/>
        <w:ind w:firstLine="640" w:firstLineChars="200"/>
        <w:rPr>
          <w:rFonts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一、项目概况</w:t>
      </w:r>
    </w:p>
    <w:p w14:paraId="5FD0594C">
      <w:pPr>
        <w:pStyle w:val="6"/>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1、采购人：信阳市生态环境局</w:t>
      </w:r>
    </w:p>
    <w:p w14:paraId="751F877D">
      <w:pPr>
        <w:pStyle w:val="6"/>
        <w:keepNext w:val="0"/>
        <w:keepLines w:val="0"/>
        <w:pageBreakBefore w:val="0"/>
        <w:widowControl/>
        <w:kinsoku w:val="0"/>
        <w:wordWrap/>
        <w:overflowPunct/>
        <w:topLinePunct w:val="0"/>
        <w:autoSpaceDE w:val="0"/>
        <w:autoSpaceDN w:val="0"/>
        <w:bidi w:val="0"/>
        <w:adjustRightInd w:val="0"/>
        <w:snapToGrid w:val="0"/>
        <w:spacing w:line="270" w:lineRule="auto"/>
        <w:ind w:firstLine="640" w:firstLineChars="200"/>
        <w:textAlignment w:val="baseline"/>
        <w:rPr>
          <w:rFonts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2、项目名称：信阳市中心城区路检路查及入户检查重型货车检测项目</w:t>
      </w:r>
    </w:p>
    <w:p w14:paraId="261D6401">
      <w:pPr>
        <w:pStyle w:val="6"/>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3、采购内容：在市中心城区2个路检路查点（鸡公山公路超限站和吴家店公安检查站）和1个入户检查点对过境重型货车和市中心城区重点场所重型货车开展尾气检测和污染控制装置查验工作。</w:t>
      </w:r>
    </w:p>
    <w:p w14:paraId="4D087336">
      <w:pPr>
        <w:pStyle w:val="6"/>
        <w:spacing w:line="560" w:lineRule="exact"/>
        <w:ind w:firstLine="640" w:firstLineChars="200"/>
        <w:rPr>
          <w:rFonts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4、资金来源：财政资金，采购预算：人民币480000元</w:t>
      </w:r>
    </w:p>
    <w:p w14:paraId="152E9933">
      <w:pPr>
        <w:pStyle w:val="6"/>
        <w:spacing w:line="560" w:lineRule="exact"/>
        <w:ind w:firstLine="640" w:firstLineChars="200"/>
        <w:rPr>
          <w:rFonts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5、服务时间：合同签订日起一年内，按照执法人员安排，开展重型货车检测。</w:t>
      </w:r>
    </w:p>
    <w:p w14:paraId="356776CB">
      <w:pPr>
        <w:pStyle w:val="6"/>
        <w:spacing w:line="56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6、付款方式：合同签订后，支付合同金额</w:t>
      </w:r>
      <w:r>
        <w:rPr>
          <w:rFonts w:hint="eastAsia" w:ascii="仿宋_GB2312" w:hAnsi="仿宋_GB2312" w:eastAsia="仿宋_GB2312" w:cs="仿宋_GB2312"/>
          <w:color w:val="auto"/>
          <w:sz w:val="32"/>
          <w:szCs w:val="32"/>
          <w:highlight w:val="none"/>
          <w:lang w:val="en-US" w:eastAsia="zh-CN"/>
        </w:rPr>
        <w:t>40%；项目完成提交所有服务成果并通过后，一次性支付剩余60%合同款。</w:t>
      </w:r>
    </w:p>
    <w:p w14:paraId="4C2FD31F">
      <w:pPr>
        <w:pStyle w:val="6"/>
        <w:spacing w:line="270" w:lineRule="auto"/>
        <w:ind w:firstLine="640" w:firstLineChars="200"/>
        <w:rPr>
          <w:rFonts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二、投标人资格要求</w:t>
      </w:r>
    </w:p>
    <w:p w14:paraId="78383ADE">
      <w:pPr>
        <w:pStyle w:val="6"/>
        <w:spacing w:line="560" w:lineRule="exact"/>
        <w:ind w:firstLine="640" w:firstLineChars="200"/>
        <w:jc w:val="both"/>
        <w:rPr>
          <w:rFonts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1、投标人应符合《中国政府采购网》第二十二条规定并提供相关证明材料:</w:t>
      </w:r>
    </w:p>
    <w:p w14:paraId="60E9D570">
      <w:pPr>
        <w:pStyle w:val="6"/>
        <w:spacing w:line="560" w:lineRule="exact"/>
        <w:ind w:firstLine="640" w:firstLineChars="200"/>
        <w:jc w:val="both"/>
        <w:rPr>
          <w:rFonts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（1）具有独立承担民事责任的能力，须提供有效的营业执照。</w:t>
      </w:r>
    </w:p>
    <w:p w14:paraId="7D1140BB">
      <w:pPr>
        <w:pStyle w:val="6"/>
        <w:spacing w:line="560" w:lineRule="exact"/>
        <w:ind w:firstLine="640" w:firstLineChars="200"/>
        <w:jc w:val="both"/>
        <w:rPr>
          <w:rFonts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（2）具有良好的商业信誉和健全的财务会计制度，须提供2023年度财务审计报告（公司成立时间不足一年的需提供资信证明）。</w:t>
      </w:r>
    </w:p>
    <w:p w14:paraId="6AA9FC42">
      <w:pPr>
        <w:pStyle w:val="6"/>
        <w:spacing w:line="560" w:lineRule="exact"/>
        <w:ind w:firstLine="640" w:firstLineChars="200"/>
        <w:jc w:val="both"/>
        <w:rPr>
          <w:rFonts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（3）有依法缴纳税收和社会保障资金的良好记录，须提供单位自成立以来连续3个月依法缴纳税收和依法缴纳社会保险的凭据；依法免税或不需要缴纳社会保障资金的投标人，应提供相应证明文件。</w:t>
      </w:r>
    </w:p>
    <w:p w14:paraId="7DFAE70F">
      <w:pPr>
        <w:pStyle w:val="6"/>
        <w:spacing w:line="560" w:lineRule="exact"/>
        <w:ind w:firstLine="640" w:firstLineChars="200"/>
        <w:jc w:val="both"/>
        <w:rPr>
          <w:rFonts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（4）具备履行合同所必需的设备和专业技术能力，须提供投标人具有履行合同所必需的设备和专业技术能力承诺书。</w:t>
      </w:r>
    </w:p>
    <w:p w14:paraId="6A6AB012">
      <w:pPr>
        <w:pStyle w:val="6"/>
        <w:spacing w:line="560" w:lineRule="exact"/>
        <w:ind w:firstLine="640" w:firstLineChars="200"/>
        <w:jc w:val="both"/>
        <w:rPr>
          <w:rFonts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（5）参加政府采购活动近3年内在经营活动中没有重大违法记录，须提供参加政府采购活动近3年内，在经营活动中没有重大违法记录的书面声明。</w:t>
      </w:r>
    </w:p>
    <w:p w14:paraId="3015AB85">
      <w:pPr>
        <w:pStyle w:val="6"/>
        <w:spacing w:line="560" w:lineRule="exact"/>
        <w:ind w:firstLine="640" w:firstLineChars="200"/>
        <w:jc w:val="both"/>
        <w:rPr>
          <w:rFonts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（6）具备法律、行政法规规定的其他条件。</w:t>
      </w:r>
    </w:p>
    <w:p w14:paraId="2C7D8552">
      <w:pPr>
        <w:pStyle w:val="6"/>
        <w:spacing w:line="56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2</w:t>
      </w:r>
      <w:r>
        <w:rPr>
          <w:rFonts w:hint="eastAsia" w:ascii="仿宋_GB2312" w:hAnsi="仿宋_GB2312" w:eastAsia="仿宋_GB2312" w:cs="仿宋_GB2312"/>
          <w:color w:val="auto"/>
          <w:sz w:val="32"/>
          <w:szCs w:val="32"/>
          <w:highlight w:val="none"/>
        </w:rPr>
        <w:t>、投标人应通过“信用中国（www.creditchina.gov.cn）”查询“失信被执行人、重大税收违法案件当事人名单、政府采购严重违法失信行为记录名单”和“中国政府采购网（www.ccgp.gov.cn）查询“政府采购严重违法失信行为记录”进行信用查询，投标人需提供网页查询截图加盖单位公章。</w:t>
      </w:r>
    </w:p>
    <w:p w14:paraId="53A654C3">
      <w:pPr>
        <w:pStyle w:val="6"/>
        <w:spacing w:line="560" w:lineRule="exact"/>
        <w:ind w:firstLine="640" w:firstLineChars="200"/>
        <w:jc w:val="both"/>
        <w:rPr>
          <w:rFonts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3、投标人须提供法定代表人身份证明及法定代表人身份证或法定代表人签名并加盖单位公章的授权委托书及被授权人的身份证。</w:t>
      </w:r>
    </w:p>
    <w:p w14:paraId="3178E112">
      <w:pPr>
        <w:pStyle w:val="6"/>
        <w:spacing w:line="560" w:lineRule="exact"/>
        <w:ind w:firstLine="640" w:firstLineChars="200"/>
        <w:jc w:val="both"/>
        <w:rPr>
          <w:rFonts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4、投标人中标后不允许分包或转包。</w:t>
      </w:r>
    </w:p>
    <w:p w14:paraId="5C7CFEEA">
      <w:pPr>
        <w:pStyle w:val="6"/>
        <w:spacing w:line="560" w:lineRule="exact"/>
        <w:ind w:firstLine="640" w:firstLineChars="200"/>
        <w:rPr>
          <w:rFonts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三、招标文件获取时间和方式</w:t>
      </w:r>
    </w:p>
    <w:p w14:paraId="0E2C4E4C">
      <w:pPr>
        <w:pStyle w:val="6"/>
        <w:spacing w:line="560" w:lineRule="exact"/>
        <w:ind w:firstLine="640" w:firstLineChars="200"/>
        <w:rPr>
          <w:rFonts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1、招标文件领取时间：202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p>
    <w:p w14:paraId="51AC7B70">
      <w:pPr>
        <w:pStyle w:val="6"/>
        <w:spacing w:line="560" w:lineRule="exact"/>
        <w:ind w:firstLine="640" w:firstLineChars="200"/>
        <w:rPr>
          <w:rFonts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2、招标文件领取地点:市生态环境局门户网站下载</w:t>
      </w:r>
    </w:p>
    <w:p w14:paraId="0B5A3B10">
      <w:pPr>
        <w:pStyle w:val="6"/>
        <w:spacing w:line="560" w:lineRule="exact"/>
        <w:ind w:firstLine="640" w:firstLineChars="200"/>
        <w:rPr>
          <w:rFonts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3、招标文件费用：0元</w:t>
      </w:r>
    </w:p>
    <w:p w14:paraId="38EEF389">
      <w:pPr>
        <w:pStyle w:val="6"/>
        <w:spacing w:line="560" w:lineRule="exact"/>
        <w:ind w:firstLine="640" w:firstLineChars="200"/>
        <w:rPr>
          <w:rFonts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四、投标文件送达时间及地点</w:t>
      </w:r>
    </w:p>
    <w:p w14:paraId="25AAE4C7">
      <w:pPr>
        <w:pStyle w:val="6"/>
        <w:spacing w:line="560" w:lineRule="exact"/>
        <w:ind w:firstLine="640" w:firstLineChars="200"/>
        <w:jc w:val="both"/>
        <w:rPr>
          <w:rFonts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1、报名截止时间：202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lang w:val="en-US" w:eastAsia="zh-CN"/>
        </w:rPr>
        <w:t>16</w:t>
      </w:r>
      <w:r>
        <w:rPr>
          <w:rFonts w:hint="eastAsia" w:ascii="仿宋_GB2312" w:hAnsi="仿宋_GB2312" w:eastAsia="仿宋_GB2312" w:cs="仿宋_GB2312"/>
          <w:color w:val="auto"/>
          <w:sz w:val="32"/>
          <w:szCs w:val="32"/>
          <w:highlight w:val="none"/>
          <w:lang w:eastAsia="zh-CN"/>
        </w:rPr>
        <w:t>时</w:t>
      </w:r>
      <w:r>
        <w:rPr>
          <w:rFonts w:hint="eastAsia" w:ascii="仿宋_GB2312" w:hAnsi="仿宋_GB2312" w:eastAsia="仿宋_GB2312" w:cs="仿宋_GB2312"/>
          <w:color w:val="auto"/>
          <w:sz w:val="32"/>
          <w:szCs w:val="32"/>
          <w:highlight w:val="none"/>
          <w:lang w:val="en-US" w:eastAsia="zh-CN"/>
        </w:rPr>
        <w:t>00</w:t>
      </w:r>
      <w:r>
        <w:rPr>
          <w:rFonts w:hint="eastAsia" w:ascii="仿宋_GB2312" w:hAnsi="仿宋_GB2312" w:eastAsia="仿宋_GB2312" w:cs="仿宋_GB2312"/>
          <w:color w:val="auto"/>
          <w:sz w:val="32"/>
          <w:szCs w:val="32"/>
          <w:highlight w:val="none"/>
          <w:lang w:eastAsia="zh-CN"/>
        </w:rPr>
        <w:t>分（北京时间）。报名时需提供报名登记表（加盖单位公章）、营业执照（原件或复印件加盖单位公章）、负责人身份证或负责人授权委托书及委托人身份证（复印件加盖单位公章）、供应商声明材料（加盖公章），将以上资料电子扫描件一并发送至市生态环境局采购工作领导小组邮箱：xysthjzfcg@163.com。</w:t>
      </w:r>
    </w:p>
    <w:p w14:paraId="4BAC1A12">
      <w:pPr>
        <w:pStyle w:val="6"/>
        <w:spacing w:line="560" w:lineRule="exact"/>
        <w:ind w:firstLine="640" w:firstLineChars="200"/>
        <w:jc w:val="both"/>
        <w:rPr>
          <w:rFonts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2、投标文件递交时间:202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lang w:eastAsia="zh-CN"/>
        </w:rPr>
        <w:t>时</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分（北京时间）将密封投标文件提交至市生态环境局四楼会议室现场开标。逾期收到或不符合规定的投标文件恕不接受。届时请参加投标的代表携有效身份证件和法人代表授权书（法人需持法人证明文件）出席开标仪式，否则投标将被拒绝。</w:t>
      </w:r>
    </w:p>
    <w:p w14:paraId="1C404141">
      <w:pPr>
        <w:pStyle w:val="6"/>
        <w:spacing w:line="560" w:lineRule="exact"/>
        <w:ind w:firstLine="640" w:firstLineChars="200"/>
        <w:rPr>
          <w:rFonts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3、投标文件送达地点:信阳市生态环境局。</w:t>
      </w:r>
    </w:p>
    <w:p w14:paraId="11E71AC1">
      <w:pPr>
        <w:pStyle w:val="6"/>
        <w:spacing w:line="560" w:lineRule="exact"/>
        <w:ind w:firstLine="640" w:firstLineChars="200"/>
        <w:rPr>
          <w:rFonts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五、开标时间及地点</w:t>
      </w:r>
    </w:p>
    <w:p w14:paraId="77657A3D">
      <w:pPr>
        <w:pStyle w:val="6"/>
        <w:spacing w:line="560" w:lineRule="exact"/>
        <w:ind w:firstLine="640" w:firstLineChars="200"/>
        <w:rPr>
          <w:rFonts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1、时间：202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lang w:eastAsia="zh-CN"/>
        </w:rPr>
        <w:t>时</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分（北京时间）</w:t>
      </w:r>
    </w:p>
    <w:p w14:paraId="57351D86">
      <w:pPr>
        <w:pStyle w:val="6"/>
        <w:spacing w:line="560" w:lineRule="exact"/>
        <w:ind w:firstLine="640" w:firstLineChars="200"/>
        <w:rPr>
          <w:rFonts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2、地点：信阳市生态环境局四楼会议室</w:t>
      </w:r>
    </w:p>
    <w:p w14:paraId="2AA6C673">
      <w:pPr>
        <w:pStyle w:val="6"/>
        <w:spacing w:line="560" w:lineRule="exact"/>
        <w:ind w:firstLine="640" w:firstLineChars="200"/>
        <w:rPr>
          <w:rFonts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六、投标文件递交和评选方式</w:t>
      </w:r>
    </w:p>
    <w:p w14:paraId="4ECE56F9">
      <w:pPr>
        <w:pStyle w:val="6"/>
        <w:spacing w:line="560" w:lineRule="exact"/>
        <w:ind w:firstLine="640" w:firstLineChars="200"/>
        <w:rPr>
          <w:rFonts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1、投标递交份数、方式：</w:t>
      </w:r>
    </w:p>
    <w:p w14:paraId="2684A8F3">
      <w:pPr>
        <w:pStyle w:val="6"/>
        <w:spacing w:line="560" w:lineRule="exact"/>
        <w:ind w:firstLine="640" w:firstLineChars="200"/>
        <w:rPr>
          <w:rFonts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文件份数：电子版1份，纸质版正本1份、副本2份。</w:t>
      </w:r>
    </w:p>
    <w:p w14:paraId="3438F48F">
      <w:pPr>
        <w:pStyle w:val="6"/>
        <w:spacing w:line="560" w:lineRule="exact"/>
        <w:ind w:firstLine="640" w:firstLineChars="200"/>
        <w:rPr>
          <w:rFonts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递交方式：现场递交。</w:t>
      </w:r>
    </w:p>
    <w:p w14:paraId="17891A31">
      <w:pPr>
        <w:pStyle w:val="6"/>
        <w:spacing w:line="560" w:lineRule="exact"/>
        <w:ind w:firstLine="640" w:firstLineChars="200"/>
        <w:rPr>
          <w:rFonts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2、评选方法：综合评分法</w:t>
      </w:r>
    </w:p>
    <w:p w14:paraId="002164AF">
      <w:pPr>
        <w:pStyle w:val="6"/>
        <w:spacing w:line="560" w:lineRule="exact"/>
        <w:ind w:firstLine="640" w:firstLineChars="200"/>
        <w:rPr>
          <w:rFonts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七、版权</w:t>
      </w:r>
    </w:p>
    <w:p w14:paraId="3306FD0F">
      <w:pPr>
        <w:pStyle w:val="6"/>
        <w:spacing w:line="560" w:lineRule="exact"/>
        <w:ind w:firstLine="640" w:firstLineChars="200"/>
        <w:rPr>
          <w:rFonts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（1）本次邀请活动资料的有关版权</w:t>
      </w:r>
    </w:p>
    <w:p w14:paraId="538A280B">
      <w:pPr>
        <w:pStyle w:val="6"/>
        <w:kinsoku/>
        <w:spacing w:line="560" w:lineRule="exact"/>
        <w:ind w:firstLine="640" w:firstLineChars="200"/>
        <w:jc w:val="both"/>
        <w:rPr>
          <w:rFonts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信阳市生态环境局在本次投标活动中提供的所有资料均受版权保护。未得到授权，其他机构或个人不得将该版权内容复制、改编、分发、发布，或作其它用途，否则将承担法律责任。</w:t>
      </w:r>
    </w:p>
    <w:p w14:paraId="515F12CD">
      <w:pPr>
        <w:pStyle w:val="6"/>
        <w:spacing w:line="560" w:lineRule="exact"/>
        <w:ind w:firstLine="640" w:firstLineChars="200"/>
        <w:rPr>
          <w:rFonts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（2）投标人方案有关版权</w:t>
      </w:r>
    </w:p>
    <w:p w14:paraId="2C07F967">
      <w:pPr>
        <w:pStyle w:val="6"/>
        <w:spacing w:line="560" w:lineRule="exact"/>
        <w:ind w:firstLine="640" w:firstLineChars="200"/>
        <w:jc w:val="both"/>
        <w:rPr>
          <w:rFonts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1）投标方案中的所有内容须由投标人原创，不得侵犯任何第三者的知识产权，否则自行承担法律责任。</w:t>
      </w:r>
    </w:p>
    <w:p w14:paraId="0417D005">
      <w:pPr>
        <w:pStyle w:val="6"/>
        <w:spacing w:line="560" w:lineRule="exact"/>
        <w:ind w:firstLine="640" w:firstLineChars="200"/>
        <w:jc w:val="both"/>
        <w:rPr>
          <w:rFonts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2）信阳市生态环境局享有投标方案的使用权和版权，有权采用所有投标方案的部分或全部内容进行设计、建设、复制、展览、印刷、出版或其他形式的发布等。</w:t>
      </w:r>
    </w:p>
    <w:p w14:paraId="1A528D01">
      <w:pPr>
        <w:pStyle w:val="6"/>
        <w:spacing w:line="560" w:lineRule="exact"/>
        <w:ind w:firstLine="640" w:firstLineChars="200"/>
        <w:rPr>
          <w:rFonts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八、本项目联系方式</w:t>
      </w:r>
    </w:p>
    <w:p w14:paraId="38F79166">
      <w:pPr>
        <w:pStyle w:val="6"/>
        <w:spacing w:line="560" w:lineRule="exact"/>
        <w:ind w:firstLine="640" w:firstLineChars="200"/>
        <w:rPr>
          <w:rFonts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采购单位：信阳市生态环境局</w:t>
      </w:r>
    </w:p>
    <w:p w14:paraId="4EA0924C">
      <w:pPr>
        <w:pStyle w:val="6"/>
        <w:spacing w:line="560" w:lineRule="exact"/>
        <w:ind w:firstLine="640" w:firstLineChars="200"/>
        <w:rPr>
          <w:rFonts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联系人：董洁</w:t>
      </w:r>
    </w:p>
    <w:p w14:paraId="76587B5D">
      <w:pPr>
        <w:pStyle w:val="6"/>
        <w:spacing w:line="560" w:lineRule="exact"/>
        <w:ind w:firstLine="640" w:firstLineChars="200"/>
        <w:rPr>
          <w:rFonts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联系电话：0376-6530002</w:t>
      </w:r>
    </w:p>
    <w:p w14:paraId="62B3EC25">
      <w:pPr>
        <w:pStyle w:val="6"/>
        <w:spacing w:line="560" w:lineRule="exact"/>
        <w:ind w:firstLine="640" w:firstLineChars="200"/>
        <w:rPr>
          <w:rFonts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监督电话：0676-6530392</w:t>
      </w:r>
    </w:p>
    <w:p w14:paraId="5DD56524">
      <w:pPr>
        <w:pStyle w:val="6"/>
        <w:spacing w:line="560" w:lineRule="exact"/>
        <w:ind w:firstLine="640" w:firstLineChars="200"/>
        <w:rPr>
          <w:rFonts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详细地址：信阳市生态环境局</w:t>
      </w:r>
    </w:p>
    <w:bookmarkEnd w:id="7"/>
    <w:p w14:paraId="7CBDACBB">
      <w:pPr>
        <w:pStyle w:val="6"/>
        <w:spacing w:line="560" w:lineRule="exact"/>
        <w:ind w:firstLine="640" w:firstLineChars="200"/>
        <w:rPr>
          <w:rFonts w:ascii="仿宋_GB2312" w:hAnsi="仿宋_GB2312" w:eastAsia="仿宋_GB2312" w:cs="仿宋_GB2312"/>
          <w:color w:val="auto"/>
          <w:sz w:val="32"/>
          <w:szCs w:val="32"/>
          <w:highlight w:val="none"/>
          <w:lang w:eastAsia="zh-CN"/>
        </w:rPr>
      </w:pPr>
    </w:p>
    <w:p w14:paraId="44F72981">
      <w:pPr>
        <w:pStyle w:val="6"/>
        <w:spacing w:line="560" w:lineRule="exact"/>
        <w:ind w:firstLine="640" w:firstLineChars="200"/>
        <w:rPr>
          <w:rFonts w:ascii="仿宋_GB2312" w:hAnsi="仿宋_GB2312" w:eastAsia="仿宋_GB2312" w:cs="仿宋_GB2312"/>
          <w:color w:val="auto"/>
          <w:sz w:val="32"/>
          <w:szCs w:val="32"/>
          <w:highlight w:val="none"/>
          <w:lang w:eastAsia="zh-CN"/>
        </w:rPr>
      </w:pPr>
    </w:p>
    <w:p w14:paraId="17E9BFA6">
      <w:pPr>
        <w:pStyle w:val="6"/>
        <w:spacing w:line="271" w:lineRule="auto"/>
        <w:rPr>
          <w:color w:val="auto"/>
          <w:highlight w:val="none"/>
          <w:lang w:eastAsia="zh-CN"/>
        </w:rPr>
      </w:pPr>
    </w:p>
    <w:p w14:paraId="21BCD43B">
      <w:pPr>
        <w:pStyle w:val="6"/>
        <w:spacing w:line="352" w:lineRule="auto"/>
        <w:rPr>
          <w:color w:val="auto"/>
          <w:highlight w:val="none"/>
          <w:lang w:eastAsia="zh-CN"/>
        </w:rPr>
      </w:pPr>
    </w:p>
    <w:p w14:paraId="63CEFD84">
      <w:pPr>
        <w:pStyle w:val="6"/>
        <w:spacing w:line="352" w:lineRule="auto"/>
        <w:rPr>
          <w:color w:val="auto"/>
          <w:highlight w:val="none"/>
          <w:lang w:eastAsia="zh-CN"/>
        </w:rPr>
      </w:pPr>
    </w:p>
    <w:p w14:paraId="07255032">
      <w:pPr>
        <w:rPr>
          <w:color w:val="auto"/>
          <w:highlight w:val="none"/>
          <w:lang w:eastAsia="zh-CN"/>
        </w:rPr>
        <w:sectPr>
          <w:footerReference r:id="rId3" w:type="default"/>
          <w:pgSz w:w="11906" w:h="16839"/>
          <w:pgMar w:top="1440" w:right="1800" w:bottom="1440" w:left="1800" w:header="0" w:footer="567" w:gutter="0"/>
          <w:pgNumType w:start="1"/>
          <w:cols w:space="720" w:num="1"/>
        </w:sectPr>
      </w:pPr>
    </w:p>
    <w:p w14:paraId="745F79D0">
      <w:pPr>
        <w:pStyle w:val="6"/>
        <w:rPr>
          <w:color w:val="auto"/>
          <w:highlight w:val="none"/>
          <w:lang w:eastAsia="zh-CN"/>
        </w:rPr>
      </w:pPr>
    </w:p>
    <w:p w14:paraId="71142B48">
      <w:pPr>
        <w:spacing w:line="560" w:lineRule="exact"/>
        <w:jc w:val="center"/>
        <w:outlineLvl w:val="0"/>
        <w:rPr>
          <w:rFonts w:ascii="微软雅黑" w:hAnsi="微软雅黑" w:eastAsia="微软雅黑" w:cs="微软雅黑"/>
          <w:color w:val="auto"/>
          <w:sz w:val="35"/>
          <w:szCs w:val="35"/>
          <w:highlight w:val="none"/>
        </w:rPr>
      </w:pPr>
      <w:r>
        <w:rPr>
          <w:rFonts w:hint="eastAsia" w:ascii="黑体" w:hAnsi="黑体" w:eastAsia="黑体" w:cs="黑体"/>
          <w:color w:val="auto"/>
          <w:spacing w:val="4"/>
          <w:sz w:val="32"/>
          <w:szCs w:val="32"/>
          <w:highlight w:val="none"/>
        </w:rPr>
        <w:t>第二章投标人须知</w:t>
      </w:r>
    </w:p>
    <w:p w14:paraId="4B2CF380">
      <w:pPr>
        <w:spacing w:before="17"/>
        <w:rPr>
          <w:color w:val="auto"/>
          <w:highlight w:val="none"/>
        </w:rPr>
      </w:pPr>
    </w:p>
    <w:p w14:paraId="16EEF39F">
      <w:pPr>
        <w:spacing w:before="16"/>
        <w:rPr>
          <w:color w:val="auto"/>
          <w:highlight w:val="none"/>
        </w:rPr>
      </w:pPr>
    </w:p>
    <w:tbl>
      <w:tblPr>
        <w:tblStyle w:val="15"/>
        <w:tblW w:w="88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1602"/>
        <w:gridCol w:w="6423"/>
      </w:tblGrid>
      <w:tr w14:paraId="633C1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2414" w:type="dxa"/>
            <w:gridSpan w:val="2"/>
          </w:tcPr>
          <w:p w14:paraId="6449DCC8">
            <w:pPr>
              <w:pStyle w:val="16"/>
              <w:spacing w:before="114" w:line="218" w:lineRule="auto"/>
              <w:ind w:left="855"/>
              <w:rPr>
                <w:rFonts w:ascii="Times New Roman" w:hAnsi="Times New Roman" w:eastAsia="仿宋_GB2312" w:cs="Times New Roman"/>
                <w:color w:val="auto"/>
                <w:highlight w:val="none"/>
              </w:rPr>
            </w:pPr>
            <w:r>
              <w:rPr>
                <w:rFonts w:ascii="Times New Roman" w:hAnsi="Times New Roman" w:eastAsia="仿宋_GB2312" w:cs="Times New Roman"/>
                <w:color w:val="auto"/>
                <w:spacing w:val="-5"/>
                <w:highlight w:val="none"/>
              </w:rPr>
              <w:t>条款号</w:t>
            </w:r>
          </w:p>
        </w:tc>
        <w:tc>
          <w:tcPr>
            <w:tcW w:w="6423" w:type="dxa"/>
          </w:tcPr>
          <w:p w14:paraId="6070C2A2">
            <w:pPr>
              <w:pStyle w:val="16"/>
              <w:spacing w:before="114" w:line="217" w:lineRule="auto"/>
              <w:ind w:left="3008"/>
              <w:rPr>
                <w:rFonts w:ascii="Times New Roman" w:hAnsi="Times New Roman" w:eastAsia="仿宋_GB2312" w:cs="Times New Roman"/>
                <w:color w:val="auto"/>
                <w:highlight w:val="none"/>
              </w:rPr>
            </w:pPr>
            <w:r>
              <w:rPr>
                <w:rFonts w:ascii="Times New Roman" w:hAnsi="Times New Roman" w:eastAsia="仿宋_GB2312" w:cs="Times New Roman"/>
                <w:color w:val="auto"/>
                <w:spacing w:val="-22"/>
                <w:highlight w:val="none"/>
              </w:rPr>
              <w:t>内容</w:t>
            </w:r>
          </w:p>
        </w:tc>
      </w:tr>
      <w:tr w14:paraId="1CF16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12" w:type="dxa"/>
          </w:tcPr>
          <w:p w14:paraId="47DC2E85">
            <w:pPr>
              <w:spacing w:line="302" w:lineRule="auto"/>
              <w:rPr>
                <w:rFonts w:ascii="Times New Roman" w:hAnsi="Times New Roman" w:eastAsia="仿宋_GB2312" w:cs="Times New Roman"/>
                <w:color w:val="auto"/>
                <w:highlight w:val="none"/>
              </w:rPr>
            </w:pPr>
          </w:p>
          <w:p w14:paraId="3C8CC961">
            <w:pPr>
              <w:pStyle w:val="16"/>
              <w:spacing w:before="78" w:line="180" w:lineRule="auto"/>
              <w:ind w:left="368"/>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1</w:t>
            </w:r>
          </w:p>
        </w:tc>
        <w:tc>
          <w:tcPr>
            <w:tcW w:w="1602" w:type="dxa"/>
          </w:tcPr>
          <w:p w14:paraId="62F3C4D9">
            <w:pPr>
              <w:spacing w:line="271" w:lineRule="auto"/>
              <w:rPr>
                <w:rFonts w:ascii="Times New Roman" w:hAnsi="Times New Roman" w:eastAsia="仿宋_GB2312" w:cs="Times New Roman"/>
                <w:color w:val="auto"/>
                <w:highlight w:val="none"/>
              </w:rPr>
            </w:pPr>
          </w:p>
          <w:p w14:paraId="4D3A9A98">
            <w:pPr>
              <w:pStyle w:val="16"/>
              <w:spacing w:before="78" w:line="217" w:lineRule="auto"/>
              <w:ind w:left="112"/>
              <w:rPr>
                <w:rFonts w:ascii="Times New Roman" w:hAnsi="Times New Roman" w:eastAsia="仿宋_GB2312" w:cs="Times New Roman"/>
                <w:color w:val="auto"/>
                <w:highlight w:val="none"/>
              </w:rPr>
            </w:pPr>
            <w:r>
              <w:rPr>
                <w:rFonts w:ascii="Times New Roman" w:hAnsi="Times New Roman" w:eastAsia="仿宋_GB2312" w:cs="Times New Roman"/>
                <w:color w:val="auto"/>
                <w:spacing w:val="-4"/>
                <w:highlight w:val="none"/>
              </w:rPr>
              <w:t>采购人</w:t>
            </w:r>
          </w:p>
        </w:tc>
        <w:tc>
          <w:tcPr>
            <w:tcW w:w="6423" w:type="dxa"/>
          </w:tcPr>
          <w:p w14:paraId="58B4DE39">
            <w:pPr>
              <w:pStyle w:val="16"/>
              <w:spacing w:before="39" w:line="216" w:lineRule="auto"/>
              <w:ind w:left="114"/>
              <w:rPr>
                <w:rFonts w:ascii="Times New Roman" w:hAnsi="Times New Roman" w:eastAsia="仿宋_GB2312" w:cs="Times New Roman"/>
                <w:color w:val="auto"/>
                <w:highlight w:val="none"/>
                <w:lang w:eastAsia="zh-CN"/>
              </w:rPr>
            </w:pPr>
            <w:r>
              <w:rPr>
                <w:rFonts w:ascii="Times New Roman" w:hAnsi="Times New Roman" w:eastAsia="仿宋_GB2312" w:cs="Times New Roman"/>
                <w:color w:val="auto"/>
                <w:spacing w:val="-1"/>
                <w:highlight w:val="none"/>
                <w:lang w:eastAsia="zh-CN"/>
              </w:rPr>
              <w:t>采购人：信阳市生态环境局</w:t>
            </w:r>
          </w:p>
          <w:p w14:paraId="7D739CD6">
            <w:pPr>
              <w:pStyle w:val="16"/>
              <w:spacing w:before="30" w:line="219" w:lineRule="auto"/>
              <w:ind w:left="114"/>
              <w:rPr>
                <w:rFonts w:ascii="Times New Roman" w:hAnsi="Times New Roman" w:eastAsia="仿宋_GB2312" w:cs="Times New Roman"/>
                <w:color w:val="auto"/>
                <w:highlight w:val="none"/>
                <w:lang w:eastAsia="zh-CN"/>
              </w:rPr>
            </w:pPr>
            <w:r>
              <w:rPr>
                <w:rFonts w:ascii="Times New Roman" w:hAnsi="Times New Roman" w:eastAsia="仿宋_GB2312" w:cs="Times New Roman"/>
                <w:color w:val="auto"/>
                <w:spacing w:val="-2"/>
                <w:highlight w:val="none"/>
                <w:lang w:eastAsia="zh-CN"/>
              </w:rPr>
              <w:t>联系人：</w:t>
            </w:r>
            <w:r>
              <w:rPr>
                <w:rFonts w:hint="eastAsia" w:ascii="Times New Roman" w:hAnsi="Times New Roman" w:eastAsia="仿宋_GB2312" w:cs="Times New Roman"/>
                <w:color w:val="auto"/>
                <w:spacing w:val="-2"/>
                <w:highlight w:val="none"/>
                <w:lang w:eastAsia="zh-CN"/>
              </w:rPr>
              <w:t>董洁</w:t>
            </w:r>
          </w:p>
          <w:p w14:paraId="32AF7687">
            <w:pPr>
              <w:pStyle w:val="16"/>
              <w:spacing w:before="27" w:line="205" w:lineRule="auto"/>
              <w:ind w:left="114"/>
              <w:rPr>
                <w:rFonts w:ascii="Times New Roman" w:hAnsi="Times New Roman" w:eastAsia="仿宋_GB2312" w:cs="Times New Roman"/>
                <w:color w:val="auto"/>
                <w:highlight w:val="none"/>
                <w:lang w:eastAsia="zh-CN"/>
              </w:rPr>
            </w:pPr>
            <w:r>
              <w:rPr>
                <w:rFonts w:ascii="Times New Roman" w:hAnsi="Times New Roman" w:eastAsia="仿宋_GB2312" w:cs="Times New Roman"/>
                <w:color w:val="auto"/>
                <w:spacing w:val="-1"/>
                <w:highlight w:val="none"/>
                <w:lang w:eastAsia="zh-CN"/>
              </w:rPr>
              <w:t>联系方式：0376-653000</w:t>
            </w:r>
            <w:r>
              <w:rPr>
                <w:rFonts w:hint="eastAsia" w:ascii="Times New Roman" w:hAnsi="Times New Roman" w:eastAsia="仿宋_GB2312" w:cs="Times New Roman"/>
                <w:color w:val="auto"/>
                <w:spacing w:val="-1"/>
                <w:highlight w:val="none"/>
                <w:lang w:eastAsia="zh-CN"/>
              </w:rPr>
              <w:t>2</w:t>
            </w:r>
          </w:p>
        </w:tc>
      </w:tr>
      <w:tr w14:paraId="482ED4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812" w:type="dxa"/>
          </w:tcPr>
          <w:p w14:paraId="781968F3">
            <w:pPr>
              <w:pStyle w:val="16"/>
              <w:spacing w:before="281" w:line="180" w:lineRule="auto"/>
              <w:ind w:left="363"/>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2</w:t>
            </w:r>
          </w:p>
        </w:tc>
        <w:tc>
          <w:tcPr>
            <w:tcW w:w="1602" w:type="dxa"/>
          </w:tcPr>
          <w:p w14:paraId="1021F45C">
            <w:pPr>
              <w:pStyle w:val="16"/>
              <w:spacing w:before="251" w:line="216" w:lineRule="auto"/>
              <w:ind w:left="112"/>
              <w:rPr>
                <w:rFonts w:ascii="Times New Roman" w:hAnsi="Times New Roman" w:eastAsia="仿宋_GB2312" w:cs="Times New Roman"/>
                <w:color w:val="auto"/>
                <w:highlight w:val="none"/>
              </w:rPr>
            </w:pPr>
            <w:r>
              <w:rPr>
                <w:rFonts w:ascii="Times New Roman" w:hAnsi="Times New Roman" w:eastAsia="仿宋_GB2312" w:cs="Times New Roman"/>
                <w:color w:val="auto"/>
                <w:spacing w:val="-3"/>
                <w:highlight w:val="none"/>
              </w:rPr>
              <w:t>采购预算</w:t>
            </w:r>
          </w:p>
        </w:tc>
        <w:tc>
          <w:tcPr>
            <w:tcW w:w="6423" w:type="dxa"/>
          </w:tcPr>
          <w:p w14:paraId="76712D93">
            <w:pPr>
              <w:pStyle w:val="16"/>
              <w:spacing w:before="94" w:line="229" w:lineRule="auto"/>
              <w:ind w:left="112" w:right="114" w:firstLine="1"/>
              <w:jc w:val="both"/>
              <w:rPr>
                <w:rFonts w:ascii="Times New Roman" w:hAnsi="Times New Roman" w:eastAsia="仿宋_GB2312" w:cs="Times New Roman"/>
                <w:color w:val="auto"/>
                <w:highlight w:val="none"/>
                <w:lang w:eastAsia="zh-CN"/>
              </w:rPr>
            </w:pPr>
            <w:r>
              <w:rPr>
                <w:rFonts w:ascii="Times New Roman" w:hAnsi="Times New Roman" w:eastAsia="仿宋_GB2312" w:cs="Times New Roman"/>
                <w:color w:val="auto"/>
                <w:spacing w:val="1"/>
                <w:highlight w:val="none"/>
                <w:lang w:eastAsia="zh-CN"/>
              </w:rPr>
              <w:t>本项目最高限价为</w:t>
            </w:r>
            <w:r>
              <w:rPr>
                <w:rFonts w:hint="eastAsia" w:ascii="Times New Roman" w:hAnsi="Times New Roman" w:eastAsia="仿宋_GB2312" w:cs="Times New Roman"/>
                <w:color w:val="auto"/>
                <w:spacing w:val="-39"/>
                <w:highlight w:val="none"/>
                <w:lang w:eastAsia="zh-CN"/>
              </w:rPr>
              <w:t>480000</w:t>
            </w:r>
            <w:r>
              <w:rPr>
                <w:rFonts w:ascii="Times New Roman" w:hAnsi="Times New Roman" w:eastAsia="仿宋_GB2312" w:cs="Times New Roman"/>
                <w:color w:val="auto"/>
                <w:spacing w:val="-39"/>
                <w:highlight w:val="none"/>
                <w:lang w:eastAsia="zh-CN"/>
              </w:rPr>
              <w:t>元</w:t>
            </w:r>
            <w:r>
              <w:rPr>
                <w:rFonts w:ascii="Times New Roman" w:hAnsi="Times New Roman" w:eastAsia="仿宋_GB2312" w:cs="Times New Roman"/>
                <w:color w:val="auto"/>
                <w:spacing w:val="1"/>
                <w:highlight w:val="none"/>
                <w:lang w:eastAsia="zh-CN"/>
              </w:rPr>
              <w:t>，投标报价超过最高限价作废</w:t>
            </w:r>
            <w:r>
              <w:rPr>
                <w:rFonts w:ascii="Times New Roman" w:hAnsi="Times New Roman" w:eastAsia="仿宋_GB2312" w:cs="Times New Roman"/>
                <w:color w:val="auto"/>
                <w:spacing w:val="-2"/>
                <w:highlight w:val="none"/>
                <w:lang w:eastAsia="zh-CN"/>
              </w:rPr>
              <w:t>标处理。</w:t>
            </w:r>
          </w:p>
        </w:tc>
      </w:tr>
      <w:tr w14:paraId="418A5E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12" w:type="dxa"/>
          </w:tcPr>
          <w:p w14:paraId="5CEDB4EC">
            <w:pPr>
              <w:pStyle w:val="16"/>
              <w:spacing w:before="200" w:line="181" w:lineRule="auto"/>
              <w:ind w:left="372"/>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3</w:t>
            </w:r>
          </w:p>
        </w:tc>
        <w:tc>
          <w:tcPr>
            <w:tcW w:w="1602" w:type="dxa"/>
          </w:tcPr>
          <w:p w14:paraId="6AFEBE40">
            <w:pPr>
              <w:pStyle w:val="16"/>
              <w:spacing w:before="169" w:line="216" w:lineRule="auto"/>
              <w:ind w:left="123"/>
              <w:rPr>
                <w:rFonts w:ascii="Times New Roman" w:hAnsi="Times New Roman" w:eastAsia="仿宋_GB2312" w:cs="Times New Roman"/>
                <w:color w:val="auto"/>
                <w:highlight w:val="none"/>
              </w:rPr>
            </w:pPr>
            <w:r>
              <w:rPr>
                <w:rFonts w:ascii="Times New Roman" w:hAnsi="Times New Roman" w:eastAsia="仿宋_GB2312" w:cs="Times New Roman"/>
                <w:color w:val="auto"/>
                <w:spacing w:val="-5"/>
                <w:highlight w:val="none"/>
              </w:rPr>
              <w:t>资金来源</w:t>
            </w:r>
          </w:p>
        </w:tc>
        <w:tc>
          <w:tcPr>
            <w:tcW w:w="6423" w:type="dxa"/>
          </w:tcPr>
          <w:p w14:paraId="6B8E2CD4">
            <w:pPr>
              <w:pStyle w:val="16"/>
              <w:spacing w:before="169" w:line="217" w:lineRule="auto"/>
              <w:ind w:left="117"/>
              <w:rPr>
                <w:rFonts w:ascii="Times New Roman" w:hAnsi="Times New Roman" w:eastAsia="仿宋_GB2312" w:cs="Times New Roman"/>
                <w:color w:val="auto"/>
                <w:highlight w:val="none"/>
                <w:lang w:eastAsia="zh-CN"/>
              </w:rPr>
            </w:pPr>
            <w:r>
              <w:rPr>
                <w:rFonts w:ascii="Times New Roman" w:hAnsi="Times New Roman" w:eastAsia="仿宋_GB2312" w:cs="Times New Roman"/>
                <w:color w:val="auto"/>
                <w:spacing w:val="-2"/>
                <w:highlight w:val="none"/>
                <w:lang w:eastAsia="zh-CN"/>
              </w:rPr>
              <w:t>财政资金，资金已落实</w:t>
            </w:r>
          </w:p>
        </w:tc>
      </w:tr>
      <w:tr w14:paraId="129B5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812" w:type="dxa"/>
          </w:tcPr>
          <w:p w14:paraId="666ABE3B">
            <w:pPr>
              <w:pStyle w:val="16"/>
              <w:spacing w:before="221" w:line="180" w:lineRule="auto"/>
              <w:ind w:left="354"/>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4</w:t>
            </w:r>
          </w:p>
        </w:tc>
        <w:tc>
          <w:tcPr>
            <w:tcW w:w="1602" w:type="dxa"/>
          </w:tcPr>
          <w:p w14:paraId="15533368">
            <w:pPr>
              <w:pStyle w:val="16"/>
              <w:spacing w:before="190" w:line="217" w:lineRule="auto"/>
              <w:ind w:left="112"/>
              <w:rPr>
                <w:rFonts w:ascii="Times New Roman" w:hAnsi="Times New Roman" w:eastAsia="仿宋_GB2312" w:cs="Times New Roman"/>
                <w:color w:val="auto"/>
                <w:highlight w:val="none"/>
              </w:rPr>
            </w:pPr>
            <w:r>
              <w:rPr>
                <w:rFonts w:ascii="Times New Roman" w:hAnsi="Times New Roman" w:eastAsia="仿宋_GB2312" w:cs="Times New Roman"/>
                <w:color w:val="auto"/>
                <w:spacing w:val="-3"/>
                <w:highlight w:val="none"/>
              </w:rPr>
              <w:t>采购内容</w:t>
            </w:r>
          </w:p>
        </w:tc>
        <w:tc>
          <w:tcPr>
            <w:tcW w:w="6423" w:type="dxa"/>
          </w:tcPr>
          <w:p w14:paraId="1AC72C74">
            <w:pPr>
              <w:pStyle w:val="6"/>
              <w:spacing w:line="270" w:lineRule="auto"/>
              <w:rPr>
                <w:rFonts w:ascii="仿宋_GB2312" w:hAnsi="仿宋_GB2312" w:eastAsia="仿宋_GB2312" w:cs="仿宋_GB2312"/>
                <w:color w:val="auto"/>
                <w:sz w:val="32"/>
                <w:szCs w:val="32"/>
                <w:highlight w:val="none"/>
                <w:lang w:eastAsia="zh-CN"/>
              </w:rPr>
            </w:pPr>
            <w:r>
              <w:rPr>
                <w:rFonts w:hint="eastAsia" w:ascii="Times New Roman" w:hAnsi="Times New Roman" w:eastAsia="仿宋_GB2312" w:cs="Times New Roman"/>
                <w:color w:val="auto"/>
                <w:spacing w:val="1"/>
                <w:sz w:val="24"/>
                <w:szCs w:val="24"/>
                <w:highlight w:val="none"/>
                <w:lang w:eastAsia="zh-CN"/>
              </w:rPr>
              <w:t>信阳市中心城区路检路查及入户检查重型货车检测服务项目</w:t>
            </w:r>
          </w:p>
        </w:tc>
      </w:tr>
      <w:tr w14:paraId="46E6E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6" w:hRule="atLeast"/>
        </w:trPr>
        <w:tc>
          <w:tcPr>
            <w:tcW w:w="812" w:type="dxa"/>
          </w:tcPr>
          <w:p w14:paraId="121429E7">
            <w:pPr>
              <w:spacing w:line="242" w:lineRule="auto"/>
              <w:rPr>
                <w:rFonts w:ascii="Times New Roman" w:hAnsi="Times New Roman" w:eastAsia="仿宋_GB2312" w:cs="Times New Roman"/>
                <w:color w:val="auto"/>
                <w:highlight w:val="none"/>
                <w:lang w:eastAsia="zh-CN"/>
              </w:rPr>
            </w:pPr>
          </w:p>
          <w:p w14:paraId="238E5BB3">
            <w:pPr>
              <w:spacing w:line="242" w:lineRule="auto"/>
              <w:rPr>
                <w:rFonts w:ascii="Times New Roman" w:hAnsi="Times New Roman" w:eastAsia="仿宋_GB2312" w:cs="Times New Roman"/>
                <w:color w:val="auto"/>
                <w:highlight w:val="none"/>
                <w:lang w:eastAsia="zh-CN"/>
              </w:rPr>
            </w:pPr>
          </w:p>
          <w:p w14:paraId="494E3981">
            <w:pPr>
              <w:spacing w:line="242" w:lineRule="auto"/>
              <w:rPr>
                <w:rFonts w:ascii="Times New Roman" w:hAnsi="Times New Roman" w:eastAsia="仿宋_GB2312" w:cs="Times New Roman"/>
                <w:color w:val="auto"/>
                <w:highlight w:val="none"/>
                <w:lang w:eastAsia="zh-CN"/>
              </w:rPr>
            </w:pPr>
          </w:p>
          <w:p w14:paraId="103427B2">
            <w:pPr>
              <w:spacing w:line="242" w:lineRule="auto"/>
              <w:rPr>
                <w:rFonts w:ascii="Times New Roman" w:hAnsi="Times New Roman" w:eastAsia="仿宋_GB2312" w:cs="Times New Roman"/>
                <w:color w:val="auto"/>
                <w:highlight w:val="none"/>
                <w:lang w:eastAsia="zh-CN"/>
              </w:rPr>
            </w:pPr>
          </w:p>
          <w:p w14:paraId="3E7F7C29">
            <w:pPr>
              <w:spacing w:line="242" w:lineRule="auto"/>
              <w:rPr>
                <w:rFonts w:ascii="Times New Roman" w:hAnsi="Times New Roman" w:eastAsia="仿宋_GB2312" w:cs="Times New Roman"/>
                <w:color w:val="auto"/>
                <w:highlight w:val="none"/>
                <w:lang w:eastAsia="zh-CN"/>
              </w:rPr>
            </w:pPr>
          </w:p>
          <w:p w14:paraId="493F97CB">
            <w:pPr>
              <w:spacing w:line="242" w:lineRule="auto"/>
              <w:rPr>
                <w:rFonts w:ascii="Times New Roman" w:hAnsi="Times New Roman" w:eastAsia="仿宋_GB2312" w:cs="Times New Roman"/>
                <w:color w:val="auto"/>
                <w:highlight w:val="none"/>
                <w:lang w:eastAsia="zh-CN"/>
              </w:rPr>
            </w:pPr>
          </w:p>
          <w:p w14:paraId="7FE8264F">
            <w:pPr>
              <w:spacing w:line="242" w:lineRule="auto"/>
              <w:rPr>
                <w:rFonts w:ascii="Times New Roman" w:hAnsi="Times New Roman" w:eastAsia="仿宋_GB2312" w:cs="Times New Roman"/>
                <w:color w:val="auto"/>
                <w:highlight w:val="none"/>
                <w:lang w:eastAsia="zh-CN"/>
              </w:rPr>
            </w:pPr>
          </w:p>
          <w:p w14:paraId="4A4985DC">
            <w:pPr>
              <w:spacing w:line="242" w:lineRule="auto"/>
              <w:rPr>
                <w:rFonts w:ascii="Times New Roman" w:hAnsi="Times New Roman" w:eastAsia="仿宋_GB2312" w:cs="Times New Roman"/>
                <w:color w:val="auto"/>
                <w:highlight w:val="none"/>
                <w:lang w:eastAsia="zh-CN"/>
              </w:rPr>
            </w:pPr>
          </w:p>
          <w:p w14:paraId="0141F386">
            <w:pPr>
              <w:spacing w:line="242" w:lineRule="auto"/>
              <w:rPr>
                <w:rFonts w:ascii="Times New Roman" w:hAnsi="Times New Roman" w:eastAsia="仿宋_GB2312" w:cs="Times New Roman"/>
                <w:color w:val="auto"/>
                <w:highlight w:val="none"/>
                <w:lang w:eastAsia="zh-CN"/>
              </w:rPr>
            </w:pPr>
          </w:p>
          <w:p w14:paraId="27000B1E">
            <w:pPr>
              <w:spacing w:line="242" w:lineRule="auto"/>
              <w:rPr>
                <w:rFonts w:ascii="Times New Roman" w:hAnsi="Times New Roman" w:eastAsia="仿宋_GB2312" w:cs="Times New Roman"/>
                <w:color w:val="auto"/>
                <w:highlight w:val="none"/>
                <w:lang w:eastAsia="zh-CN"/>
              </w:rPr>
            </w:pPr>
          </w:p>
          <w:p w14:paraId="5B7DC819">
            <w:pPr>
              <w:spacing w:line="242" w:lineRule="auto"/>
              <w:rPr>
                <w:rFonts w:ascii="Times New Roman" w:hAnsi="Times New Roman" w:eastAsia="仿宋_GB2312" w:cs="Times New Roman"/>
                <w:color w:val="auto"/>
                <w:highlight w:val="none"/>
                <w:lang w:eastAsia="zh-CN"/>
              </w:rPr>
            </w:pPr>
          </w:p>
          <w:p w14:paraId="7E7BB62B">
            <w:pPr>
              <w:spacing w:line="242" w:lineRule="auto"/>
              <w:rPr>
                <w:rFonts w:ascii="Times New Roman" w:hAnsi="Times New Roman" w:eastAsia="仿宋_GB2312" w:cs="Times New Roman"/>
                <w:color w:val="auto"/>
                <w:highlight w:val="none"/>
                <w:lang w:eastAsia="zh-CN"/>
              </w:rPr>
            </w:pPr>
          </w:p>
          <w:p w14:paraId="75FB4939">
            <w:pPr>
              <w:spacing w:line="242" w:lineRule="auto"/>
              <w:rPr>
                <w:rFonts w:ascii="Times New Roman" w:hAnsi="Times New Roman" w:eastAsia="仿宋_GB2312" w:cs="Times New Roman"/>
                <w:color w:val="auto"/>
                <w:highlight w:val="none"/>
                <w:lang w:eastAsia="zh-CN"/>
              </w:rPr>
            </w:pPr>
          </w:p>
          <w:p w14:paraId="6A9C2E2E">
            <w:pPr>
              <w:spacing w:line="242" w:lineRule="auto"/>
              <w:rPr>
                <w:rFonts w:ascii="Times New Roman" w:hAnsi="Times New Roman" w:eastAsia="仿宋_GB2312" w:cs="Times New Roman"/>
                <w:color w:val="auto"/>
                <w:highlight w:val="none"/>
                <w:lang w:eastAsia="zh-CN"/>
              </w:rPr>
            </w:pPr>
          </w:p>
          <w:p w14:paraId="60BA68BC">
            <w:pPr>
              <w:spacing w:line="242" w:lineRule="auto"/>
              <w:rPr>
                <w:rFonts w:ascii="Times New Roman" w:hAnsi="Times New Roman" w:eastAsia="仿宋_GB2312" w:cs="Times New Roman"/>
                <w:color w:val="auto"/>
                <w:highlight w:val="none"/>
                <w:lang w:eastAsia="zh-CN"/>
              </w:rPr>
            </w:pPr>
          </w:p>
          <w:p w14:paraId="34CB5A20">
            <w:pPr>
              <w:spacing w:line="242" w:lineRule="auto"/>
              <w:rPr>
                <w:rFonts w:ascii="Times New Roman" w:hAnsi="Times New Roman" w:eastAsia="仿宋_GB2312" w:cs="Times New Roman"/>
                <w:color w:val="auto"/>
                <w:highlight w:val="none"/>
                <w:lang w:eastAsia="zh-CN"/>
              </w:rPr>
            </w:pPr>
          </w:p>
          <w:p w14:paraId="0B60766F">
            <w:pPr>
              <w:pStyle w:val="16"/>
              <w:spacing w:before="78" w:line="178" w:lineRule="auto"/>
              <w:ind w:left="373"/>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5</w:t>
            </w:r>
          </w:p>
        </w:tc>
        <w:tc>
          <w:tcPr>
            <w:tcW w:w="1602" w:type="dxa"/>
          </w:tcPr>
          <w:p w14:paraId="65E3F82B">
            <w:pPr>
              <w:spacing w:line="244" w:lineRule="auto"/>
              <w:rPr>
                <w:rFonts w:ascii="Times New Roman" w:hAnsi="Times New Roman" w:eastAsia="仿宋_GB2312" w:cs="Times New Roman"/>
                <w:color w:val="auto"/>
                <w:highlight w:val="none"/>
              </w:rPr>
            </w:pPr>
          </w:p>
          <w:p w14:paraId="40067933">
            <w:pPr>
              <w:spacing w:line="244" w:lineRule="auto"/>
              <w:rPr>
                <w:rFonts w:ascii="Times New Roman" w:hAnsi="Times New Roman" w:eastAsia="仿宋_GB2312" w:cs="Times New Roman"/>
                <w:color w:val="auto"/>
                <w:highlight w:val="none"/>
              </w:rPr>
            </w:pPr>
          </w:p>
          <w:p w14:paraId="0CD83D8A">
            <w:pPr>
              <w:spacing w:line="244" w:lineRule="auto"/>
              <w:rPr>
                <w:rFonts w:ascii="Times New Roman" w:hAnsi="Times New Roman" w:eastAsia="仿宋_GB2312" w:cs="Times New Roman"/>
                <w:color w:val="auto"/>
                <w:highlight w:val="none"/>
              </w:rPr>
            </w:pPr>
          </w:p>
          <w:p w14:paraId="1F5119F8">
            <w:pPr>
              <w:spacing w:line="244" w:lineRule="auto"/>
              <w:rPr>
                <w:rFonts w:ascii="Times New Roman" w:hAnsi="Times New Roman" w:eastAsia="仿宋_GB2312" w:cs="Times New Roman"/>
                <w:color w:val="auto"/>
                <w:highlight w:val="none"/>
              </w:rPr>
            </w:pPr>
          </w:p>
          <w:p w14:paraId="27877685">
            <w:pPr>
              <w:spacing w:line="244" w:lineRule="auto"/>
              <w:rPr>
                <w:rFonts w:ascii="Times New Roman" w:hAnsi="Times New Roman" w:eastAsia="仿宋_GB2312" w:cs="Times New Roman"/>
                <w:color w:val="auto"/>
                <w:highlight w:val="none"/>
              </w:rPr>
            </w:pPr>
          </w:p>
          <w:p w14:paraId="67339576">
            <w:pPr>
              <w:spacing w:line="245" w:lineRule="auto"/>
              <w:rPr>
                <w:rFonts w:ascii="Times New Roman" w:hAnsi="Times New Roman" w:eastAsia="仿宋_GB2312" w:cs="Times New Roman"/>
                <w:color w:val="auto"/>
                <w:highlight w:val="none"/>
              </w:rPr>
            </w:pPr>
          </w:p>
          <w:p w14:paraId="0EE723D8">
            <w:pPr>
              <w:spacing w:line="245" w:lineRule="auto"/>
              <w:rPr>
                <w:rFonts w:ascii="Times New Roman" w:hAnsi="Times New Roman" w:eastAsia="仿宋_GB2312" w:cs="Times New Roman"/>
                <w:color w:val="auto"/>
                <w:highlight w:val="none"/>
              </w:rPr>
            </w:pPr>
          </w:p>
          <w:p w14:paraId="214A7AEC">
            <w:pPr>
              <w:spacing w:line="245" w:lineRule="auto"/>
              <w:rPr>
                <w:rFonts w:ascii="Times New Roman" w:hAnsi="Times New Roman" w:eastAsia="仿宋_GB2312" w:cs="Times New Roman"/>
                <w:color w:val="auto"/>
                <w:highlight w:val="none"/>
              </w:rPr>
            </w:pPr>
          </w:p>
          <w:p w14:paraId="7999EB86">
            <w:pPr>
              <w:spacing w:line="245" w:lineRule="auto"/>
              <w:rPr>
                <w:rFonts w:ascii="Times New Roman" w:hAnsi="Times New Roman" w:eastAsia="仿宋_GB2312" w:cs="Times New Roman"/>
                <w:color w:val="auto"/>
                <w:highlight w:val="none"/>
              </w:rPr>
            </w:pPr>
          </w:p>
          <w:p w14:paraId="62C9F5ED">
            <w:pPr>
              <w:spacing w:line="245" w:lineRule="auto"/>
              <w:rPr>
                <w:rFonts w:ascii="Times New Roman" w:hAnsi="Times New Roman" w:eastAsia="仿宋_GB2312" w:cs="Times New Roman"/>
                <w:color w:val="auto"/>
                <w:highlight w:val="none"/>
              </w:rPr>
            </w:pPr>
          </w:p>
          <w:p w14:paraId="14888A1D">
            <w:pPr>
              <w:spacing w:line="245" w:lineRule="auto"/>
              <w:rPr>
                <w:rFonts w:ascii="Times New Roman" w:hAnsi="Times New Roman" w:eastAsia="仿宋_GB2312" w:cs="Times New Roman"/>
                <w:color w:val="auto"/>
                <w:highlight w:val="none"/>
              </w:rPr>
            </w:pPr>
          </w:p>
          <w:p w14:paraId="6D413D49">
            <w:pPr>
              <w:spacing w:line="245" w:lineRule="auto"/>
              <w:rPr>
                <w:rFonts w:ascii="Times New Roman" w:hAnsi="Times New Roman" w:eastAsia="仿宋_GB2312" w:cs="Times New Roman"/>
                <w:color w:val="auto"/>
                <w:highlight w:val="none"/>
              </w:rPr>
            </w:pPr>
          </w:p>
          <w:p w14:paraId="10B88D59">
            <w:pPr>
              <w:spacing w:line="245" w:lineRule="auto"/>
              <w:rPr>
                <w:rFonts w:ascii="Times New Roman" w:hAnsi="Times New Roman" w:eastAsia="仿宋_GB2312" w:cs="Times New Roman"/>
                <w:color w:val="auto"/>
                <w:highlight w:val="none"/>
              </w:rPr>
            </w:pPr>
          </w:p>
          <w:p w14:paraId="07769DF9">
            <w:pPr>
              <w:spacing w:line="245" w:lineRule="auto"/>
              <w:rPr>
                <w:rFonts w:ascii="Times New Roman" w:hAnsi="Times New Roman" w:eastAsia="仿宋_GB2312" w:cs="Times New Roman"/>
                <w:color w:val="auto"/>
                <w:highlight w:val="none"/>
              </w:rPr>
            </w:pPr>
          </w:p>
          <w:p w14:paraId="17496409">
            <w:pPr>
              <w:spacing w:line="245" w:lineRule="auto"/>
              <w:rPr>
                <w:rFonts w:ascii="Times New Roman" w:hAnsi="Times New Roman" w:eastAsia="仿宋_GB2312" w:cs="Times New Roman"/>
                <w:color w:val="auto"/>
                <w:highlight w:val="none"/>
              </w:rPr>
            </w:pPr>
          </w:p>
          <w:p w14:paraId="26A7B8BD">
            <w:pPr>
              <w:pStyle w:val="16"/>
              <w:spacing w:before="78" w:line="238" w:lineRule="auto"/>
              <w:ind w:left="115" w:right="106"/>
              <w:rPr>
                <w:rFonts w:ascii="Times New Roman" w:hAnsi="Times New Roman" w:eastAsia="仿宋_GB2312" w:cs="Times New Roman"/>
                <w:color w:val="auto"/>
                <w:highlight w:val="none"/>
              </w:rPr>
            </w:pPr>
            <w:r>
              <w:rPr>
                <w:rFonts w:ascii="Times New Roman" w:hAnsi="Times New Roman" w:eastAsia="仿宋_GB2312" w:cs="Times New Roman"/>
                <w:color w:val="auto"/>
                <w:spacing w:val="34"/>
                <w:highlight w:val="none"/>
              </w:rPr>
              <w:t>投标人资格</w:t>
            </w:r>
            <w:r>
              <w:rPr>
                <w:rFonts w:ascii="Times New Roman" w:hAnsi="Times New Roman" w:eastAsia="仿宋_GB2312" w:cs="Times New Roman"/>
                <w:color w:val="auto"/>
                <w:spacing w:val="-7"/>
                <w:highlight w:val="none"/>
              </w:rPr>
              <w:t>条件</w:t>
            </w:r>
          </w:p>
        </w:tc>
        <w:tc>
          <w:tcPr>
            <w:tcW w:w="6423" w:type="dxa"/>
          </w:tcPr>
          <w:p w14:paraId="44F4D47F">
            <w:pPr>
              <w:pStyle w:val="16"/>
              <w:spacing w:before="40" w:line="227" w:lineRule="auto"/>
              <w:ind w:left="109" w:right="114" w:firstLine="19"/>
              <w:rPr>
                <w:rFonts w:ascii="Times New Roman" w:hAnsi="Times New Roman" w:eastAsia="仿宋_GB2312" w:cs="Times New Roman"/>
                <w:color w:val="auto"/>
                <w:highlight w:val="none"/>
                <w:lang w:eastAsia="zh-CN"/>
              </w:rPr>
            </w:pPr>
            <w:r>
              <w:rPr>
                <w:rFonts w:ascii="Times New Roman" w:hAnsi="Times New Roman" w:eastAsia="仿宋_GB2312" w:cs="Times New Roman"/>
                <w:color w:val="auto"/>
                <w:spacing w:val="2"/>
                <w:highlight w:val="none"/>
                <w:lang w:eastAsia="zh-CN"/>
              </w:rPr>
              <w:t>1、投标人应符合《中国政府采购网》第二十二条规定并提</w:t>
            </w:r>
            <w:r>
              <w:rPr>
                <w:rFonts w:ascii="Times New Roman" w:hAnsi="Times New Roman" w:eastAsia="仿宋_GB2312" w:cs="Times New Roman"/>
                <w:color w:val="auto"/>
                <w:spacing w:val="-1"/>
                <w:highlight w:val="none"/>
                <w:lang w:eastAsia="zh-CN"/>
              </w:rPr>
              <w:t>供相关证明材料</w:t>
            </w:r>
          </w:p>
          <w:p w14:paraId="19D67B7D">
            <w:pPr>
              <w:pStyle w:val="16"/>
              <w:spacing w:before="31" w:line="231" w:lineRule="auto"/>
              <w:ind w:left="131" w:right="114" w:hanging="22"/>
              <w:jc w:val="both"/>
              <w:rPr>
                <w:rFonts w:ascii="Times New Roman" w:hAnsi="Times New Roman" w:eastAsia="仿宋_GB2312" w:cs="Times New Roman"/>
                <w:color w:val="auto"/>
                <w:highlight w:val="none"/>
                <w:lang w:eastAsia="zh-CN"/>
              </w:rPr>
            </w:pPr>
            <w:r>
              <w:rPr>
                <w:rFonts w:ascii="Times New Roman" w:hAnsi="Times New Roman" w:eastAsia="仿宋_GB2312" w:cs="Times New Roman"/>
                <w:color w:val="auto"/>
                <w:spacing w:val="3"/>
                <w:highlight w:val="none"/>
                <w:lang w:eastAsia="zh-CN"/>
              </w:rPr>
              <w:t>（1）具有独立承担民事责任的能力，须提供有</w:t>
            </w:r>
            <w:r>
              <w:rPr>
                <w:rFonts w:ascii="Times New Roman" w:hAnsi="Times New Roman" w:eastAsia="仿宋_GB2312" w:cs="Times New Roman"/>
                <w:color w:val="auto"/>
                <w:spacing w:val="2"/>
                <w:highlight w:val="none"/>
                <w:lang w:eastAsia="zh-CN"/>
              </w:rPr>
              <w:t>效的营业执</w:t>
            </w:r>
            <w:r>
              <w:rPr>
                <w:rFonts w:ascii="Times New Roman" w:hAnsi="Times New Roman" w:eastAsia="仿宋_GB2312" w:cs="Times New Roman"/>
                <w:color w:val="auto"/>
                <w:spacing w:val="-14"/>
                <w:highlight w:val="none"/>
                <w:lang w:eastAsia="zh-CN"/>
              </w:rPr>
              <w:t>照。</w:t>
            </w:r>
          </w:p>
          <w:p w14:paraId="77FDD234">
            <w:pPr>
              <w:pStyle w:val="16"/>
              <w:spacing w:before="24" w:line="232" w:lineRule="auto"/>
              <w:ind w:left="117" w:right="114" w:hanging="8"/>
              <w:jc w:val="both"/>
              <w:rPr>
                <w:rFonts w:ascii="Times New Roman" w:hAnsi="Times New Roman" w:eastAsia="仿宋_GB2312" w:cs="Times New Roman"/>
                <w:color w:val="auto"/>
                <w:highlight w:val="none"/>
                <w:lang w:eastAsia="zh-CN"/>
              </w:rPr>
            </w:pPr>
            <w:r>
              <w:rPr>
                <w:rFonts w:ascii="Times New Roman" w:hAnsi="Times New Roman" w:eastAsia="仿宋_GB2312" w:cs="Times New Roman"/>
                <w:color w:val="auto"/>
                <w:spacing w:val="3"/>
                <w:highlight w:val="none"/>
                <w:lang w:eastAsia="zh-CN"/>
              </w:rPr>
              <w:t>（2）具有良好的商业信誉和健全的财务会计制</w:t>
            </w:r>
            <w:r>
              <w:rPr>
                <w:rFonts w:ascii="Times New Roman" w:hAnsi="Times New Roman" w:eastAsia="仿宋_GB2312" w:cs="Times New Roman"/>
                <w:color w:val="auto"/>
                <w:spacing w:val="2"/>
                <w:highlight w:val="none"/>
                <w:lang w:eastAsia="zh-CN"/>
              </w:rPr>
              <w:t>度，须提供</w:t>
            </w:r>
            <w:r>
              <w:rPr>
                <w:rFonts w:ascii="Times New Roman" w:hAnsi="Times New Roman" w:eastAsia="仿宋_GB2312" w:cs="Times New Roman"/>
                <w:color w:val="auto"/>
                <w:spacing w:val="1"/>
                <w:highlight w:val="none"/>
                <w:lang w:eastAsia="zh-CN"/>
              </w:rPr>
              <w:t>202</w:t>
            </w:r>
            <w:r>
              <w:rPr>
                <w:rFonts w:hint="eastAsia" w:ascii="Times New Roman" w:hAnsi="Times New Roman" w:eastAsia="仿宋_GB2312" w:cs="Times New Roman"/>
                <w:color w:val="auto"/>
                <w:spacing w:val="1"/>
                <w:highlight w:val="none"/>
                <w:lang w:eastAsia="zh-CN"/>
              </w:rPr>
              <w:t>3</w:t>
            </w:r>
            <w:r>
              <w:rPr>
                <w:rFonts w:ascii="Times New Roman" w:hAnsi="Times New Roman" w:eastAsia="仿宋_GB2312" w:cs="Times New Roman"/>
                <w:color w:val="auto"/>
                <w:spacing w:val="1"/>
                <w:highlight w:val="none"/>
                <w:lang w:eastAsia="zh-CN"/>
              </w:rPr>
              <w:t>年度财务</w:t>
            </w:r>
            <w:r>
              <w:rPr>
                <w:rFonts w:hint="eastAsia" w:ascii="Times New Roman" w:hAnsi="Times New Roman" w:eastAsia="仿宋_GB2312" w:cs="Times New Roman"/>
                <w:color w:val="auto"/>
                <w:spacing w:val="1"/>
                <w:highlight w:val="none"/>
                <w:lang w:eastAsia="zh-CN"/>
              </w:rPr>
              <w:t>审计</w:t>
            </w:r>
            <w:r>
              <w:rPr>
                <w:rFonts w:ascii="Times New Roman" w:hAnsi="Times New Roman" w:eastAsia="仿宋_GB2312" w:cs="Times New Roman"/>
                <w:color w:val="auto"/>
                <w:spacing w:val="1"/>
                <w:highlight w:val="none"/>
                <w:lang w:eastAsia="zh-CN"/>
              </w:rPr>
              <w:t>报告（公司成立时间</w:t>
            </w:r>
            <w:r>
              <w:rPr>
                <w:rFonts w:ascii="Times New Roman" w:hAnsi="Times New Roman" w:eastAsia="仿宋_GB2312" w:cs="Times New Roman"/>
                <w:color w:val="auto"/>
                <w:spacing w:val="-1"/>
                <w:highlight w:val="none"/>
                <w:lang w:eastAsia="zh-CN"/>
              </w:rPr>
              <w:t>不足一年的需提供资信证明）。</w:t>
            </w:r>
          </w:p>
          <w:p w14:paraId="5972A3C6">
            <w:pPr>
              <w:pStyle w:val="16"/>
              <w:spacing w:before="31" w:line="234" w:lineRule="auto"/>
              <w:ind w:left="119" w:right="114" w:hanging="10"/>
              <w:jc w:val="both"/>
              <w:rPr>
                <w:rFonts w:ascii="Times New Roman" w:hAnsi="Times New Roman" w:eastAsia="仿宋_GB2312" w:cs="Times New Roman"/>
                <w:color w:val="auto"/>
                <w:highlight w:val="none"/>
                <w:lang w:eastAsia="zh-CN"/>
              </w:rPr>
            </w:pPr>
            <w:r>
              <w:rPr>
                <w:rFonts w:ascii="Times New Roman" w:hAnsi="Times New Roman" w:eastAsia="仿宋_GB2312" w:cs="Times New Roman"/>
                <w:color w:val="auto"/>
                <w:spacing w:val="3"/>
                <w:highlight w:val="none"/>
                <w:lang w:eastAsia="zh-CN"/>
              </w:rPr>
              <w:t>（3）有依法缴纳税收和社会保障资金的良好记</w:t>
            </w:r>
            <w:r>
              <w:rPr>
                <w:rFonts w:ascii="Times New Roman" w:hAnsi="Times New Roman" w:eastAsia="仿宋_GB2312" w:cs="Times New Roman"/>
                <w:color w:val="auto"/>
                <w:spacing w:val="2"/>
                <w:highlight w:val="none"/>
                <w:lang w:eastAsia="zh-CN"/>
              </w:rPr>
              <w:t>录，须提供</w:t>
            </w:r>
            <w:r>
              <w:rPr>
                <w:rFonts w:ascii="Times New Roman" w:hAnsi="Times New Roman" w:eastAsia="仿宋_GB2312" w:cs="Times New Roman"/>
                <w:color w:val="auto"/>
                <w:spacing w:val="-2"/>
                <w:highlight w:val="none"/>
                <w:lang w:eastAsia="zh-CN"/>
              </w:rPr>
              <w:t>单位自成立以来连续3个月依法缴纳税收和依法缴</w:t>
            </w:r>
            <w:r>
              <w:rPr>
                <w:rFonts w:ascii="Times New Roman" w:hAnsi="Times New Roman" w:eastAsia="仿宋_GB2312" w:cs="Times New Roman"/>
                <w:color w:val="auto"/>
                <w:spacing w:val="-3"/>
                <w:highlight w:val="none"/>
                <w:lang w:eastAsia="zh-CN"/>
              </w:rPr>
              <w:t>纳社会保</w:t>
            </w:r>
            <w:r>
              <w:rPr>
                <w:rFonts w:ascii="Times New Roman" w:hAnsi="Times New Roman" w:eastAsia="仿宋_GB2312" w:cs="Times New Roman"/>
                <w:color w:val="auto"/>
                <w:spacing w:val="-2"/>
                <w:highlight w:val="none"/>
                <w:lang w:eastAsia="zh-CN"/>
              </w:rPr>
              <w:t>险的凭据；依法免税或不需要缴纳社会保障资金</w:t>
            </w:r>
            <w:r>
              <w:rPr>
                <w:rFonts w:ascii="Times New Roman" w:hAnsi="Times New Roman" w:eastAsia="仿宋_GB2312" w:cs="Times New Roman"/>
                <w:color w:val="auto"/>
                <w:spacing w:val="-3"/>
                <w:highlight w:val="none"/>
                <w:lang w:eastAsia="zh-CN"/>
              </w:rPr>
              <w:t>的投标人，</w:t>
            </w:r>
            <w:r>
              <w:rPr>
                <w:rFonts w:ascii="Times New Roman" w:hAnsi="Times New Roman" w:eastAsia="仿宋_GB2312" w:cs="Times New Roman"/>
                <w:color w:val="auto"/>
                <w:spacing w:val="-2"/>
                <w:highlight w:val="none"/>
                <w:lang w:eastAsia="zh-CN"/>
              </w:rPr>
              <w:t>应提供相应证明文件。</w:t>
            </w:r>
          </w:p>
          <w:p w14:paraId="02F98117">
            <w:pPr>
              <w:pStyle w:val="16"/>
              <w:spacing w:before="34" w:line="235" w:lineRule="auto"/>
              <w:ind w:left="109" w:right="114"/>
              <w:jc w:val="both"/>
              <w:rPr>
                <w:rFonts w:ascii="Times New Roman" w:hAnsi="Times New Roman" w:eastAsia="仿宋_GB2312" w:cs="Times New Roman"/>
                <w:color w:val="auto"/>
                <w:highlight w:val="none"/>
                <w:lang w:eastAsia="zh-CN"/>
              </w:rPr>
            </w:pPr>
            <w:r>
              <w:rPr>
                <w:rFonts w:ascii="Times New Roman" w:hAnsi="Times New Roman" w:eastAsia="仿宋_GB2312" w:cs="Times New Roman"/>
                <w:color w:val="auto"/>
                <w:spacing w:val="3"/>
                <w:highlight w:val="none"/>
                <w:lang w:eastAsia="zh-CN"/>
              </w:rPr>
              <w:t>（4）具备履行合同所必需的设备和专业技术能</w:t>
            </w:r>
            <w:r>
              <w:rPr>
                <w:rFonts w:ascii="Times New Roman" w:hAnsi="Times New Roman" w:eastAsia="仿宋_GB2312" w:cs="Times New Roman"/>
                <w:color w:val="auto"/>
                <w:spacing w:val="2"/>
                <w:highlight w:val="none"/>
                <w:lang w:eastAsia="zh-CN"/>
              </w:rPr>
              <w:t>力，须提供</w:t>
            </w:r>
            <w:r>
              <w:rPr>
                <w:rFonts w:ascii="Times New Roman" w:hAnsi="Times New Roman" w:eastAsia="仿宋_GB2312" w:cs="Times New Roman"/>
                <w:color w:val="auto"/>
                <w:spacing w:val="-2"/>
                <w:highlight w:val="none"/>
                <w:lang w:eastAsia="zh-CN"/>
              </w:rPr>
              <w:t>投标人具有履行合同所必需的设备和专业技术能力承诺书。</w:t>
            </w:r>
            <w:r>
              <w:rPr>
                <w:rFonts w:ascii="Times New Roman" w:hAnsi="Times New Roman" w:eastAsia="仿宋_GB2312" w:cs="Times New Roman"/>
                <w:color w:val="auto"/>
                <w:spacing w:val="1"/>
                <w:highlight w:val="none"/>
                <w:lang w:eastAsia="zh-CN"/>
              </w:rPr>
              <w:t>（5）参加政府采购活动近3年内在经营活动中没有重大违</w:t>
            </w:r>
            <w:r>
              <w:rPr>
                <w:rFonts w:ascii="Times New Roman" w:hAnsi="Times New Roman" w:eastAsia="仿宋_GB2312" w:cs="Times New Roman"/>
                <w:color w:val="auto"/>
                <w:spacing w:val="-4"/>
                <w:highlight w:val="none"/>
                <w:lang w:eastAsia="zh-CN"/>
              </w:rPr>
              <w:t>法记录，须提供参加政府采购活动近3年内，在经营活动中</w:t>
            </w:r>
            <w:r>
              <w:rPr>
                <w:rFonts w:ascii="Times New Roman" w:hAnsi="Times New Roman" w:eastAsia="仿宋_GB2312" w:cs="Times New Roman"/>
                <w:color w:val="auto"/>
                <w:spacing w:val="-1"/>
                <w:highlight w:val="none"/>
                <w:lang w:eastAsia="zh-CN"/>
              </w:rPr>
              <w:t>没有重大违法记录的书面声明。</w:t>
            </w:r>
          </w:p>
          <w:p w14:paraId="034DC083">
            <w:pPr>
              <w:pStyle w:val="16"/>
              <w:spacing w:before="29" w:line="216" w:lineRule="auto"/>
              <w:ind w:left="109"/>
              <w:rPr>
                <w:rFonts w:ascii="Times New Roman" w:hAnsi="Times New Roman" w:eastAsia="仿宋_GB2312" w:cs="Times New Roman"/>
                <w:color w:val="auto"/>
                <w:highlight w:val="none"/>
                <w:lang w:eastAsia="zh-CN"/>
              </w:rPr>
            </w:pPr>
            <w:r>
              <w:rPr>
                <w:rFonts w:ascii="Times New Roman" w:hAnsi="Times New Roman" w:eastAsia="仿宋_GB2312" w:cs="Times New Roman"/>
                <w:color w:val="auto"/>
                <w:spacing w:val="-1"/>
                <w:highlight w:val="none"/>
                <w:lang w:eastAsia="zh-CN"/>
              </w:rPr>
              <w:t>（6）具备法律、行政法规规定的其他条件。</w:t>
            </w:r>
          </w:p>
          <w:p w14:paraId="7380B642">
            <w:pPr>
              <w:pStyle w:val="16"/>
              <w:spacing w:before="7" w:line="238" w:lineRule="auto"/>
              <w:ind w:left="109" w:firstLine="23"/>
              <w:jc w:val="both"/>
              <w:rPr>
                <w:rFonts w:ascii="Times New Roman" w:hAnsi="Times New Roman" w:eastAsia="仿宋_GB2312" w:cs="Times New Roman"/>
                <w:color w:val="auto"/>
                <w:spacing w:val="-2"/>
                <w:highlight w:val="none"/>
                <w:lang w:eastAsia="zh-CN"/>
              </w:rPr>
            </w:pPr>
            <w:r>
              <w:rPr>
                <w:rFonts w:hint="eastAsia" w:ascii="Times New Roman" w:hAnsi="Times New Roman" w:eastAsia="仿宋_GB2312" w:cs="Times New Roman"/>
                <w:color w:val="auto"/>
                <w:spacing w:val="-2"/>
                <w:highlight w:val="none"/>
                <w:lang w:eastAsia="zh-CN"/>
              </w:rPr>
              <w:t>2</w:t>
            </w:r>
            <w:r>
              <w:rPr>
                <w:rFonts w:ascii="Times New Roman" w:hAnsi="Times New Roman" w:eastAsia="仿宋_GB2312" w:cs="Times New Roman"/>
                <w:color w:val="auto"/>
                <w:spacing w:val="-2"/>
                <w:highlight w:val="none"/>
                <w:lang w:eastAsia="zh-CN"/>
              </w:rPr>
              <w:t>、投标人应通过“信用中国（</w:t>
            </w:r>
            <w:r>
              <w:rPr>
                <w:color w:val="auto"/>
                <w:highlight w:val="none"/>
              </w:rPr>
              <w:fldChar w:fldCharType="begin"/>
            </w:r>
            <w:r>
              <w:rPr>
                <w:color w:val="auto"/>
                <w:highlight w:val="none"/>
              </w:rPr>
              <w:instrText xml:space="preserve"> HYPERLINK </w:instrText>
            </w:r>
            <w:r>
              <w:rPr>
                <w:color w:val="auto"/>
                <w:highlight w:val="none"/>
              </w:rPr>
              <w:fldChar w:fldCharType="separate"/>
            </w:r>
            <w:r>
              <w:rPr>
                <w:rFonts w:ascii="Times New Roman" w:hAnsi="Times New Roman" w:eastAsia="仿宋_GB2312" w:cs="Times New Roman"/>
                <w:color w:val="auto"/>
                <w:spacing w:val="-2"/>
                <w:highlight w:val="none"/>
                <w:lang w:eastAsia="zh-CN"/>
              </w:rPr>
              <w:t>www.creditchina.gov.cn）”</w:t>
            </w:r>
            <w:r>
              <w:rPr>
                <w:rFonts w:ascii="Times New Roman" w:hAnsi="Times New Roman" w:eastAsia="仿宋_GB2312" w:cs="Times New Roman"/>
                <w:color w:val="auto"/>
                <w:spacing w:val="-2"/>
                <w:highlight w:val="none"/>
                <w:lang w:eastAsia="zh-CN"/>
              </w:rPr>
              <w:fldChar w:fldCharType="end"/>
            </w:r>
            <w:r>
              <w:rPr>
                <w:rFonts w:ascii="Times New Roman" w:hAnsi="Times New Roman" w:eastAsia="仿宋_GB2312" w:cs="Times New Roman"/>
                <w:color w:val="auto"/>
                <w:spacing w:val="-2"/>
                <w:highlight w:val="none"/>
                <w:lang w:eastAsia="zh-CN"/>
              </w:rPr>
              <w:t>查询“失信被执行人、重大税收违法案件当事人名单、政府</w:t>
            </w:r>
            <w:r>
              <w:rPr>
                <w:rFonts w:ascii="Times New Roman" w:hAnsi="Times New Roman" w:eastAsia="仿宋_GB2312" w:cs="Times New Roman"/>
                <w:color w:val="auto"/>
                <w:spacing w:val="12"/>
                <w:highlight w:val="none"/>
                <w:lang w:eastAsia="zh-CN"/>
              </w:rPr>
              <w:t>采购严重违法失信行为记录名单”和“中国政</w:t>
            </w:r>
            <w:r>
              <w:rPr>
                <w:rFonts w:ascii="Times New Roman" w:hAnsi="Times New Roman" w:eastAsia="仿宋_GB2312" w:cs="Times New Roman"/>
                <w:color w:val="auto"/>
                <w:spacing w:val="11"/>
                <w:highlight w:val="none"/>
                <w:lang w:eastAsia="zh-CN"/>
              </w:rPr>
              <w:t>府采购网</w:t>
            </w:r>
            <w:r>
              <w:rPr>
                <w:rFonts w:ascii="Times New Roman" w:hAnsi="Times New Roman" w:eastAsia="仿宋_GB2312" w:cs="Times New Roman"/>
                <w:color w:val="auto"/>
                <w:spacing w:val="1"/>
                <w:highlight w:val="none"/>
                <w:lang w:eastAsia="zh-CN"/>
              </w:rPr>
              <w:t>（</w:t>
            </w:r>
            <w:r>
              <w:rPr>
                <w:rFonts w:ascii="Times New Roman" w:hAnsi="Times New Roman" w:eastAsia="仿宋_GB2312" w:cs="Times New Roman"/>
                <w:color w:val="auto"/>
                <w:highlight w:val="none"/>
                <w:lang w:eastAsia="zh-CN"/>
              </w:rPr>
              <w:t>www</w:t>
            </w:r>
            <w:r>
              <w:rPr>
                <w:rFonts w:ascii="Times New Roman" w:hAnsi="Times New Roman" w:eastAsia="仿宋_GB2312" w:cs="Times New Roman"/>
                <w:color w:val="auto"/>
                <w:spacing w:val="1"/>
                <w:highlight w:val="none"/>
                <w:lang w:eastAsia="zh-CN"/>
              </w:rPr>
              <w:t>.</w:t>
            </w:r>
            <w:r>
              <w:rPr>
                <w:rFonts w:ascii="Times New Roman" w:hAnsi="Times New Roman" w:eastAsia="仿宋_GB2312" w:cs="Times New Roman"/>
                <w:color w:val="auto"/>
                <w:highlight w:val="none"/>
                <w:lang w:eastAsia="zh-CN"/>
              </w:rPr>
              <w:t>ccgp</w:t>
            </w:r>
            <w:r>
              <w:rPr>
                <w:rFonts w:ascii="Times New Roman" w:hAnsi="Times New Roman" w:eastAsia="仿宋_GB2312" w:cs="Times New Roman"/>
                <w:color w:val="auto"/>
                <w:spacing w:val="1"/>
                <w:highlight w:val="none"/>
                <w:lang w:eastAsia="zh-CN"/>
              </w:rPr>
              <w:t>.</w:t>
            </w:r>
            <w:r>
              <w:rPr>
                <w:rFonts w:ascii="Times New Roman" w:hAnsi="Times New Roman" w:eastAsia="仿宋_GB2312" w:cs="Times New Roman"/>
                <w:color w:val="auto"/>
                <w:highlight w:val="none"/>
                <w:lang w:eastAsia="zh-CN"/>
              </w:rPr>
              <w:t>gov</w:t>
            </w:r>
            <w:r>
              <w:rPr>
                <w:rFonts w:ascii="Times New Roman" w:hAnsi="Times New Roman" w:eastAsia="仿宋_GB2312" w:cs="Times New Roman"/>
                <w:color w:val="auto"/>
                <w:spacing w:val="1"/>
                <w:highlight w:val="none"/>
                <w:lang w:eastAsia="zh-CN"/>
              </w:rPr>
              <w:t>.</w:t>
            </w:r>
            <w:r>
              <w:rPr>
                <w:rFonts w:ascii="Times New Roman" w:hAnsi="Times New Roman" w:eastAsia="仿宋_GB2312" w:cs="Times New Roman"/>
                <w:color w:val="auto"/>
                <w:highlight w:val="none"/>
                <w:lang w:eastAsia="zh-CN"/>
              </w:rPr>
              <w:t>cn</w:t>
            </w:r>
            <w:r>
              <w:rPr>
                <w:rFonts w:ascii="Times New Roman" w:hAnsi="Times New Roman" w:eastAsia="仿宋_GB2312" w:cs="Times New Roman"/>
                <w:color w:val="auto"/>
                <w:spacing w:val="1"/>
                <w:highlight w:val="none"/>
                <w:lang w:eastAsia="zh-CN"/>
              </w:rPr>
              <w:t>）”查询“政府采购严重违法失信行为</w:t>
            </w:r>
            <w:r>
              <w:rPr>
                <w:rFonts w:ascii="Times New Roman" w:hAnsi="Times New Roman" w:eastAsia="仿宋_GB2312" w:cs="Times New Roman"/>
                <w:color w:val="auto"/>
                <w:spacing w:val="-2"/>
                <w:highlight w:val="none"/>
                <w:lang w:eastAsia="zh-CN"/>
              </w:rPr>
              <w:t>记录”进行信用查询，投标人需提供网页查询截图加盖单位公章。</w:t>
            </w:r>
          </w:p>
          <w:p w14:paraId="5D9FBBB7">
            <w:pPr>
              <w:pStyle w:val="16"/>
              <w:spacing w:before="7" w:line="238" w:lineRule="auto"/>
              <w:ind w:left="109" w:firstLine="23"/>
              <w:jc w:val="both"/>
              <w:rPr>
                <w:rFonts w:ascii="Times New Roman" w:hAnsi="Times New Roman" w:eastAsia="仿宋_GB2312" w:cs="Times New Roman"/>
                <w:color w:val="auto"/>
                <w:spacing w:val="-2"/>
                <w:highlight w:val="none"/>
                <w:lang w:eastAsia="zh-CN"/>
              </w:rPr>
            </w:pPr>
            <w:r>
              <w:rPr>
                <w:rFonts w:hint="eastAsia" w:ascii="Times New Roman" w:hAnsi="Times New Roman" w:eastAsia="仿宋_GB2312" w:cs="Times New Roman"/>
                <w:color w:val="auto"/>
                <w:spacing w:val="-2"/>
                <w:highlight w:val="none"/>
                <w:lang w:eastAsia="zh-CN"/>
              </w:rPr>
              <w:t>3、投标人须提供法定代表人身份证明及法定代表人身份证 或法定代表人签名并加盖单位公章的授权委托书及被授权 人的身份证。</w:t>
            </w:r>
          </w:p>
          <w:p w14:paraId="5E736E61">
            <w:pPr>
              <w:pStyle w:val="16"/>
              <w:spacing w:before="7" w:line="238" w:lineRule="auto"/>
              <w:ind w:left="109" w:firstLine="23"/>
              <w:jc w:val="both"/>
              <w:rPr>
                <w:rFonts w:ascii="Times New Roman" w:hAnsi="Times New Roman" w:eastAsia="仿宋_GB2312" w:cs="Times New Roman"/>
                <w:color w:val="auto"/>
                <w:highlight w:val="none"/>
                <w:lang w:eastAsia="zh-CN"/>
              </w:rPr>
            </w:pPr>
            <w:r>
              <w:rPr>
                <w:rFonts w:hint="eastAsia" w:ascii="Times New Roman" w:hAnsi="Times New Roman" w:eastAsia="仿宋_GB2312" w:cs="Times New Roman"/>
                <w:color w:val="auto"/>
                <w:spacing w:val="-2"/>
                <w:highlight w:val="none"/>
                <w:lang w:eastAsia="zh-CN"/>
              </w:rPr>
              <w:t>4、投标人中标后不允许分包或转包。</w:t>
            </w:r>
          </w:p>
        </w:tc>
      </w:tr>
    </w:tbl>
    <w:p w14:paraId="5231726F">
      <w:pPr>
        <w:pStyle w:val="6"/>
        <w:rPr>
          <w:color w:val="auto"/>
          <w:highlight w:val="none"/>
          <w:lang w:eastAsia="zh-CN"/>
        </w:rPr>
      </w:pPr>
    </w:p>
    <w:p w14:paraId="33213B43">
      <w:pPr>
        <w:spacing w:before="35"/>
        <w:rPr>
          <w:color w:val="auto"/>
          <w:highlight w:val="none"/>
          <w:lang w:eastAsia="zh-CN"/>
        </w:rPr>
      </w:pPr>
    </w:p>
    <w:p w14:paraId="6DE81964">
      <w:pPr>
        <w:spacing w:before="34"/>
        <w:rPr>
          <w:color w:val="auto"/>
          <w:highlight w:val="none"/>
          <w:lang w:eastAsia="zh-CN"/>
        </w:rPr>
      </w:pPr>
    </w:p>
    <w:tbl>
      <w:tblPr>
        <w:tblStyle w:val="15"/>
        <w:tblW w:w="88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1602"/>
        <w:gridCol w:w="6417"/>
      </w:tblGrid>
      <w:tr w14:paraId="75490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812" w:type="dxa"/>
          </w:tcPr>
          <w:p w14:paraId="5D095C4E">
            <w:pPr>
              <w:spacing w:line="255" w:lineRule="auto"/>
              <w:rPr>
                <w:color w:val="auto"/>
                <w:highlight w:val="none"/>
                <w:lang w:eastAsia="zh-CN"/>
              </w:rPr>
            </w:pPr>
          </w:p>
          <w:p w14:paraId="0F1C9F5A">
            <w:pPr>
              <w:spacing w:line="255" w:lineRule="auto"/>
              <w:rPr>
                <w:color w:val="auto"/>
                <w:highlight w:val="none"/>
                <w:lang w:eastAsia="zh-CN"/>
              </w:rPr>
            </w:pPr>
          </w:p>
          <w:p w14:paraId="3198B8BA">
            <w:pPr>
              <w:spacing w:line="255" w:lineRule="auto"/>
              <w:rPr>
                <w:color w:val="auto"/>
                <w:highlight w:val="none"/>
                <w:lang w:eastAsia="zh-CN"/>
              </w:rPr>
            </w:pPr>
          </w:p>
          <w:p w14:paraId="532D5DBA">
            <w:pPr>
              <w:pStyle w:val="16"/>
              <w:spacing w:before="78" w:line="181" w:lineRule="auto"/>
              <w:ind w:left="396"/>
              <w:rPr>
                <w:color w:val="auto"/>
                <w:highlight w:val="none"/>
              </w:rPr>
            </w:pPr>
            <w:r>
              <w:rPr>
                <w:color w:val="auto"/>
                <w:highlight w:val="none"/>
              </w:rPr>
              <w:t>6</w:t>
            </w:r>
          </w:p>
        </w:tc>
        <w:tc>
          <w:tcPr>
            <w:tcW w:w="1602" w:type="dxa"/>
          </w:tcPr>
          <w:p w14:paraId="59F95DFA">
            <w:pPr>
              <w:pStyle w:val="16"/>
              <w:spacing w:before="7" w:line="238" w:lineRule="auto"/>
              <w:ind w:left="109" w:firstLine="23"/>
              <w:jc w:val="both"/>
              <w:rPr>
                <w:rFonts w:ascii="Times New Roman" w:hAnsi="Times New Roman" w:eastAsia="仿宋_GB2312" w:cs="Times New Roman"/>
                <w:color w:val="auto"/>
                <w:spacing w:val="-2"/>
                <w:highlight w:val="none"/>
                <w:lang w:eastAsia="zh-CN"/>
              </w:rPr>
            </w:pPr>
          </w:p>
          <w:p w14:paraId="54752DA9">
            <w:pPr>
              <w:pStyle w:val="16"/>
              <w:spacing w:before="7" w:line="238" w:lineRule="auto"/>
              <w:ind w:left="109" w:firstLine="23"/>
              <w:jc w:val="both"/>
              <w:rPr>
                <w:rFonts w:ascii="Times New Roman" w:hAnsi="Times New Roman" w:eastAsia="仿宋_GB2312" w:cs="Times New Roman"/>
                <w:color w:val="auto"/>
                <w:spacing w:val="-2"/>
                <w:highlight w:val="none"/>
                <w:lang w:eastAsia="zh-CN"/>
              </w:rPr>
            </w:pPr>
          </w:p>
          <w:p w14:paraId="0A588756">
            <w:pPr>
              <w:pStyle w:val="16"/>
              <w:spacing w:before="7" w:line="238" w:lineRule="auto"/>
              <w:ind w:left="109" w:firstLine="23"/>
              <w:jc w:val="both"/>
              <w:rPr>
                <w:rFonts w:ascii="Times New Roman" w:hAnsi="Times New Roman" w:eastAsia="仿宋_GB2312" w:cs="Times New Roman"/>
                <w:color w:val="auto"/>
                <w:spacing w:val="-2"/>
                <w:highlight w:val="none"/>
                <w:lang w:eastAsia="zh-CN"/>
              </w:rPr>
            </w:pPr>
            <w:r>
              <w:rPr>
                <w:rFonts w:ascii="Times New Roman" w:hAnsi="Times New Roman" w:eastAsia="仿宋_GB2312" w:cs="Times New Roman"/>
                <w:color w:val="auto"/>
                <w:spacing w:val="-2"/>
                <w:highlight w:val="none"/>
                <w:lang w:eastAsia="zh-CN"/>
              </w:rPr>
              <w:t>投标人编制的投标文件</w:t>
            </w:r>
          </w:p>
        </w:tc>
        <w:tc>
          <w:tcPr>
            <w:tcW w:w="6417" w:type="dxa"/>
          </w:tcPr>
          <w:p w14:paraId="5F608A3C">
            <w:pPr>
              <w:pStyle w:val="16"/>
              <w:spacing w:before="7" w:line="238" w:lineRule="auto"/>
              <w:ind w:left="109" w:firstLine="23"/>
              <w:jc w:val="both"/>
              <w:rPr>
                <w:rFonts w:ascii="Times New Roman" w:hAnsi="Times New Roman" w:eastAsia="仿宋_GB2312" w:cs="Times New Roman"/>
                <w:color w:val="auto"/>
                <w:spacing w:val="-2"/>
                <w:highlight w:val="none"/>
                <w:lang w:eastAsia="zh-CN"/>
              </w:rPr>
            </w:pPr>
            <w:r>
              <w:rPr>
                <w:rFonts w:ascii="Times New Roman" w:hAnsi="Times New Roman" w:eastAsia="仿宋_GB2312" w:cs="Times New Roman"/>
                <w:color w:val="auto"/>
                <w:spacing w:val="-2"/>
                <w:highlight w:val="none"/>
                <w:lang w:eastAsia="zh-CN"/>
              </w:rPr>
              <w:t>投标人编制的投标文件应包括但不限于下列内容：</w:t>
            </w:r>
          </w:p>
          <w:p w14:paraId="78FBE558">
            <w:pPr>
              <w:pStyle w:val="16"/>
              <w:spacing w:before="7" w:line="238" w:lineRule="auto"/>
              <w:ind w:left="109" w:firstLine="23"/>
              <w:jc w:val="both"/>
              <w:rPr>
                <w:rFonts w:ascii="Times New Roman" w:hAnsi="Times New Roman" w:eastAsia="仿宋_GB2312" w:cs="Times New Roman"/>
                <w:color w:val="auto"/>
                <w:spacing w:val="-2"/>
                <w:highlight w:val="none"/>
                <w:lang w:eastAsia="zh-CN"/>
              </w:rPr>
            </w:pPr>
            <w:r>
              <w:rPr>
                <w:rFonts w:ascii="Times New Roman" w:hAnsi="Times New Roman" w:eastAsia="仿宋_GB2312" w:cs="Times New Roman"/>
                <w:color w:val="auto"/>
                <w:spacing w:val="-2"/>
                <w:highlight w:val="none"/>
                <w:lang w:eastAsia="zh-CN"/>
              </w:rPr>
              <w:t>（1）投标书；</w:t>
            </w:r>
          </w:p>
          <w:p w14:paraId="6C1BC8B2">
            <w:pPr>
              <w:pStyle w:val="16"/>
              <w:spacing w:before="7" w:line="238" w:lineRule="auto"/>
              <w:ind w:left="109" w:firstLine="23"/>
              <w:jc w:val="both"/>
              <w:rPr>
                <w:rFonts w:ascii="Times New Roman" w:hAnsi="Times New Roman" w:eastAsia="仿宋_GB2312" w:cs="Times New Roman"/>
                <w:color w:val="auto"/>
                <w:spacing w:val="-2"/>
                <w:highlight w:val="none"/>
                <w:lang w:eastAsia="zh-CN"/>
              </w:rPr>
            </w:pPr>
            <w:r>
              <w:rPr>
                <w:rFonts w:ascii="Times New Roman" w:hAnsi="Times New Roman" w:eastAsia="仿宋_GB2312" w:cs="Times New Roman"/>
                <w:color w:val="auto"/>
                <w:spacing w:val="-2"/>
                <w:highlight w:val="none"/>
                <w:lang w:eastAsia="zh-CN"/>
              </w:rPr>
              <w:t>（2）法人代表授权书；</w:t>
            </w:r>
          </w:p>
          <w:p w14:paraId="288051EB">
            <w:pPr>
              <w:pStyle w:val="16"/>
              <w:spacing w:before="7" w:line="238" w:lineRule="auto"/>
              <w:ind w:left="109" w:firstLine="23"/>
              <w:jc w:val="both"/>
              <w:rPr>
                <w:rFonts w:ascii="Times New Roman" w:hAnsi="Times New Roman" w:eastAsia="仿宋_GB2312" w:cs="Times New Roman"/>
                <w:color w:val="auto"/>
                <w:spacing w:val="-2"/>
                <w:highlight w:val="none"/>
                <w:lang w:eastAsia="zh-CN"/>
              </w:rPr>
            </w:pPr>
            <w:r>
              <w:rPr>
                <w:rFonts w:ascii="Times New Roman" w:hAnsi="Times New Roman" w:eastAsia="仿宋_GB2312" w:cs="Times New Roman"/>
                <w:color w:val="auto"/>
                <w:spacing w:val="-2"/>
                <w:highlight w:val="none"/>
                <w:lang w:eastAsia="zh-CN"/>
              </w:rPr>
              <w:t>（3）投标资格证明文件；</w:t>
            </w:r>
          </w:p>
          <w:p w14:paraId="58034330">
            <w:pPr>
              <w:pStyle w:val="16"/>
              <w:spacing w:before="7" w:line="238" w:lineRule="auto"/>
              <w:ind w:left="109" w:firstLine="23"/>
              <w:jc w:val="both"/>
              <w:rPr>
                <w:rFonts w:ascii="Times New Roman" w:hAnsi="Times New Roman" w:eastAsia="仿宋_GB2312" w:cs="Times New Roman"/>
                <w:color w:val="auto"/>
                <w:spacing w:val="-2"/>
                <w:highlight w:val="none"/>
                <w:lang w:eastAsia="zh-CN"/>
              </w:rPr>
            </w:pPr>
            <w:r>
              <w:rPr>
                <w:rFonts w:ascii="Times New Roman" w:hAnsi="Times New Roman" w:eastAsia="仿宋_GB2312" w:cs="Times New Roman"/>
                <w:color w:val="auto"/>
                <w:spacing w:val="-2"/>
                <w:highlight w:val="none"/>
                <w:lang w:eastAsia="zh-CN"/>
              </w:rPr>
              <w:t>（4）投标技术文件；</w:t>
            </w:r>
          </w:p>
          <w:p w14:paraId="0557074A">
            <w:pPr>
              <w:pStyle w:val="16"/>
              <w:spacing w:before="7" w:line="238" w:lineRule="auto"/>
              <w:ind w:left="109" w:firstLine="23"/>
              <w:jc w:val="both"/>
              <w:rPr>
                <w:rFonts w:ascii="Times New Roman" w:hAnsi="Times New Roman" w:eastAsia="仿宋_GB2312" w:cs="Times New Roman"/>
                <w:color w:val="auto"/>
                <w:spacing w:val="-2"/>
                <w:highlight w:val="none"/>
                <w:lang w:eastAsia="zh-CN"/>
              </w:rPr>
            </w:pPr>
            <w:r>
              <w:rPr>
                <w:rFonts w:ascii="Times New Roman" w:hAnsi="Times New Roman" w:eastAsia="仿宋_GB2312" w:cs="Times New Roman"/>
                <w:color w:val="auto"/>
                <w:spacing w:val="-2"/>
                <w:highlight w:val="none"/>
                <w:lang w:eastAsia="zh-CN"/>
              </w:rPr>
              <w:t>（5）投标人认为的其他资料。</w:t>
            </w:r>
          </w:p>
        </w:tc>
      </w:tr>
      <w:tr w14:paraId="7B7B9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812" w:type="dxa"/>
          </w:tcPr>
          <w:p w14:paraId="0CB33577">
            <w:pPr>
              <w:pStyle w:val="16"/>
              <w:spacing w:before="286" w:line="178" w:lineRule="auto"/>
              <w:ind w:left="348"/>
              <w:rPr>
                <w:color w:val="auto"/>
                <w:highlight w:val="none"/>
              </w:rPr>
            </w:pPr>
            <w:r>
              <w:rPr>
                <w:color w:val="auto"/>
                <w:highlight w:val="none"/>
              </w:rPr>
              <w:t>7</w:t>
            </w:r>
          </w:p>
        </w:tc>
        <w:tc>
          <w:tcPr>
            <w:tcW w:w="1602" w:type="dxa"/>
          </w:tcPr>
          <w:p w14:paraId="6158AAC6">
            <w:pPr>
              <w:pStyle w:val="16"/>
              <w:spacing w:before="7" w:line="238" w:lineRule="auto"/>
              <w:ind w:left="109" w:firstLine="23"/>
              <w:jc w:val="both"/>
              <w:rPr>
                <w:rFonts w:ascii="Times New Roman" w:hAnsi="Times New Roman" w:eastAsia="仿宋_GB2312" w:cs="Times New Roman"/>
                <w:color w:val="auto"/>
                <w:spacing w:val="-2"/>
                <w:highlight w:val="none"/>
                <w:lang w:eastAsia="zh-CN"/>
              </w:rPr>
            </w:pPr>
            <w:r>
              <w:rPr>
                <w:rFonts w:ascii="Times New Roman" w:hAnsi="Times New Roman" w:eastAsia="仿宋_GB2312" w:cs="Times New Roman"/>
                <w:color w:val="auto"/>
                <w:spacing w:val="-2"/>
                <w:highlight w:val="none"/>
                <w:lang w:eastAsia="zh-CN"/>
              </w:rPr>
              <w:t>投标货币</w:t>
            </w:r>
          </w:p>
        </w:tc>
        <w:tc>
          <w:tcPr>
            <w:tcW w:w="6417" w:type="dxa"/>
          </w:tcPr>
          <w:p w14:paraId="4C75DC7A">
            <w:pPr>
              <w:pStyle w:val="16"/>
              <w:spacing w:before="7" w:line="238" w:lineRule="auto"/>
              <w:ind w:left="109" w:firstLine="23"/>
              <w:jc w:val="both"/>
              <w:rPr>
                <w:rFonts w:ascii="Times New Roman" w:hAnsi="Times New Roman" w:eastAsia="仿宋_GB2312" w:cs="Times New Roman"/>
                <w:color w:val="auto"/>
                <w:spacing w:val="-2"/>
                <w:highlight w:val="none"/>
                <w:lang w:eastAsia="zh-CN"/>
              </w:rPr>
            </w:pPr>
            <w:r>
              <w:rPr>
                <w:rFonts w:ascii="Times New Roman" w:hAnsi="Times New Roman" w:eastAsia="仿宋_GB2312" w:cs="Times New Roman"/>
                <w:color w:val="auto"/>
                <w:spacing w:val="-2"/>
                <w:highlight w:val="none"/>
                <w:lang w:eastAsia="zh-CN"/>
              </w:rPr>
              <w:t>人民币。</w:t>
            </w:r>
          </w:p>
        </w:tc>
      </w:tr>
      <w:tr w14:paraId="29C9D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812" w:type="dxa"/>
          </w:tcPr>
          <w:p w14:paraId="0930AA53">
            <w:pPr>
              <w:pStyle w:val="16"/>
              <w:spacing w:before="284" w:line="181" w:lineRule="auto"/>
              <w:ind w:left="355"/>
              <w:rPr>
                <w:color w:val="auto"/>
                <w:highlight w:val="none"/>
              </w:rPr>
            </w:pPr>
            <w:r>
              <w:rPr>
                <w:color w:val="auto"/>
                <w:highlight w:val="none"/>
              </w:rPr>
              <w:t>8</w:t>
            </w:r>
          </w:p>
        </w:tc>
        <w:tc>
          <w:tcPr>
            <w:tcW w:w="1602" w:type="dxa"/>
          </w:tcPr>
          <w:p w14:paraId="0BBFC31A">
            <w:pPr>
              <w:pStyle w:val="16"/>
              <w:spacing w:before="7" w:line="238" w:lineRule="auto"/>
              <w:ind w:left="109" w:firstLine="23"/>
              <w:jc w:val="both"/>
              <w:rPr>
                <w:rFonts w:ascii="Times New Roman" w:hAnsi="Times New Roman" w:eastAsia="仿宋_GB2312" w:cs="Times New Roman"/>
                <w:color w:val="auto"/>
                <w:spacing w:val="-2"/>
                <w:highlight w:val="none"/>
                <w:lang w:eastAsia="zh-CN"/>
              </w:rPr>
            </w:pPr>
            <w:r>
              <w:rPr>
                <w:rFonts w:ascii="Times New Roman" w:hAnsi="Times New Roman" w:eastAsia="仿宋_GB2312" w:cs="Times New Roman"/>
                <w:color w:val="auto"/>
                <w:spacing w:val="-2"/>
                <w:highlight w:val="none"/>
                <w:lang w:eastAsia="zh-CN"/>
              </w:rPr>
              <w:t>报价要求</w:t>
            </w:r>
          </w:p>
        </w:tc>
        <w:tc>
          <w:tcPr>
            <w:tcW w:w="6417" w:type="dxa"/>
          </w:tcPr>
          <w:p w14:paraId="5A91070D">
            <w:pPr>
              <w:pStyle w:val="16"/>
              <w:spacing w:before="7" w:line="238" w:lineRule="auto"/>
              <w:ind w:left="109" w:right="108" w:firstLine="23"/>
              <w:jc w:val="both"/>
              <w:rPr>
                <w:rFonts w:ascii="Times New Roman" w:hAnsi="Times New Roman" w:eastAsia="仿宋_GB2312" w:cs="Times New Roman"/>
                <w:color w:val="auto"/>
                <w:spacing w:val="-2"/>
                <w:highlight w:val="none"/>
                <w:lang w:eastAsia="zh-CN"/>
              </w:rPr>
            </w:pPr>
            <w:r>
              <w:rPr>
                <w:rFonts w:ascii="Times New Roman" w:hAnsi="Times New Roman" w:eastAsia="仿宋_GB2312" w:cs="Times New Roman"/>
                <w:color w:val="auto"/>
                <w:spacing w:val="-2"/>
                <w:highlight w:val="none"/>
                <w:lang w:eastAsia="zh-CN"/>
              </w:rPr>
              <w:t>综合服务价（包括人工、设备、管理、交通、物耗、培训等完成本项目采购内容所需的一切费用）。</w:t>
            </w:r>
          </w:p>
        </w:tc>
      </w:tr>
      <w:tr w14:paraId="662824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812" w:type="dxa"/>
          </w:tcPr>
          <w:p w14:paraId="2C5D3583">
            <w:pPr>
              <w:pStyle w:val="16"/>
              <w:spacing w:before="204" w:line="181" w:lineRule="auto"/>
              <w:ind w:left="357"/>
              <w:rPr>
                <w:color w:val="auto"/>
                <w:highlight w:val="none"/>
              </w:rPr>
            </w:pPr>
            <w:r>
              <w:rPr>
                <w:color w:val="auto"/>
                <w:highlight w:val="none"/>
              </w:rPr>
              <w:t>9</w:t>
            </w:r>
          </w:p>
        </w:tc>
        <w:tc>
          <w:tcPr>
            <w:tcW w:w="1602" w:type="dxa"/>
          </w:tcPr>
          <w:p w14:paraId="4DD095D7">
            <w:pPr>
              <w:pStyle w:val="16"/>
              <w:spacing w:before="7" w:line="238" w:lineRule="auto"/>
              <w:ind w:left="109" w:firstLine="23"/>
              <w:jc w:val="both"/>
              <w:rPr>
                <w:rFonts w:ascii="Times New Roman" w:hAnsi="Times New Roman" w:eastAsia="仿宋_GB2312" w:cs="Times New Roman"/>
                <w:color w:val="auto"/>
                <w:spacing w:val="-2"/>
                <w:highlight w:val="none"/>
                <w:lang w:eastAsia="zh-CN"/>
              </w:rPr>
            </w:pPr>
            <w:r>
              <w:rPr>
                <w:rFonts w:ascii="Times New Roman" w:hAnsi="Times New Roman" w:eastAsia="仿宋_GB2312" w:cs="Times New Roman"/>
                <w:color w:val="auto"/>
                <w:spacing w:val="-2"/>
                <w:highlight w:val="none"/>
                <w:lang w:eastAsia="zh-CN"/>
              </w:rPr>
              <w:t>备选方案</w:t>
            </w:r>
          </w:p>
        </w:tc>
        <w:tc>
          <w:tcPr>
            <w:tcW w:w="6417" w:type="dxa"/>
          </w:tcPr>
          <w:p w14:paraId="21D4B17E">
            <w:pPr>
              <w:pStyle w:val="16"/>
              <w:spacing w:before="7" w:line="238" w:lineRule="auto"/>
              <w:ind w:left="109" w:firstLine="23"/>
              <w:jc w:val="both"/>
              <w:rPr>
                <w:rFonts w:ascii="Times New Roman" w:hAnsi="Times New Roman" w:eastAsia="仿宋_GB2312" w:cs="Times New Roman"/>
                <w:color w:val="auto"/>
                <w:spacing w:val="-2"/>
                <w:highlight w:val="none"/>
                <w:lang w:eastAsia="zh-CN"/>
              </w:rPr>
            </w:pPr>
            <w:r>
              <w:rPr>
                <w:rFonts w:ascii="Times New Roman" w:hAnsi="Times New Roman" w:eastAsia="仿宋_GB2312" w:cs="Times New Roman"/>
                <w:color w:val="auto"/>
                <w:spacing w:val="-2"/>
                <w:highlight w:val="none"/>
                <w:lang w:eastAsia="zh-CN"/>
              </w:rPr>
              <w:t>不接受</w:t>
            </w:r>
          </w:p>
        </w:tc>
      </w:tr>
      <w:tr w14:paraId="3B913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12" w:type="dxa"/>
          </w:tcPr>
          <w:p w14:paraId="5F4710E9">
            <w:pPr>
              <w:pStyle w:val="16"/>
              <w:spacing w:before="190" w:line="181" w:lineRule="auto"/>
              <w:ind w:left="313"/>
              <w:rPr>
                <w:color w:val="auto"/>
                <w:highlight w:val="none"/>
              </w:rPr>
            </w:pPr>
            <w:r>
              <w:rPr>
                <w:color w:val="auto"/>
                <w:spacing w:val="-13"/>
                <w:highlight w:val="none"/>
              </w:rPr>
              <w:t>10</w:t>
            </w:r>
          </w:p>
        </w:tc>
        <w:tc>
          <w:tcPr>
            <w:tcW w:w="1602" w:type="dxa"/>
          </w:tcPr>
          <w:p w14:paraId="611D3C1F">
            <w:pPr>
              <w:pStyle w:val="16"/>
              <w:spacing w:before="7" w:line="238" w:lineRule="auto"/>
              <w:ind w:left="109" w:firstLine="23"/>
              <w:jc w:val="both"/>
              <w:rPr>
                <w:rFonts w:ascii="Times New Roman" w:hAnsi="Times New Roman" w:eastAsia="仿宋_GB2312" w:cs="Times New Roman"/>
                <w:color w:val="auto"/>
                <w:spacing w:val="-2"/>
                <w:highlight w:val="none"/>
                <w:lang w:eastAsia="zh-CN"/>
              </w:rPr>
            </w:pPr>
            <w:r>
              <w:rPr>
                <w:rFonts w:ascii="Times New Roman" w:hAnsi="Times New Roman" w:eastAsia="仿宋_GB2312" w:cs="Times New Roman"/>
                <w:color w:val="auto"/>
                <w:spacing w:val="-2"/>
                <w:highlight w:val="none"/>
                <w:lang w:eastAsia="zh-CN"/>
              </w:rPr>
              <w:t>现场踏勘</w:t>
            </w:r>
          </w:p>
        </w:tc>
        <w:tc>
          <w:tcPr>
            <w:tcW w:w="6417" w:type="dxa"/>
          </w:tcPr>
          <w:p w14:paraId="2B125601">
            <w:pPr>
              <w:pStyle w:val="16"/>
              <w:spacing w:before="7" w:line="238" w:lineRule="auto"/>
              <w:ind w:left="109" w:firstLine="23"/>
              <w:jc w:val="both"/>
              <w:rPr>
                <w:rFonts w:ascii="Times New Roman" w:hAnsi="Times New Roman" w:eastAsia="仿宋_GB2312" w:cs="Times New Roman"/>
                <w:color w:val="auto"/>
                <w:spacing w:val="-2"/>
                <w:highlight w:val="none"/>
                <w:lang w:eastAsia="zh-CN"/>
              </w:rPr>
            </w:pPr>
            <w:r>
              <w:rPr>
                <w:rFonts w:ascii="Times New Roman" w:hAnsi="Times New Roman" w:eastAsia="仿宋_GB2312" w:cs="Times New Roman"/>
                <w:color w:val="auto"/>
                <w:spacing w:val="-2"/>
                <w:highlight w:val="none"/>
                <w:lang w:eastAsia="zh-CN"/>
              </w:rPr>
              <w:t>不组织</w:t>
            </w:r>
          </w:p>
        </w:tc>
      </w:tr>
      <w:tr w14:paraId="69B8C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12" w:type="dxa"/>
          </w:tcPr>
          <w:p w14:paraId="7C3A6646">
            <w:pPr>
              <w:pStyle w:val="16"/>
              <w:spacing w:before="302" w:line="180" w:lineRule="auto"/>
              <w:ind w:left="308"/>
              <w:rPr>
                <w:color w:val="auto"/>
                <w:highlight w:val="none"/>
              </w:rPr>
            </w:pPr>
            <w:r>
              <w:rPr>
                <w:color w:val="auto"/>
                <w:spacing w:val="-13"/>
                <w:highlight w:val="none"/>
              </w:rPr>
              <w:t>11</w:t>
            </w:r>
          </w:p>
        </w:tc>
        <w:tc>
          <w:tcPr>
            <w:tcW w:w="1602" w:type="dxa"/>
          </w:tcPr>
          <w:p w14:paraId="5EF86BCB">
            <w:pPr>
              <w:pStyle w:val="16"/>
              <w:spacing w:before="7" w:line="238" w:lineRule="auto"/>
              <w:ind w:left="109" w:firstLine="23"/>
              <w:jc w:val="both"/>
              <w:rPr>
                <w:rFonts w:ascii="Times New Roman" w:hAnsi="Times New Roman" w:eastAsia="仿宋_GB2312" w:cs="Times New Roman"/>
                <w:color w:val="auto"/>
                <w:spacing w:val="-2"/>
                <w:highlight w:val="none"/>
                <w:lang w:eastAsia="zh-CN"/>
              </w:rPr>
            </w:pPr>
            <w:r>
              <w:rPr>
                <w:rFonts w:ascii="Times New Roman" w:hAnsi="Times New Roman" w:eastAsia="仿宋_GB2312" w:cs="Times New Roman"/>
                <w:color w:val="auto"/>
                <w:spacing w:val="-2"/>
                <w:highlight w:val="none"/>
                <w:lang w:eastAsia="zh-CN"/>
              </w:rPr>
              <w:t>投标文件份数</w:t>
            </w:r>
          </w:p>
        </w:tc>
        <w:tc>
          <w:tcPr>
            <w:tcW w:w="6417" w:type="dxa"/>
          </w:tcPr>
          <w:p w14:paraId="61C667E4">
            <w:pPr>
              <w:pStyle w:val="16"/>
              <w:spacing w:before="7" w:line="217" w:lineRule="auto"/>
              <w:ind w:left="109" w:firstLine="23"/>
              <w:jc w:val="both"/>
              <w:rPr>
                <w:rFonts w:ascii="Times New Roman" w:hAnsi="Times New Roman" w:eastAsia="仿宋_GB2312" w:cs="Times New Roman"/>
                <w:color w:val="auto"/>
                <w:spacing w:val="-2"/>
                <w:highlight w:val="none"/>
                <w:lang w:eastAsia="zh-CN"/>
              </w:rPr>
            </w:pPr>
            <w:r>
              <w:rPr>
                <w:rFonts w:ascii="Times New Roman" w:hAnsi="Times New Roman" w:eastAsia="仿宋_GB2312" w:cs="Times New Roman"/>
                <w:color w:val="auto"/>
                <w:spacing w:val="-2"/>
                <w:highlight w:val="none"/>
                <w:lang w:eastAsia="zh-CN"/>
              </w:rPr>
              <w:t>正本壹份，副本贰份，电子版壹份</w:t>
            </w:r>
          </w:p>
          <w:p w14:paraId="227535D5">
            <w:pPr>
              <w:pStyle w:val="16"/>
              <w:spacing w:before="7" w:line="223" w:lineRule="auto"/>
              <w:ind w:left="109" w:firstLine="23"/>
              <w:jc w:val="both"/>
              <w:rPr>
                <w:rFonts w:ascii="Times New Roman" w:hAnsi="Times New Roman" w:eastAsia="仿宋_GB2312" w:cs="Times New Roman"/>
                <w:color w:val="auto"/>
                <w:spacing w:val="-2"/>
                <w:highlight w:val="none"/>
                <w:lang w:eastAsia="zh-CN"/>
              </w:rPr>
            </w:pPr>
            <w:r>
              <w:rPr>
                <w:rFonts w:ascii="Times New Roman" w:hAnsi="Times New Roman" w:eastAsia="仿宋_GB2312" w:cs="Times New Roman"/>
                <w:color w:val="auto"/>
                <w:spacing w:val="-2"/>
                <w:highlight w:val="none"/>
                <w:lang w:eastAsia="zh-CN"/>
              </w:rPr>
              <w:t>注：现场提交纸质文件、电子版文件，并请注明投标单位名称，所有投标文件概不退还。</w:t>
            </w:r>
          </w:p>
        </w:tc>
      </w:tr>
      <w:tr w14:paraId="5AFE0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812" w:type="dxa"/>
          </w:tcPr>
          <w:p w14:paraId="7821E054">
            <w:pPr>
              <w:pStyle w:val="16"/>
              <w:spacing w:before="223" w:line="180" w:lineRule="auto"/>
              <w:ind w:left="308"/>
              <w:rPr>
                <w:color w:val="auto"/>
                <w:highlight w:val="none"/>
              </w:rPr>
            </w:pPr>
            <w:r>
              <w:rPr>
                <w:color w:val="auto"/>
                <w:spacing w:val="-13"/>
                <w:highlight w:val="none"/>
              </w:rPr>
              <w:t>12</w:t>
            </w:r>
          </w:p>
        </w:tc>
        <w:tc>
          <w:tcPr>
            <w:tcW w:w="1602" w:type="dxa"/>
          </w:tcPr>
          <w:p w14:paraId="22F3545C">
            <w:pPr>
              <w:pStyle w:val="16"/>
              <w:spacing w:before="7" w:line="238" w:lineRule="auto"/>
              <w:ind w:left="109" w:firstLine="23"/>
              <w:jc w:val="both"/>
              <w:rPr>
                <w:rFonts w:ascii="Times New Roman" w:hAnsi="Times New Roman" w:eastAsia="仿宋_GB2312" w:cs="Times New Roman"/>
                <w:color w:val="auto"/>
                <w:spacing w:val="-2"/>
                <w:highlight w:val="none"/>
                <w:lang w:eastAsia="zh-CN"/>
              </w:rPr>
            </w:pPr>
            <w:r>
              <w:rPr>
                <w:rFonts w:ascii="Times New Roman" w:hAnsi="Times New Roman" w:eastAsia="仿宋_GB2312" w:cs="Times New Roman"/>
                <w:color w:val="auto"/>
                <w:spacing w:val="-2"/>
                <w:highlight w:val="none"/>
                <w:lang w:eastAsia="zh-CN"/>
              </w:rPr>
              <w:t>投标文件的密封</w:t>
            </w:r>
          </w:p>
        </w:tc>
        <w:tc>
          <w:tcPr>
            <w:tcW w:w="6417" w:type="dxa"/>
          </w:tcPr>
          <w:p w14:paraId="7F0A85A6">
            <w:pPr>
              <w:pStyle w:val="16"/>
              <w:spacing w:before="7" w:line="238" w:lineRule="auto"/>
              <w:ind w:left="109" w:firstLine="23"/>
              <w:jc w:val="both"/>
              <w:rPr>
                <w:rFonts w:ascii="Times New Roman" w:hAnsi="Times New Roman" w:eastAsia="仿宋_GB2312" w:cs="Times New Roman"/>
                <w:color w:val="auto"/>
                <w:spacing w:val="-2"/>
                <w:highlight w:val="none"/>
                <w:lang w:eastAsia="zh-CN"/>
              </w:rPr>
            </w:pPr>
            <w:r>
              <w:rPr>
                <w:rFonts w:ascii="Times New Roman" w:hAnsi="Times New Roman" w:eastAsia="仿宋_GB2312" w:cs="Times New Roman"/>
                <w:color w:val="auto"/>
                <w:spacing w:val="-2"/>
                <w:highlight w:val="none"/>
                <w:lang w:eastAsia="zh-CN"/>
              </w:rPr>
              <w:t>投标文件必须胶装、密封，并在密封件启封处加盖公章，否则按废标处理；</w:t>
            </w:r>
          </w:p>
        </w:tc>
      </w:tr>
      <w:tr w14:paraId="2259D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812" w:type="dxa"/>
          </w:tcPr>
          <w:p w14:paraId="3A5D3530">
            <w:pPr>
              <w:pStyle w:val="16"/>
              <w:spacing w:before="285" w:line="181" w:lineRule="auto"/>
              <w:ind w:left="328"/>
              <w:rPr>
                <w:color w:val="auto"/>
                <w:highlight w:val="none"/>
              </w:rPr>
            </w:pPr>
            <w:r>
              <w:rPr>
                <w:color w:val="auto"/>
                <w:spacing w:val="-13"/>
                <w:highlight w:val="none"/>
              </w:rPr>
              <w:t>13</w:t>
            </w:r>
          </w:p>
        </w:tc>
        <w:tc>
          <w:tcPr>
            <w:tcW w:w="1602" w:type="dxa"/>
          </w:tcPr>
          <w:p w14:paraId="59B3FF91">
            <w:pPr>
              <w:pStyle w:val="16"/>
              <w:spacing w:before="7" w:line="238" w:lineRule="auto"/>
              <w:ind w:left="109" w:firstLine="23"/>
              <w:jc w:val="both"/>
              <w:rPr>
                <w:rFonts w:ascii="Times New Roman" w:hAnsi="Times New Roman" w:eastAsia="仿宋_GB2312" w:cs="Times New Roman"/>
                <w:color w:val="auto"/>
                <w:spacing w:val="-2"/>
                <w:highlight w:val="none"/>
                <w:lang w:eastAsia="zh-CN"/>
              </w:rPr>
            </w:pPr>
            <w:r>
              <w:rPr>
                <w:rFonts w:ascii="Times New Roman" w:hAnsi="Times New Roman" w:eastAsia="仿宋_GB2312" w:cs="Times New Roman"/>
                <w:color w:val="auto"/>
                <w:spacing w:val="-2"/>
                <w:highlight w:val="none"/>
                <w:lang w:eastAsia="zh-CN"/>
              </w:rPr>
              <w:t>投标截止时间及地点</w:t>
            </w:r>
          </w:p>
        </w:tc>
        <w:tc>
          <w:tcPr>
            <w:tcW w:w="6417" w:type="dxa"/>
          </w:tcPr>
          <w:p w14:paraId="69AB264A">
            <w:pPr>
              <w:pStyle w:val="16"/>
              <w:spacing w:before="7" w:line="217" w:lineRule="auto"/>
              <w:ind w:left="109" w:firstLine="23"/>
              <w:jc w:val="both"/>
              <w:rPr>
                <w:rFonts w:ascii="Times New Roman" w:hAnsi="Times New Roman" w:eastAsia="仿宋_GB2312" w:cs="Times New Roman"/>
                <w:color w:val="auto"/>
                <w:spacing w:val="-2"/>
                <w:highlight w:val="none"/>
                <w:lang w:eastAsia="zh-CN"/>
              </w:rPr>
            </w:pPr>
            <w:r>
              <w:rPr>
                <w:rFonts w:ascii="Times New Roman" w:hAnsi="Times New Roman" w:eastAsia="仿宋_GB2312" w:cs="Times New Roman"/>
                <w:color w:val="auto"/>
                <w:spacing w:val="-2"/>
                <w:highlight w:val="none"/>
                <w:lang w:eastAsia="zh-CN"/>
              </w:rPr>
              <w:t>时间：</w:t>
            </w:r>
            <w:r>
              <w:rPr>
                <w:rFonts w:hint="eastAsia" w:ascii="Times New Roman" w:hAnsi="Times New Roman" w:eastAsia="仿宋_GB2312" w:cs="Times New Roman"/>
                <w:color w:val="auto"/>
                <w:spacing w:val="-2"/>
                <w:highlight w:val="none"/>
                <w:lang w:eastAsia="zh-CN"/>
              </w:rPr>
              <w:t>202</w:t>
            </w:r>
            <w:r>
              <w:rPr>
                <w:rFonts w:hint="eastAsia" w:ascii="Times New Roman" w:hAnsi="Times New Roman" w:eastAsia="仿宋_GB2312" w:cs="Times New Roman"/>
                <w:color w:val="auto"/>
                <w:spacing w:val="-2"/>
                <w:highlight w:val="none"/>
                <w:lang w:val="en-US" w:eastAsia="zh-CN"/>
              </w:rPr>
              <w:t>5</w:t>
            </w:r>
            <w:r>
              <w:rPr>
                <w:rFonts w:ascii="Times New Roman" w:hAnsi="Times New Roman" w:eastAsia="仿宋_GB2312" w:cs="Times New Roman"/>
                <w:color w:val="auto"/>
                <w:spacing w:val="-2"/>
                <w:highlight w:val="none"/>
                <w:lang w:eastAsia="zh-CN"/>
              </w:rPr>
              <w:t>年</w:t>
            </w:r>
            <w:r>
              <w:rPr>
                <w:rFonts w:hint="eastAsia" w:ascii="Times New Roman" w:hAnsi="Times New Roman" w:eastAsia="仿宋_GB2312" w:cs="Times New Roman"/>
                <w:color w:val="auto"/>
                <w:spacing w:val="-2"/>
                <w:highlight w:val="none"/>
                <w:lang w:val="en-US" w:eastAsia="zh-CN"/>
              </w:rPr>
              <w:t>1</w:t>
            </w:r>
            <w:r>
              <w:rPr>
                <w:rFonts w:ascii="Times New Roman" w:hAnsi="Times New Roman" w:eastAsia="仿宋_GB2312" w:cs="Times New Roman"/>
                <w:color w:val="auto"/>
                <w:spacing w:val="-2"/>
                <w:highlight w:val="none"/>
                <w:lang w:eastAsia="zh-CN"/>
              </w:rPr>
              <w:t>月</w:t>
            </w:r>
            <w:r>
              <w:rPr>
                <w:rFonts w:hint="eastAsia" w:ascii="Times New Roman" w:hAnsi="Times New Roman" w:eastAsia="仿宋_GB2312" w:cs="Times New Roman"/>
                <w:color w:val="auto"/>
                <w:spacing w:val="-2"/>
                <w:highlight w:val="none"/>
                <w:lang w:val="en-US" w:eastAsia="zh-CN"/>
              </w:rPr>
              <w:t>6</w:t>
            </w:r>
            <w:r>
              <w:rPr>
                <w:rFonts w:ascii="Times New Roman" w:hAnsi="Times New Roman" w:eastAsia="仿宋_GB2312" w:cs="Times New Roman"/>
                <w:color w:val="auto"/>
                <w:spacing w:val="-2"/>
                <w:highlight w:val="none"/>
                <w:lang w:eastAsia="zh-CN"/>
              </w:rPr>
              <w:t>日</w:t>
            </w:r>
            <w:r>
              <w:rPr>
                <w:rFonts w:hint="eastAsia" w:ascii="Times New Roman" w:hAnsi="Times New Roman" w:eastAsia="仿宋_GB2312" w:cs="Times New Roman"/>
                <w:color w:val="auto"/>
                <w:spacing w:val="-2"/>
                <w:highlight w:val="none"/>
                <w:lang w:val="en-US" w:eastAsia="zh-CN"/>
              </w:rPr>
              <w:t>16</w:t>
            </w:r>
            <w:r>
              <w:rPr>
                <w:rFonts w:ascii="Times New Roman" w:hAnsi="Times New Roman" w:eastAsia="仿宋_GB2312" w:cs="Times New Roman"/>
                <w:color w:val="auto"/>
                <w:spacing w:val="-2"/>
                <w:highlight w:val="none"/>
                <w:lang w:eastAsia="zh-CN"/>
              </w:rPr>
              <w:t>时</w:t>
            </w:r>
            <w:r>
              <w:rPr>
                <w:rFonts w:hint="eastAsia" w:ascii="Times New Roman" w:hAnsi="Times New Roman" w:eastAsia="仿宋_GB2312" w:cs="Times New Roman"/>
                <w:color w:val="auto"/>
                <w:spacing w:val="-2"/>
                <w:highlight w:val="none"/>
                <w:lang w:val="en-US" w:eastAsia="zh-CN"/>
              </w:rPr>
              <w:t>00</w:t>
            </w:r>
            <w:r>
              <w:rPr>
                <w:rFonts w:ascii="Times New Roman" w:hAnsi="Times New Roman" w:eastAsia="仿宋_GB2312" w:cs="Times New Roman"/>
                <w:color w:val="auto"/>
                <w:spacing w:val="-2"/>
                <w:highlight w:val="none"/>
                <w:lang w:eastAsia="zh-CN"/>
              </w:rPr>
              <w:t>分（北京时间）</w:t>
            </w:r>
          </w:p>
          <w:p w14:paraId="7869B7F8">
            <w:pPr>
              <w:pStyle w:val="16"/>
              <w:spacing w:before="7" w:line="216" w:lineRule="auto"/>
              <w:ind w:left="109" w:firstLine="23"/>
              <w:jc w:val="both"/>
              <w:rPr>
                <w:rFonts w:ascii="Times New Roman" w:hAnsi="Times New Roman" w:eastAsia="仿宋_GB2312" w:cs="Times New Roman"/>
                <w:color w:val="auto"/>
                <w:spacing w:val="-2"/>
                <w:highlight w:val="none"/>
                <w:lang w:eastAsia="zh-CN"/>
              </w:rPr>
            </w:pPr>
            <w:r>
              <w:rPr>
                <w:rFonts w:ascii="Times New Roman" w:hAnsi="Times New Roman" w:eastAsia="仿宋_GB2312" w:cs="Times New Roman"/>
                <w:color w:val="auto"/>
                <w:spacing w:val="-2"/>
                <w:highlight w:val="none"/>
                <w:lang w:eastAsia="zh-CN"/>
              </w:rPr>
              <w:t>地点：信阳市生态环境局</w:t>
            </w:r>
          </w:p>
        </w:tc>
      </w:tr>
      <w:tr w14:paraId="683929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812" w:type="dxa"/>
          </w:tcPr>
          <w:p w14:paraId="3390F4F2">
            <w:pPr>
              <w:pStyle w:val="16"/>
              <w:spacing w:before="284" w:line="180" w:lineRule="auto"/>
              <w:ind w:left="337"/>
              <w:rPr>
                <w:color w:val="auto"/>
                <w:highlight w:val="none"/>
              </w:rPr>
            </w:pPr>
            <w:r>
              <w:rPr>
                <w:color w:val="auto"/>
                <w:spacing w:val="-13"/>
                <w:highlight w:val="none"/>
              </w:rPr>
              <w:t>14</w:t>
            </w:r>
          </w:p>
        </w:tc>
        <w:tc>
          <w:tcPr>
            <w:tcW w:w="1602" w:type="dxa"/>
          </w:tcPr>
          <w:p w14:paraId="79E08140">
            <w:pPr>
              <w:pStyle w:val="16"/>
              <w:spacing w:before="7" w:line="238" w:lineRule="auto"/>
              <w:ind w:left="109" w:firstLine="23"/>
              <w:jc w:val="both"/>
              <w:rPr>
                <w:rFonts w:ascii="Times New Roman" w:hAnsi="Times New Roman" w:eastAsia="仿宋_GB2312" w:cs="Times New Roman"/>
                <w:color w:val="auto"/>
                <w:spacing w:val="-2"/>
                <w:highlight w:val="none"/>
                <w:lang w:eastAsia="zh-CN"/>
              </w:rPr>
            </w:pPr>
            <w:r>
              <w:rPr>
                <w:rFonts w:ascii="Times New Roman" w:hAnsi="Times New Roman" w:eastAsia="仿宋_GB2312" w:cs="Times New Roman"/>
                <w:color w:val="auto"/>
                <w:spacing w:val="-2"/>
                <w:highlight w:val="none"/>
                <w:lang w:eastAsia="zh-CN"/>
              </w:rPr>
              <w:t>开标时间及地点</w:t>
            </w:r>
          </w:p>
        </w:tc>
        <w:tc>
          <w:tcPr>
            <w:tcW w:w="6417" w:type="dxa"/>
          </w:tcPr>
          <w:p w14:paraId="53EF6CBA">
            <w:pPr>
              <w:pStyle w:val="16"/>
              <w:spacing w:before="7" w:line="238" w:lineRule="auto"/>
              <w:ind w:left="109" w:firstLine="23"/>
              <w:jc w:val="both"/>
              <w:rPr>
                <w:rFonts w:ascii="Times New Roman" w:hAnsi="Times New Roman" w:eastAsia="仿宋_GB2312" w:cs="Times New Roman"/>
                <w:color w:val="auto"/>
                <w:spacing w:val="-2"/>
                <w:highlight w:val="none"/>
                <w:lang w:eastAsia="zh-CN"/>
              </w:rPr>
            </w:pPr>
            <w:r>
              <w:rPr>
                <w:rFonts w:ascii="Times New Roman" w:hAnsi="Times New Roman" w:eastAsia="仿宋_GB2312" w:cs="Times New Roman"/>
                <w:color w:val="auto"/>
                <w:spacing w:val="-2"/>
                <w:highlight w:val="none"/>
                <w:lang w:eastAsia="zh-CN"/>
              </w:rPr>
              <w:t>时间：</w:t>
            </w:r>
            <w:r>
              <w:rPr>
                <w:rFonts w:hint="eastAsia" w:ascii="Times New Roman" w:hAnsi="Times New Roman" w:eastAsia="仿宋_GB2312" w:cs="Times New Roman"/>
                <w:color w:val="auto"/>
                <w:spacing w:val="-2"/>
                <w:highlight w:val="none"/>
                <w:lang w:eastAsia="zh-CN"/>
              </w:rPr>
              <w:t>202</w:t>
            </w:r>
            <w:r>
              <w:rPr>
                <w:rFonts w:hint="eastAsia" w:ascii="Times New Roman" w:hAnsi="Times New Roman" w:eastAsia="仿宋_GB2312" w:cs="Times New Roman"/>
                <w:color w:val="auto"/>
                <w:spacing w:val="-2"/>
                <w:highlight w:val="none"/>
                <w:lang w:val="en-US" w:eastAsia="zh-CN"/>
              </w:rPr>
              <w:t>5</w:t>
            </w:r>
            <w:r>
              <w:rPr>
                <w:rFonts w:ascii="Times New Roman" w:hAnsi="Times New Roman" w:eastAsia="仿宋_GB2312" w:cs="Times New Roman"/>
                <w:color w:val="auto"/>
                <w:spacing w:val="-2"/>
                <w:highlight w:val="none"/>
                <w:lang w:eastAsia="zh-CN"/>
              </w:rPr>
              <w:t>年</w:t>
            </w:r>
            <w:r>
              <w:rPr>
                <w:rFonts w:hint="eastAsia" w:ascii="Times New Roman" w:hAnsi="Times New Roman" w:eastAsia="仿宋_GB2312" w:cs="Times New Roman"/>
                <w:color w:val="auto"/>
                <w:spacing w:val="-2"/>
                <w:highlight w:val="none"/>
                <w:lang w:val="en-US" w:eastAsia="zh-CN"/>
              </w:rPr>
              <w:t>1</w:t>
            </w:r>
            <w:r>
              <w:rPr>
                <w:rFonts w:ascii="Times New Roman" w:hAnsi="Times New Roman" w:eastAsia="仿宋_GB2312" w:cs="Times New Roman"/>
                <w:color w:val="auto"/>
                <w:spacing w:val="-2"/>
                <w:highlight w:val="none"/>
                <w:lang w:eastAsia="zh-CN"/>
              </w:rPr>
              <w:t>月</w:t>
            </w:r>
            <w:r>
              <w:rPr>
                <w:rFonts w:hint="eastAsia" w:ascii="Times New Roman" w:hAnsi="Times New Roman" w:eastAsia="仿宋_GB2312" w:cs="Times New Roman"/>
                <w:color w:val="auto"/>
                <w:spacing w:val="-2"/>
                <w:highlight w:val="none"/>
                <w:lang w:val="en-US" w:eastAsia="zh-CN"/>
              </w:rPr>
              <w:t>7</w:t>
            </w:r>
            <w:r>
              <w:rPr>
                <w:rFonts w:ascii="Times New Roman" w:hAnsi="Times New Roman" w:eastAsia="仿宋_GB2312" w:cs="Times New Roman"/>
                <w:color w:val="auto"/>
                <w:spacing w:val="-2"/>
                <w:highlight w:val="none"/>
                <w:lang w:eastAsia="zh-CN"/>
              </w:rPr>
              <w:t>日</w:t>
            </w:r>
            <w:r>
              <w:rPr>
                <w:rFonts w:hint="eastAsia" w:ascii="Times New Roman" w:hAnsi="Times New Roman" w:eastAsia="仿宋_GB2312" w:cs="Times New Roman"/>
                <w:color w:val="auto"/>
                <w:spacing w:val="-2"/>
                <w:highlight w:val="none"/>
                <w:lang w:val="en-US" w:eastAsia="zh-CN"/>
              </w:rPr>
              <w:t>9</w:t>
            </w:r>
            <w:r>
              <w:rPr>
                <w:rFonts w:ascii="Times New Roman" w:hAnsi="Times New Roman" w:eastAsia="仿宋_GB2312" w:cs="Times New Roman"/>
                <w:color w:val="auto"/>
                <w:spacing w:val="-2"/>
                <w:highlight w:val="none"/>
                <w:lang w:eastAsia="zh-CN"/>
              </w:rPr>
              <w:t>时</w:t>
            </w:r>
            <w:r>
              <w:rPr>
                <w:rFonts w:hint="eastAsia" w:ascii="Times New Roman" w:hAnsi="Times New Roman" w:eastAsia="仿宋_GB2312" w:cs="Times New Roman"/>
                <w:color w:val="auto"/>
                <w:spacing w:val="-2"/>
                <w:highlight w:val="none"/>
                <w:lang w:val="en-US" w:eastAsia="zh-CN"/>
              </w:rPr>
              <w:t xml:space="preserve"> 30</w:t>
            </w:r>
            <w:r>
              <w:rPr>
                <w:rFonts w:ascii="Times New Roman" w:hAnsi="Times New Roman" w:eastAsia="仿宋_GB2312" w:cs="Times New Roman"/>
                <w:color w:val="auto"/>
                <w:spacing w:val="-2"/>
                <w:highlight w:val="none"/>
                <w:lang w:eastAsia="zh-CN"/>
              </w:rPr>
              <w:t>分（北京时间）</w:t>
            </w:r>
          </w:p>
          <w:p w14:paraId="7DCA6790">
            <w:pPr>
              <w:pStyle w:val="16"/>
              <w:spacing w:before="7" w:line="238" w:lineRule="auto"/>
              <w:ind w:left="109" w:firstLine="23"/>
              <w:jc w:val="both"/>
              <w:rPr>
                <w:rFonts w:ascii="Times New Roman" w:hAnsi="Times New Roman" w:eastAsia="仿宋_GB2312" w:cs="Times New Roman"/>
                <w:color w:val="auto"/>
                <w:spacing w:val="-2"/>
                <w:highlight w:val="none"/>
                <w:lang w:eastAsia="zh-CN"/>
              </w:rPr>
            </w:pPr>
            <w:r>
              <w:rPr>
                <w:rFonts w:ascii="Times New Roman" w:hAnsi="Times New Roman" w:eastAsia="仿宋_GB2312" w:cs="Times New Roman"/>
                <w:color w:val="auto"/>
                <w:spacing w:val="-2"/>
                <w:highlight w:val="none"/>
                <w:lang w:eastAsia="zh-CN"/>
              </w:rPr>
              <w:t>地点：信阳市生态环境局四楼会议室</w:t>
            </w:r>
          </w:p>
        </w:tc>
      </w:tr>
      <w:tr w14:paraId="07698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812" w:type="dxa"/>
          </w:tcPr>
          <w:p w14:paraId="7EEA26B2">
            <w:pPr>
              <w:rPr>
                <w:color w:val="auto"/>
                <w:highlight w:val="none"/>
                <w:lang w:eastAsia="zh-CN"/>
              </w:rPr>
            </w:pPr>
          </w:p>
          <w:p w14:paraId="4034E744">
            <w:pPr>
              <w:pStyle w:val="16"/>
              <w:spacing w:before="78" w:line="181" w:lineRule="auto"/>
              <w:ind w:left="340"/>
              <w:rPr>
                <w:color w:val="auto"/>
                <w:highlight w:val="none"/>
              </w:rPr>
            </w:pPr>
            <w:r>
              <w:rPr>
                <w:color w:val="auto"/>
                <w:spacing w:val="-13"/>
                <w:highlight w:val="none"/>
              </w:rPr>
              <w:t>15</w:t>
            </w:r>
          </w:p>
        </w:tc>
        <w:tc>
          <w:tcPr>
            <w:tcW w:w="1602" w:type="dxa"/>
          </w:tcPr>
          <w:p w14:paraId="6A4D34FA">
            <w:pPr>
              <w:pStyle w:val="16"/>
              <w:spacing w:before="7" w:line="238" w:lineRule="auto"/>
              <w:ind w:left="109" w:firstLine="23"/>
              <w:jc w:val="both"/>
              <w:rPr>
                <w:rFonts w:ascii="Times New Roman" w:hAnsi="Times New Roman" w:eastAsia="仿宋_GB2312" w:cs="Times New Roman"/>
                <w:color w:val="auto"/>
                <w:spacing w:val="-2"/>
                <w:highlight w:val="none"/>
                <w:lang w:eastAsia="zh-CN"/>
              </w:rPr>
            </w:pPr>
            <w:r>
              <w:rPr>
                <w:rFonts w:ascii="Times New Roman" w:hAnsi="Times New Roman" w:eastAsia="仿宋_GB2312" w:cs="Times New Roman"/>
                <w:color w:val="auto"/>
                <w:spacing w:val="-2"/>
                <w:highlight w:val="none"/>
                <w:lang w:eastAsia="zh-CN"/>
              </w:rPr>
              <w:t>付款方式</w:t>
            </w:r>
          </w:p>
        </w:tc>
        <w:tc>
          <w:tcPr>
            <w:tcW w:w="6417" w:type="dxa"/>
          </w:tcPr>
          <w:p w14:paraId="354D7467">
            <w:pPr>
              <w:pStyle w:val="16"/>
              <w:spacing w:before="7" w:line="238" w:lineRule="auto"/>
              <w:ind w:left="109" w:right="304" w:firstLine="23"/>
              <w:jc w:val="both"/>
              <w:rPr>
                <w:rFonts w:ascii="Times New Roman" w:hAnsi="Times New Roman" w:eastAsia="仿宋_GB2312" w:cs="Times New Roman"/>
                <w:color w:val="auto"/>
                <w:spacing w:val="-2"/>
                <w:highlight w:val="none"/>
                <w:lang w:eastAsia="zh-CN"/>
              </w:rPr>
            </w:pPr>
            <w:r>
              <w:rPr>
                <w:rFonts w:ascii="Times New Roman" w:hAnsi="Times New Roman" w:eastAsia="仿宋_GB2312" w:cs="Times New Roman"/>
                <w:color w:val="auto"/>
                <w:spacing w:val="-2"/>
                <w:highlight w:val="none"/>
                <w:lang w:eastAsia="zh-CN"/>
              </w:rPr>
              <w:t>项目完成后，我局业务科室组织财务科、机关纪委等有关人员对项目进行履约验收，乙方需提供成果：所有检测车辆信息台账，人员考勤记录。</w:t>
            </w:r>
          </w:p>
        </w:tc>
      </w:tr>
      <w:tr w14:paraId="2806D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5" w:hRule="atLeast"/>
        </w:trPr>
        <w:tc>
          <w:tcPr>
            <w:tcW w:w="812" w:type="dxa"/>
          </w:tcPr>
          <w:p w14:paraId="60DE5C29">
            <w:pPr>
              <w:spacing w:line="284" w:lineRule="auto"/>
              <w:rPr>
                <w:color w:val="auto"/>
                <w:highlight w:val="none"/>
                <w:lang w:eastAsia="zh-CN"/>
              </w:rPr>
            </w:pPr>
          </w:p>
          <w:p w14:paraId="22343BF5">
            <w:pPr>
              <w:spacing w:line="284" w:lineRule="auto"/>
              <w:rPr>
                <w:color w:val="auto"/>
                <w:highlight w:val="none"/>
                <w:lang w:eastAsia="zh-CN"/>
              </w:rPr>
            </w:pPr>
          </w:p>
          <w:p w14:paraId="02AEA5D2">
            <w:pPr>
              <w:pStyle w:val="16"/>
              <w:spacing w:before="78" w:line="181" w:lineRule="auto"/>
              <w:ind w:left="347"/>
              <w:rPr>
                <w:color w:val="auto"/>
                <w:highlight w:val="none"/>
              </w:rPr>
            </w:pPr>
            <w:r>
              <w:rPr>
                <w:color w:val="auto"/>
                <w:spacing w:val="-13"/>
                <w:highlight w:val="none"/>
              </w:rPr>
              <w:t>16</w:t>
            </w:r>
          </w:p>
        </w:tc>
        <w:tc>
          <w:tcPr>
            <w:tcW w:w="1602" w:type="dxa"/>
          </w:tcPr>
          <w:p w14:paraId="1F0D8CAB">
            <w:pPr>
              <w:pStyle w:val="16"/>
              <w:spacing w:before="7" w:line="238" w:lineRule="auto"/>
              <w:ind w:left="109" w:firstLine="23"/>
              <w:jc w:val="both"/>
              <w:rPr>
                <w:rFonts w:ascii="Times New Roman" w:hAnsi="Times New Roman" w:eastAsia="仿宋_GB2312" w:cs="Times New Roman"/>
                <w:color w:val="auto"/>
                <w:spacing w:val="-2"/>
                <w:highlight w:val="none"/>
                <w:lang w:eastAsia="zh-CN"/>
              </w:rPr>
            </w:pPr>
          </w:p>
          <w:p w14:paraId="30C72DA0">
            <w:pPr>
              <w:pStyle w:val="16"/>
              <w:spacing w:before="7" w:line="238" w:lineRule="auto"/>
              <w:ind w:left="109" w:firstLine="23"/>
              <w:jc w:val="both"/>
              <w:rPr>
                <w:rFonts w:ascii="Times New Roman" w:hAnsi="Times New Roman" w:eastAsia="仿宋_GB2312" w:cs="Times New Roman"/>
                <w:color w:val="auto"/>
                <w:spacing w:val="-2"/>
                <w:highlight w:val="none"/>
                <w:lang w:eastAsia="zh-CN"/>
              </w:rPr>
            </w:pPr>
          </w:p>
          <w:p w14:paraId="5F7B6121">
            <w:pPr>
              <w:pStyle w:val="16"/>
              <w:spacing w:before="7" w:line="238" w:lineRule="auto"/>
              <w:ind w:left="109" w:firstLine="23"/>
              <w:jc w:val="both"/>
              <w:rPr>
                <w:rFonts w:ascii="Times New Roman" w:hAnsi="Times New Roman" w:eastAsia="仿宋_GB2312" w:cs="Times New Roman"/>
                <w:color w:val="auto"/>
                <w:spacing w:val="-2"/>
                <w:highlight w:val="none"/>
                <w:lang w:eastAsia="zh-CN"/>
              </w:rPr>
            </w:pPr>
            <w:r>
              <w:rPr>
                <w:rFonts w:ascii="Times New Roman" w:hAnsi="Times New Roman" w:eastAsia="仿宋_GB2312" w:cs="Times New Roman"/>
                <w:color w:val="auto"/>
                <w:spacing w:val="-2"/>
                <w:highlight w:val="none"/>
                <w:lang w:eastAsia="zh-CN"/>
              </w:rPr>
              <w:t>其他资料</w:t>
            </w:r>
          </w:p>
        </w:tc>
        <w:tc>
          <w:tcPr>
            <w:tcW w:w="6417" w:type="dxa"/>
          </w:tcPr>
          <w:p w14:paraId="4FADC070">
            <w:pPr>
              <w:pStyle w:val="16"/>
              <w:spacing w:before="7" w:line="238" w:lineRule="auto"/>
              <w:ind w:left="109" w:firstLine="23"/>
              <w:jc w:val="both"/>
              <w:rPr>
                <w:rFonts w:ascii="Times New Roman" w:hAnsi="Times New Roman" w:eastAsia="仿宋_GB2312" w:cs="Times New Roman"/>
                <w:color w:val="auto"/>
                <w:spacing w:val="-2"/>
                <w:highlight w:val="none"/>
                <w:lang w:eastAsia="zh-CN"/>
              </w:rPr>
            </w:pPr>
            <w:r>
              <w:rPr>
                <w:rFonts w:ascii="Times New Roman" w:hAnsi="Times New Roman" w:eastAsia="仿宋_GB2312" w:cs="Times New Roman"/>
                <w:color w:val="auto"/>
                <w:spacing w:val="-2"/>
                <w:highlight w:val="none"/>
                <w:lang w:eastAsia="zh-CN"/>
              </w:rPr>
              <w:t>适用法律、法规：《中华人民共和国政府采购法》、《中华人民共和国政府采购法实施条例》、《政府采购货物和服务</w:t>
            </w:r>
          </w:p>
          <w:p w14:paraId="748C7857">
            <w:pPr>
              <w:pStyle w:val="16"/>
              <w:spacing w:before="7" w:line="238" w:lineRule="auto"/>
              <w:ind w:left="109" w:firstLine="23"/>
              <w:jc w:val="both"/>
              <w:rPr>
                <w:rFonts w:ascii="Times New Roman" w:hAnsi="Times New Roman" w:eastAsia="仿宋_GB2312" w:cs="Times New Roman"/>
                <w:color w:val="auto"/>
                <w:spacing w:val="-2"/>
                <w:highlight w:val="none"/>
                <w:lang w:eastAsia="zh-CN"/>
              </w:rPr>
            </w:pPr>
            <w:r>
              <w:rPr>
                <w:rFonts w:ascii="Times New Roman" w:hAnsi="Times New Roman" w:eastAsia="仿宋_GB2312" w:cs="Times New Roman"/>
                <w:color w:val="auto"/>
                <w:spacing w:val="-2"/>
                <w:highlight w:val="none"/>
                <w:lang w:eastAsia="zh-CN"/>
              </w:rPr>
              <w:t>招标投标管理办法》（财政部令第87号）。</w:t>
            </w:r>
          </w:p>
        </w:tc>
      </w:tr>
    </w:tbl>
    <w:p w14:paraId="58224F90">
      <w:pPr>
        <w:pStyle w:val="6"/>
        <w:rPr>
          <w:color w:val="auto"/>
          <w:highlight w:val="none"/>
          <w:lang w:eastAsia="zh-CN"/>
        </w:rPr>
      </w:pPr>
    </w:p>
    <w:p w14:paraId="16253727">
      <w:pPr>
        <w:rPr>
          <w:color w:val="auto"/>
          <w:highlight w:val="none"/>
          <w:lang w:eastAsia="zh-CN"/>
        </w:rPr>
        <w:sectPr>
          <w:pgSz w:w="11906" w:h="16839"/>
          <w:pgMar w:top="1440" w:right="1800" w:bottom="1440" w:left="1800" w:header="0" w:footer="567" w:gutter="0"/>
          <w:pgNumType w:start="1"/>
          <w:cols w:space="720" w:num="1"/>
        </w:sectPr>
      </w:pPr>
    </w:p>
    <w:p w14:paraId="1D43B694">
      <w:pPr>
        <w:spacing w:line="560" w:lineRule="exact"/>
        <w:jc w:val="center"/>
        <w:outlineLvl w:val="0"/>
        <w:rPr>
          <w:rFonts w:ascii="黑体" w:hAnsi="黑体" w:eastAsia="黑体" w:cs="黑体"/>
          <w:color w:val="auto"/>
          <w:spacing w:val="4"/>
          <w:sz w:val="32"/>
          <w:szCs w:val="32"/>
          <w:highlight w:val="none"/>
          <w:lang w:eastAsia="zh-CN"/>
        </w:rPr>
      </w:pPr>
      <w:r>
        <w:rPr>
          <w:rFonts w:hint="eastAsia" w:ascii="黑体" w:hAnsi="黑体" w:eastAsia="黑体" w:cs="黑体"/>
          <w:color w:val="auto"/>
          <w:spacing w:val="4"/>
          <w:sz w:val="32"/>
          <w:szCs w:val="32"/>
          <w:highlight w:val="none"/>
          <w:lang w:eastAsia="zh-CN"/>
        </w:rPr>
        <w:t>第三章 技术要求</w:t>
      </w:r>
    </w:p>
    <w:p w14:paraId="1580A42F">
      <w:pPr>
        <w:pStyle w:val="6"/>
        <w:spacing w:line="560" w:lineRule="exact"/>
        <w:rPr>
          <w:color w:val="auto"/>
          <w:highlight w:val="none"/>
          <w:lang w:eastAsia="zh-CN"/>
        </w:rPr>
      </w:pPr>
    </w:p>
    <w:p w14:paraId="43AEAE48">
      <w:pPr>
        <w:pStyle w:val="6"/>
        <w:spacing w:line="560" w:lineRule="exact"/>
        <w:ind w:firstLine="640" w:firstLineChars="200"/>
        <w:rPr>
          <w:rFonts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一、项目背景</w:t>
      </w:r>
    </w:p>
    <w:p w14:paraId="0E20C4C0">
      <w:pPr>
        <w:widowControl w:val="0"/>
        <w:kinsoku/>
        <w:autoSpaceDE/>
        <w:autoSpaceDN/>
        <w:adjustRightInd/>
        <w:snapToGrid/>
        <w:spacing w:line="580" w:lineRule="exact"/>
        <w:ind w:firstLine="640" w:firstLineChars="200"/>
        <w:jc w:val="both"/>
        <w:textAlignment w:val="auto"/>
        <w:rPr>
          <w:rFonts w:ascii="Times New Roman" w:hAnsi="Times New Roman" w:eastAsia="方正仿宋_GBK" w:cs="Times New Roman"/>
          <w:color w:val="auto"/>
          <w:kern w:val="2"/>
          <w:sz w:val="32"/>
          <w:szCs w:val="32"/>
          <w:highlight w:val="none"/>
          <w:lang w:eastAsia="zh-CN"/>
        </w:rPr>
      </w:pPr>
      <w:r>
        <w:rPr>
          <w:rFonts w:ascii="Times New Roman" w:hAnsi="Times New Roman" w:eastAsia="仿宋_GB2312"/>
          <w:color w:val="auto"/>
          <w:sz w:val="32"/>
          <w:szCs w:val="32"/>
          <w:highlight w:val="none"/>
          <w:lang w:eastAsia="zh-CN"/>
        </w:rPr>
        <w:t>近期国家、省有关部门调研发现，国五、国六重型货车篡改或破坏车辆污染控制装置问题十分严重。重型货车的氮氧化物排放，已经成为影响区域空气质量改善的重要因素。当前要切实加强对重型货车的监督管理，严禁通过破坏污染控制装置、篡改OBD（车载排放诊断系统）、使用尿素作弊器等弄虚作假方式违法排放大气污染物。</w:t>
      </w:r>
    </w:p>
    <w:p w14:paraId="0B77F1A5">
      <w:pPr>
        <w:pStyle w:val="6"/>
        <w:spacing w:line="560" w:lineRule="exact"/>
        <w:ind w:firstLine="640" w:firstLineChars="200"/>
        <w:rPr>
          <w:rFonts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二、项目内容</w:t>
      </w:r>
    </w:p>
    <w:p w14:paraId="6A233A1F">
      <w:pPr>
        <w:pStyle w:val="6"/>
        <w:spacing w:line="560" w:lineRule="exact"/>
        <w:ind w:firstLine="640" w:firstLineChars="200"/>
        <w:rPr>
          <w:rFonts w:hint="eastAsia" w:ascii="Times New Roman" w:hAnsi="Times New Roman" w:eastAsia="仿宋_GB2312"/>
          <w:color w:val="auto"/>
          <w:sz w:val="32"/>
          <w:szCs w:val="32"/>
          <w:highlight w:val="none"/>
          <w:lang w:eastAsia="zh-CN"/>
        </w:rPr>
      </w:pPr>
      <w:bookmarkStart w:id="0" w:name="_Toc163064386"/>
      <w:bookmarkStart w:id="1" w:name="_Toc20305"/>
      <w:bookmarkStart w:id="2" w:name="_Toc163062803"/>
      <w:bookmarkStart w:id="3" w:name="_Toc5158"/>
      <w:bookmarkStart w:id="4" w:name="_Toc163063291"/>
      <w:bookmarkStart w:id="5" w:name="_Toc20924"/>
      <w:bookmarkStart w:id="6" w:name="_Toc31386"/>
      <w:r>
        <w:rPr>
          <w:rFonts w:hint="eastAsia" w:ascii="Times New Roman" w:hAnsi="Times New Roman" w:eastAsia="仿宋_GB2312"/>
          <w:color w:val="auto"/>
          <w:sz w:val="32"/>
          <w:szCs w:val="32"/>
          <w:highlight w:val="none"/>
          <w:lang w:eastAsia="zh-CN"/>
        </w:rPr>
        <w:t>配合执法人员，在市中心城区2个路检路查点（鸡公山公路超限站和吴家店公安检查站）和1个入户检查点对过境重型货车和市中心城区重点场所重型货车开展尾气检测和污染控制装置查验工作。</w:t>
      </w:r>
    </w:p>
    <w:p w14:paraId="02B0ACEF">
      <w:pPr>
        <w:pStyle w:val="6"/>
        <w:spacing w:line="560" w:lineRule="exact"/>
        <w:ind w:firstLine="640" w:firstLineChars="200"/>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三、</w:t>
      </w:r>
      <w:bookmarkEnd w:id="0"/>
      <w:bookmarkEnd w:id="1"/>
      <w:bookmarkEnd w:id="2"/>
      <w:bookmarkEnd w:id="3"/>
      <w:bookmarkEnd w:id="4"/>
      <w:bookmarkEnd w:id="5"/>
      <w:r>
        <w:rPr>
          <w:rFonts w:hint="eastAsia" w:ascii="黑体" w:hAnsi="黑体" w:eastAsia="黑体" w:cs="黑体"/>
          <w:color w:val="auto"/>
          <w:sz w:val="32"/>
          <w:szCs w:val="32"/>
          <w:highlight w:val="none"/>
          <w:lang w:eastAsia="zh-CN"/>
        </w:rPr>
        <w:t>时间周期及人员</w:t>
      </w:r>
    </w:p>
    <w:p w14:paraId="0717F0F3">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eastAsiaTheme="minorEastAsia"/>
          <w:color w:val="auto"/>
          <w:highlight w:val="none"/>
          <w:lang w:eastAsia="zh-CN"/>
        </w:rPr>
      </w:pPr>
      <w:r>
        <w:rPr>
          <w:rFonts w:hint="eastAsia" w:ascii="仿宋_GB2312" w:hAnsi="仿宋_GB2312" w:eastAsia="仿宋_GB2312" w:cs="仿宋_GB2312"/>
          <w:color w:val="auto"/>
          <w:sz w:val="32"/>
          <w:szCs w:val="32"/>
          <w:highlight w:val="none"/>
          <w:lang w:eastAsia="zh-CN"/>
        </w:rPr>
        <w:t>合同签订日起一年内。</w:t>
      </w:r>
    </w:p>
    <w:p w14:paraId="21AA9B62">
      <w:pPr>
        <w:kinsoku/>
        <w:autoSpaceDE/>
        <w:autoSpaceDN/>
        <w:spacing w:line="580" w:lineRule="exact"/>
        <w:ind w:firstLine="640" w:firstLineChars="200"/>
        <w:textAlignment w:val="auto"/>
        <w:rPr>
          <w:rFonts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eastAsia="zh-CN"/>
        </w:rPr>
        <w:t>中标方</w:t>
      </w:r>
      <w:r>
        <w:rPr>
          <w:rFonts w:ascii="Times New Roman" w:hAnsi="Times New Roman" w:eastAsia="仿宋_GB2312"/>
          <w:color w:val="auto"/>
          <w:sz w:val="32"/>
          <w:szCs w:val="32"/>
          <w:highlight w:val="none"/>
          <w:lang w:eastAsia="zh-CN"/>
        </w:rPr>
        <w:t>需保证3个检查站点的检测人员、设备及通行车辆；检测人员必须经过培训具有相关资格证书，每个检查站点最少配备2个检测人员；检测设备包括但不限于不透光烟度计或林格曼烟度测试仪、内窥镜、尿素折光仪及OBD检查仪等，每个站点配备1套；通行车辆需保障两个路检路查点检测人员正常上岗。</w:t>
      </w:r>
    </w:p>
    <w:p w14:paraId="59BC5353">
      <w:pPr>
        <w:pStyle w:val="6"/>
        <w:spacing w:line="560" w:lineRule="exact"/>
        <w:ind w:firstLine="640" w:firstLineChars="200"/>
        <w:rPr>
          <w:rFonts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eastAsia="zh-CN"/>
        </w:rPr>
        <w:t>中标方服从甲方安排，听从现场执法人员指挥，</w:t>
      </w:r>
      <w:r>
        <w:rPr>
          <w:rFonts w:ascii="Times New Roman" w:hAnsi="Times New Roman" w:eastAsia="仿宋_GB2312"/>
          <w:color w:val="auto"/>
          <w:sz w:val="32"/>
          <w:szCs w:val="32"/>
          <w:highlight w:val="none"/>
          <w:lang w:eastAsia="zh-CN"/>
        </w:rPr>
        <w:t>对2个路检路查站点</w:t>
      </w:r>
      <w:r>
        <w:rPr>
          <w:rFonts w:hint="eastAsia" w:ascii="Times New Roman" w:hAnsi="Times New Roman" w:eastAsia="仿宋_GB2312"/>
          <w:color w:val="auto"/>
          <w:sz w:val="32"/>
          <w:szCs w:val="32"/>
          <w:highlight w:val="none"/>
          <w:lang w:eastAsia="zh-CN"/>
        </w:rPr>
        <w:t>的</w:t>
      </w:r>
      <w:r>
        <w:rPr>
          <w:rFonts w:ascii="Times New Roman" w:hAnsi="Times New Roman" w:eastAsia="仿宋_GB2312"/>
          <w:color w:val="auto"/>
          <w:sz w:val="32"/>
          <w:szCs w:val="32"/>
          <w:highlight w:val="none"/>
          <w:lang w:eastAsia="zh-CN"/>
        </w:rPr>
        <w:t>过境货车开展</w:t>
      </w:r>
      <w:r>
        <w:rPr>
          <w:rFonts w:hint="eastAsia" w:ascii="Times New Roman" w:hAnsi="Times New Roman" w:eastAsia="仿宋_GB2312"/>
          <w:color w:val="auto"/>
          <w:sz w:val="32"/>
          <w:szCs w:val="32"/>
          <w:highlight w:val="none"/>
          <w:lang w:eastAsia="zh-CN"/>
        </w:rPr>
        <w:t>检查</w:t>
      </w:r>
      <w:r>
        <w:rPr>
          <w:rFonts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eastAsia="zh-CN"/>
        </w:rPr>
        <w:t>跟随执法人员依托</w:t>
      </w:r>
      <w:r>
        <w:rPr>
          <w:rFonts w:ascii="Times New Roman" w:hAnsi="Times New Roman" w:eastAsia="仿宋_GB2312"/>
          <w:color w:val="auto"/>
          <w:sz w:val="32"/>
          <w:szCs w:val="32"/>
          <w:highlight w:val="none"/>
          <w:lang w:eastAsia="zh-CN"/>
        </w:rPr>
        <w:t>入户检查点</w:t>
      </w:r>
      <w:r>
        <w:rPr>
          <w:rFonts w:hint="eastAsia" w:ascii="Times New Roman" w:hAnsi="Times New Roman" w:eastAsia="仿宋_GB2312"/>
          <w:color w:val="auto"/>
          <w:sz w:val="32"/>
          <w:szCs w:val="32"/>
          <w:highlight w:val="none"/>
          <w:lang w:eastAsia="zh-CN"/>
        </w:rPr>
        <w:t>在市中心城区重点场所车辆检查。中标方需</w:t>
      </w:r>
      <w:r>
        <w:rPr>
          <w:rFonts w:ascii="Times New Roman" w:hAnsi="Times New Roman" w:eastAsia="仿宋_GB2312"/>
          <w:color w:val="auto"/>
          <w:sz w:val="32"/>
          <w:szCs w:val="32"/>
          <w:highlight w:val="none"/>
          <w:lang w:eastAsia="zh-CN"/>
        </w:rPr>
        <w:t>保障检测数据真实有效，检测数据及时上传省平台；柴油货车检测统一使用自由加速法(流程符合 GB3847-2018)，并出具河南省生态环境厅联网检测标准格式检测报告单</w:t>
      </w:r>
      <w:r>
        <w:rPr>
          <w:rFonts w:hint="eastAsia" w:ascii="Times New Roman" w:hAnsi="Times New Roman" w:eastAsia="仿宋_GB2312"/>
          <w:color w:val="auto"/>
          <w:sz w:val="32"/>
          <w:szCs w:val="32"/>
          <w:highlight w:val="none"/>
          <w:lang w:eastAsia="zh-CN"/>
        </w:rPr>
        <w:t>。</w:t>
      </w:r>
    </w:p>
    <w:p w14:paraId="1EA42C35">
      <w:pPr>
        <w:pStyle w:val="6"/>
        <w:spacing w:line="560" w:lineRule="exact"/>
        <w:ind w:firstLine="640" w:firstLineChars="200"/>
        <w:rPr>
          <w:rFonts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四、现场工作内容</w:t>
      </w:r>
    </w:p>
    <w:p w14:paraId="1E0134B2">
      <w:pPr>
        <w:pStyle w:val="6"/>
        <w:spacing w:line="560" w:lineRule="exact"/>
        <w:ind w:firstLine="640" w:firstLineChars="200"/>
        <w:rPr>
          <w:rFonts w:ascii="Times New Roman" w:hAnsi="Times New Roman" w:eastAsia="仿宋_GB2312"/>
          <w:color w:val="auto"/>
          <w:sz w:val="32"/>
          <w:szCs w:val="32"/>
          <w:highlight w:val="none"/>
          <w:lang w:eastAsia="zh-CN"/>
        </w:rPr>
      </w:pPr>
      <w:r>
        <w:rPr>
          <w:rFonts w:ascii="Times New Roman" w:hAnsi="Times New Roman" w:eastAsia="仿宋_GB2312"/>
          <w:color w:val="auto"/>
          <w:sz w:val="32"/>
          <w:szCs w:val="32"/>
          <w:highlight w:val="none"/>
          <w:lang w:eastAsia="zh-CN"/>
        </w:rPr>
        <w:t>1. 执法人员依法引导车辆配合执法检查；</w:t>
      </w:r>
    </w:p>
    <w:p w14:paraId="57FBE34D">
      <w:pPr>
        <w:pStyle w:val="6"/>
        <w:spacing w:line="560" w:lineRule="exact"/>
        <w:ind w:firstLine="640" w:firstLineChars="200"/>
        <w:rPr>
          <w:rFonts w:ascii="Times New Roman" w:hAnsi="Times New Roman" w:eastAsia="仿宋_GB2312"/>
          <w:color w:val="auto"/>
          <w:sz w:val="32"/>
          <w:szCs w:val="32"/>
          <w:highlight w:val="none"/>
          <w:lang w:eastAsia="zh-CN"/>
        </w:rPr>
      </w:pPr>
      <w:r>
        <w:rPr>
          <w:rFonts w:ascii="Times New Roman" w:hAnsi="Times New Roman" w:eastAsia="仿宋_GB2312"/>
          <w:color w:val="auto"/>
          <w:sz w:val="32"/>
          <w:szCs w:val="32"/>
          <w:highlight w:val="none"/>
          <w:lang w:eastAsia="zh-CN"/>
        </w:rPr>
        <w:t xml:space="preserve">2. </w:t>
      </w:r>
      <w:r>
        <w:rPr>
          <w:rFonts w:hint="eastAsia" w:ascii="Times New Roman" w:hAnsi="Times New Roman" w:eastAsia="仿宋_GB2312"/>
          <w:color w:val="auto"/>
          <w:sz w:val="32"/>
          <w:szCs w:val="32"/>
          <w:highlight w:val="none"/>
          <w:lang w:eastAsia="zh-CN"/>
        </w:rPr>
        <w:t>中标方</w:t>
      </w:r>
      <w:r>
        <w:rPr>
          <w:rFonts w:ascii="Times New Roman" w:hAnsi="Times New Roman" w:eastAsia="仿宋_GB2312"/>
          <w:color w:val="auto"/>
          <w:sz w:val="32"/>
          <w:szCs w:val="32"/>
          <w:highlight w:val="none"/>
          <w:lang w:eastAsia="zh-CN"/>
        </w:rPr>
        <w:t>严格按照《柴油车污染物排放限值及测量方法（自由加速法及加载减速法）》（GB 3847-2018）规定的自由加速法及国家现行的规范、规程和技术标准，对柴油货车进行尾气检测，并出具河南省路检路查及入户检查专用尾气检测报告。</w:t>
      </w:r>
      <w:r>
        <w:rPr>
          <w:rFonts w:hint="eastAsia" w:ascii="Times New Roman" w:hAnsi="Times New Roman" w:eastAsia="仿宋_GB2312"/>
          <w:color w:val="auto"/>
          <w:sz w:val="32"/>
          <w:szCs w:val="32"/>
          <w:highlight w:val="none"/>
          <w:lang w:eastAsia="zh-CN"/>
        </w:rPr>
        <w:t>中标方</w:t>
      </w:r>
      <w:r>
        <w:rPr>
          <w:rFonts w:ascii="Times New Roman" w:hAnsi="Times New Roman" w:eastAsia="仿宋_GB2312"/>
          <w:color w:val="auto"/>
          <w:sz w:val="32"/>
          <w:szCs w:val="32"/>
          <w:highlight w:val="none"/>
          <w:lang w:eastAsia="zh-CN"/>
        </w:rPr>
        <w:t>应具有通过CMA或CNAS柴油车排放领域的检验资质，具备自由加速法或林格曼烟度法的检验能力。主要检验设备通过量值溯源（检定/校准）并经过溯源确认，在溯源有效期内进行排放检验，并与省生态环境厅联网，检测数据实时上传。检验人员应经过相关培训，并应购买人身意外险。第三方检验机构应按安全生产有关规定，建立安全生产制度，切实消除安全隐患。</w:t>
      </w:r>
    </w:p>
    <w:p w14:paraId="25AC4FF9">
      <w:pPr>
        <w:pStyle w:val="6"/>
        <w:spacing w:line="560" w:lineRule="exact"/>
        <w:ind w:firstLine="640" w:firstLineChars="200"/>
        <w:rPr>
          <w:rFonts w:ascii="Times New Roman" w:hAnsi="Times New Roman" w:eastAsia="仿宋_GB2312"/>
          <w:color w:val="auto"/>
          <w:sz w:val="32"/>
          <w:szCs w:val="32"/>
          <w:highlight w:val="none"/>
          <w:lang w:eastAsia="zh-CN"/>
        </w:rPr>
      </w:pPr>
      <w:r>
        <w:rPr>
          <w:rFonts w:ascii="Times New Roman" w:hAnsi="Times New Roman" w:eastAsia="仿宋_GB2312"/>
          <w:color w:val="auto"/>
          <w:sz w:val="32"/>
          <w:szCs w:val="32"/>
          <w:highlight w:val="none"/>
          <w:lang w:eastAsia="zh-CN"/>
        </w:rPr>
        <w:t xml:space="preserve">3. </w:t>
      </w:r>
      <w:r>
        <w:rPr>
          <w:rFonts w:hint="eastAsia" w:ascii="Times New Roman" w:hAnsi="Times New Roman" w:eastAsia="仿宋_GB2312"/>
          <w:color w:val="auto"/>
          <w:sz w:val="32"/>
          <w:szCs w:val="32"/>
          <w:highlight w:val="none"/>
          <w:lang w:eastAsia="zh-CN"/>
        </w:rPr>
        <w:t>中标方配合</w:t>
      </w:r>
      <w:r>
        <w:rPr>
          <w:rFonts w:ascii="Times New Roman" w:hAnsi="Times New Roman" w:eastAsia="仿宋_GB2312"/>
          <w:color w:val="auto"/>
          <w:sz w:val="32"/>
          <w:szCs w:val="32"/>
          <w:highlight w:val="none"/>
          <w:lang w:eastAsia="zh-CN"/>
        </w:rPr>
        <w:t>执法人员对车辆污染控制进行检查，检查重点为：重型柴油货车、燃气货车ECU系统标定参数刷改检查；污染控制装置完整性检查，重点查看是否存在温度传感器垫高、连接电线是否完整、尿素喷头是否拆除、尿素箱盖是否去除等；重型柴油货车私改天然气检查；重型燃气货车三元催化器装置完整性检查，查看是否存在后氮氧传感器使用屏蔽器等；</w:t>
      </w:r>
      <w:r>
        <w:rPr>
          <w:rFonts w:hint="eastAsia" w:ascii="Times New Roman" w:hAnsi="Times New Roman" w:eastAsia="仿宋_GB2312"/>
          <w:color w:val="auto"/>
          <w:sz w:val="32"/>
          <w:szCs w:val="32"/>
          <w:highlight w:val="none"/>
          <w:lang w:eastAsia="zh-CN"/>
        </w:rPr>
        <w:t>相关检测设备由中标方提供。</w:t>
      </w:r>
    </w:p>
    <w:p w14:paraId="5C0E1576">
      <w:pPr>
        <w:pStyle w:val="6"/>
        <w:spacing w:line="560" w:lineRule="exact"/>
        <w:ind w:firstLine="640" w:firstLineChars="200"/>
        <w:rPr>
          <w:rFonts w:ascii="Times New Roman" w:hAnsi="Times New Roman" w:eastAsia="仿宋_GB2312"/>
          <w:color w:val="auto"/>
          <w:sz w:val="32"/>
          <w:szCs w:val="32"/>
          <w:highlight w:val="none"/>
          <w:lang w:eastAsia="zh-CN"/>
        </w:rPr>
      </w:pPr>
      <w:r>
        <w:rPr>
          <w:rFonts w:ascii="Times New Roman" w:hAnsi="Times New Roman" w:eastAsia="仿宋_GB2312"/>
          <w:color w:val="auto"/>
          <w:sz w:val="32"/>
          <w:szCs w:val="32"/>
          <w:highlight w:val="none"/>
          <w:lang w:eastAsia="zh-CN"/>
        </w:rPr>
        <w:t>4. 检查完成后，对合格车辆发放尾气合格检测报告；对不合格车辆发放维修告知单（对尾气检测合格但污染控制装置查验不合格的车辆不发放尾气合格报告）。</w:t>
      </w:r>
    </w:p>
    <w:p w14:paraId="7E5B1FD2">
      <w:pPr>
        <w:pStyle w:val="6"/>
        <w:spacing w:line="560" w:lineRule="exact"/>
        <w:ind w:firstLine="640" w:firstLineChars="200"/>
        <w:rPr>
          <w:rFonts w:ascii="Times New Roman" w:hAnsi="Times New Roman" w:eastAsia="仿宋_GB2312"/>
          <w:color w:val="auto"/>
          <w:sz w:val="32"/>
          <w:szCs w:val="32"/>
          <w:highlight w:val="none"/>
          <w:lang w:eastAsia="zh-CN"/>
        </w:rPr>
      </w:pPr>
      <w:r>
        <w:rPr>
          <w:rFonts w:ascii="Times New Roman" w:hAnsi="Times New Roman" w:eastAsia="仿宋_GB2312"/>
          <w:color w:val="auto"/>
          <w:sz w:val="32"/>
          <w:szCs w:val="32"/>
          <w:highlight w:val="none"/>
          <w:lang w:eastAsia="zh-CN"/>
        </w:rPr>
        <w:t>5. 对于检查的车辆，填写《信阳市重型货车检查台账》，做好记录留存，特别是污染控制装置查验不合格的车辆，注意留存有关照片及其他记录。</w:t>
      </w:r>
    </w:p>
    <w:p w14:paraId="303CF52C">
      <w:pPr>
        <w:pStyle w:val="6"/>
        <w:spacing w:line="560" w:lineRule="exact"/>
        <w:ind w:firstLine="640" w:firstLineChars="200"/>
        <w:rPr>
          <w:rFonts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五、提交成果</w:t>
      </w:r>
    </w:p>
    <w:bookmarkEnd w:id="6"/>
    <w:p w14:paraId="59F2ACE4">
      <w:pPr>
        <w:pStyle w:val="6"/>
        <w:spacing w:line="243" w:lineRule="auto"/>
        <w:ind w:firstLine="640" w:firstLineChars="200"/>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提供项目服务期内检测车辆的台账，对于尾气检测直传省平台的车辆，台账要与平台记录对应；对于不检测尾气仅查验污染控制装置的车辆，要有台账和对应检查照片。</w:t>
      </w:r>
    </w:p>
    <w:p w14:paraId="3732B826">
      <w:pPr>
        <w:pStyle w:val="6"/>
        <w:spacing w:line="243" w:lineRule="auto"/>
        <w:ind w:firstLine="640" w:firstLineChars="200"/>
        <w:rPr>
          <w:rFonts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六、完成时间</w:t>
      </w:r>
    </w:p>
    <w:p w14:paraId="5B03CA49">
      <w:pPr>
        <w:pStyle w:val="6"/>
        <w:spacing w:line="560" w:lineRule="exact"/>
        <w:ind w:firstLine="640" w:firstLineChars="200"/>
        <w:jc w:val="both"/>
        <w:rPr>
          <w:color w:val="auto"/>
          <w:sz w:val="32"/>
          <w:szCs w:val="32"/>
          <w:highlight w:val="none"/>
          <w:lang w:eastAsia="zh-CN"/>
        </w:rPr>
      </w:pPr>
      <w:r>
        <w:rPr>
          <w:rFonts w:ascii="Times New Roman" w:hAnsi="Times New Roman" w:eastAsia="仿宋_GB2312"/>
          <w:color w:val="auto"/>
          <w:sz w:val="32"/>
          <w:szCs w:val="32"/>
          <w:highlight w:val="none"/>
          <w:lang w:eastAsia="zh-CN"/>
        </w:rPr>
        <w:t>服务期为</w:t>
      </w:r>
      <w:r>
        <w:rPr>
          <w:rFonts w:hint="eastAsia" w:ascii="Times New Roman" w:hAnsi="Times New Roman" w:eastAsia="仿宋_GB2312"/>
          <w:color w:val="auto"/>
          <w:sz w:val="32"/>
          <w:szCs w:val="32"/>
          <w:highlight w:val="none"/>
          <w:lang w:eastAsia="zh-CN"/>
        </w:rPr>
        <w:t>合同签订日起一年，最终提交检查台账及见检查照片。</w:t>
      </w:r>
    </w:p>
    <w:p w14:paraId="6D6F4E42">
      <w:pPr>
        <w:pStyle w:val="6"/>
        <w:spacing w:line="244" w:lineRule="auto"/>
        <w:rPr>
          <w:color w:val="auto"/>
          <w:highlight w:val="none"/>
          <w:lang w:eastAsia="zh-CN"/>
        </w:rPr>
      </w:pPr>
    </w:p>
    <w:p w14:paraId="3BDEB2AE">
      <w:pPr>
        <w:pStyle w:val="6"/>
        <w:spacing w:line="318" w:lineRule="auto"/>
        <w:rPr>
          <w:color w:val="auto"/>
          <w:highlight w:val="none"/>
          <w:lang w:eastAsia="zh-CN"/>
        </w:rPr>
      </w:pPr>
    </w:p>
    <w:p w14:paraId="2E9F75A8">
      <w:pPr>
        <w:rPr>
          <w:rFonts w:ascii="黑体" w:hAnsi="黑体" w:eastAsia="黑体" w:cs="黑体"/>
          <w:color w:val="auto"/>
          <w:spacing w:val="5"/>
          <w:sz w:val="32"/>
          <w:szCs w:val="32"/>
          <w:highlight w:val="none"/>
          <w:lang w:eastAsia="zh-CN"/>
        </w:rPr>
      </w:pPr>
      <w:r>
        <w:rPr>
          <w:rFonts w:hint="eastAsia" w:ascii="黑体" w:hAnsi="黑体" w:eastAsia="黑体" w:cs="黑体"/>
          <w:color w:val="auto"/>
          <w:spacing w:val="5"/>
          <w:sz w:val="32"/>
          <w:szCs w:val="32"/>
          <w:highlight w:val="none"/>
          <w:lang w:eastAsia="zh-CN"/>
        </w:rPr>
        <w:br w:type="page"/>
      </w:r>
    </w:p>
    <w:p w14:paraId="4548C6E3">
      <w:pPr>
        <w:spacing w:line="560" w:lineRule="exact"/>
        <w:jc w:val="center"/>
        <w:outlineLvl w:val="0"/>
        <w:rPr>
          <w:rFonts w:ascii="黑体" w:hAnsi="黑体" w:eastAsia="黑体" w:cs="黑体"/>
          <w:color w:val="auto"/>
          <w:sz w:val="32"/>
          <w:szCs w:val="32"/>
          <w:highlight w:val="none"/>
          <w:lang w:eastAsia="zh-CN"/>
        </w:rPr>
      </w:pPr>
      <w:r>
        <w:rPr>
          <w:rFonts w:hint="eastAsia" w:ascii="黑体" w:hAnsi="黑体" w:eastAsia="黑体" w:cs="黑体"/>
          <w:color w:val="auto"/>
          <w:spacing w:val="5"/>
          <w:sz w:val="32"/>
          <w:szCs w:val="32"/>
          <w:highlight w:val="none"/>
          <w:lang w:eastAsia="zh-CN"/>
        </w:rPr>
        <w:t>第四章评审程序、方法及标准</w:t>
      </w:r>
    </w:p>
    <w:p w14:paraId="4B580C92">
      <w:pPr>
        <w:pStyle w:val="6"/>
        <w:spacing w:line="560" w:lineRule="exact"/>
        <w:jc w:val="both"/>
        <w:rPr>
          <w:color w:val="auto"/>
          <w:highlight w:val="none"/>
          <w:lang w:eastAsia="zh-CN"/>
        </w:rPr>
      </w:pPr>
    </w:p>
    <w:p w14:paraId="6549920E">
      <w:pPr>
        <w:pStyle w:val="6"/>
        <w:spacing w:line="243" w:lineRule="auto"/>
        <w:ind w:firstLine="640" w:firstLineChars="200"/>
        <w:rPr>
          <w:rFonts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一、评审程序</w:t>
      </w:r>
    </w:p>
    <w:p w14:paraId="29C7F6C2">
      <w:pPr>
        <w:pStyle w:val="6"/>
        <w:spacing w:line="560" w:lineRule="exact"/>
        <w:ind w:firstLine="636" w:firstLineChars="200"/>
        <w:jc w:val="both"/>
        <w:rPr>
          <w:rFonts w:ascii="Times New Roman" w:hAnsi="Times New Roman" w:eastAsia="仿宋_GB2312"/>
          <w:color w:val="auto"/>
          <w:sz w:val="32"/>
          <w:szCs w:val="32"/>
          <w:highlight w:val="none"/>
          <w:lang w:eastAsia="zh-CN"/>
        </w:rPr>
      </w:pPr>
      <w:r>
        <w:rPr>
          <w:rFonts w:ascii="Times New Roman" w:hAnsi="Times New Roman" w:eastAsia="Times New Roman" w:cs="Times New Roman"/>
          <w:color w:val="auto"/>
          <w:spacing w:val="4"/>
          <w:sz w:val="31"/>
          <w:szCs w:val="31"/>
          <w:highlight w:val="none"/>
          <w:lang w:eastAsia="zh-CN"/>
        </w:rPr>
        <w:t>1</w:t>
      </w:r>
      <w:r>
        <w:rPr>
          <w:rFonts w:ascii="微软雅黑" w:hAnsi="微软雅黑" w:eastAsia="微软雅黑" w:cs="微软雅黑"/>
          <w:color w:val="auto"/>
          <w:spacing w:val="4"/>
          <w:sz w:val="31"/>
          <w:szCs w:val="31"/>
          <w:highlight w:val="none"/>
          <w:lang w:eastAsia="zh-CN"/>
        </w:rPr>
        <w:t>．</w:t>
      </w:r>
      <w:r>
        <w:rPr>
          <w:rFonts w:hint="eastAsia" w:ascii="Times New Roman" w:hAnsi="Times New Roman" w:eastAsia="仿宋_GB2312"/>
          <w:color w:val="auto"/>
          <w:sz w:val="32"/>
          <w:szCs w:val="32"/>
          <w:highlight w:val="none"/>
          <w:lang w:eastAsia="zh-CN"/>
        </w:rPr>
        <w:t>比选小组对招标文件进行确认。</w:t>
      </w:r>
    </w:p>
    <w:p w14:paraId="5F19E8C0">
      <w:pPr>
        <w:pStyle w:val="6"/>
        <w:spacing w:line="560" w:lineRule="exact"/>
        <w:ind w:firstLine="640" w:firstLineChars="200"/>
        <w:jc w:val="both"/>
        <w:rPr>
          <w:rFonts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eastAsia="zh-CN"/>
        </w:rPr>
        <w:t>2．比选小组推选组长，讨论、通过比选工作流程和要点。</w:t>
      </w:r>
    </w:p>
    <w:p w14:paraId="79D25594">
      <w:pPr>
        <w:pStyle w:val="6"/>
        <w:spacing w:line="560" w:lineRule="exact"/>
        <w:ind w:firstLine="640" w:firstLineChars="200"/>
        <w:jc w:val="both"/>
        <w:rPr>
          <w:rFonts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eastAsia="zh-CN"/>
        </w:rPr>
        <w:t>3．资格性审查。比选开始后，比选小组依据招标文件规定，对响应文件中的资格证明进行审查，以确定投标人是否具备参与比选的资格。</w:t>
      </w:r>
    </w:p>
    <w:p w14:paraId="614A2132">
      <w:pPr>
        <w:pStyle w:val="6"/>
        <w:spacing w:line="560" w:lineRule="exact"/>
        <w:ind w:firstLine="640" w:firstLineChars="200"/>
        <w:jc w:val="both"/>
        <w:rPr>
          <w:rFonts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eastAsia="zh-CN"/>
        </w:rPr>
        <w:t>4．符合性审查。比选小组依据招标文件规定，对响应文件的内容是否完整、文件签署是否正确、响应文件是否符合招标文件的要求进行审查，以确定是否对招标文件的实质性要求作出响应。</w:t>
      </w:r>
    </w:p>
    <w:p w14:paraId="4AB91E51">
      <w:pPr>
        <w:pStyle w:val="6"/>
        <w:spacing w:line="560" w:lineRule="exact"/>
        <w:ind w:firstLine="640" w:firstLineChars="200"/>
        <w:jc w:val="both"/>
        <w:rPr>
          <w:rFonts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eastAsia="zh-CN"/>
        </w:rPr>
        <w:t>5．技术评审。比选小组对响应文件在技术规格要求、服务等方面是否能满足招标文件实质性要求进行评审。</w:t>
      </w:r>
    </w:p>
    <w:p w14:paraId="31291D0E">
      <w:pPr>
        <w:pStyle w:val="6"/>
        <w:spacing w:line="560" w:lineRule="exact"/>
        <w:ind w:firstLine="640" w:firstLineChars="200"/>
        <w:jc w:val="both"/>
        <w:rPr>
          <w:rFonts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eastAsia="zh-CN"/>
        </w:rPr>
        <w:t>6．在资格性、符合性审查、技术评审中如出现下列情况之一的响应文件，按无效响应文件处理，不再进行比选，比选小组当场告知投标人：</w:t>
      </w:r>
    </w:p>
    <w:p w14:paraId="1AB953CD">
      <w:pPr>
        <w:pStyle w:val="6"/>
        <w:spacing w:line="560" w:lineRule="exact"/>
        <w:ind w:firstLine="640" w:firstLineChars="200"/>
        <w:jc w:val="both"/>
        <w:rPr>
          <w:rFonts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eastAsia="zh-CN"/>
        </w:rPr>
        <w:t>（1）响应文件未实质性响应招标文件要求的；</w:t>
      </w:r>
    </w:p>
    <w:p w14:paraId="4DC0D9CD">
      <w:pPr>
        <w:pStyle w:val="6"/>
        <w:spacing w:line="560" w:lineRule="exact"/>
        <w:ind w:firstLine="640" w:firstLineChars="200"/>
        <w:jc w:val="both"/>
        <w:rPr>
          <w:rFonts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eastAsia="zh-CN"/>
        </w:rPr>
        <w:t>（2）响应文件无法定代表人（负责人）或其有效委托的授权人的签字，或未按招标文件的要求加盖公章的，或授权期限不符合要求的；</w:t>
      </w:r>
    </w:p>
    <w:p w14:paraId="5799B8D1">
      <w:pPr>
        <w:pStyle w:val="6"/>
        <w:spacing w:line="560" w:lineRule="exact"/>
        <w:ind w:firstLine="640" w:firstLineChars="200"/>
        <w:jc w:val="both"/>
        <w:rPr>
          <w:rFonts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eastAsia="zh-CN"/>
        </w:rPr>
        <w:t>（3）响应文件有效期低于招标文件要求的；</w:t>
      </w:r>
    </w:p>
    <w:p w14:paraId="184F971F">
      <w:pPr>
        <w:pStyle w:val="6"/>
        <w:spacing w:line="560" w:lineRule="exact"/>
        <w:ind w:firstLine="640" w:firstLineChars="200"/>
        <w:jc w:val="both"/>
        <w:rPr>
          <w:rFonts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eastAsia="zh-CN"/>
        </w:rPr>
        <w:t>（4）响应文件中提供虚假或失实资料的；</w:t>
      </w:r>
    </w:p>
    <w:p w14:paraId="28967513">
      <w:pPr>
        <w:pStyle w:val="6"/>
        <w:spacing w:line="560" w:lineRule="exact"/>
        <w:ind w:firstLine="640" w:firstLineChars="200"/>
        <w:jc w:val="both"/>
        <w:rPr>
          <w:rFonts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eastAsia="zh-CN"/>
        </w:rPr>
        <w:t>（5）不满足招标文件其他实质性要求的；</w:t>
      </w:r>
    </w:p>
    <w:p w14:paraId="53EFAE9A">
      <w:pPr>
        <w:pStyle w:val="6"/>
        <w:spacing w:line="560" w:lineRule="exact"/>
        <w:ind w:firstLine="640" w:firstLineChars="200"/>
        <w:jc w:val="both"/>
        <w:rPr>
          <w:rFonts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eastAsia="zh-CN"/>
        </w:rPr>
        <w:t>（6）认为投标人的报价明显低于其他通过符合性审查投标人的报价，有可能影响服务质量或者不能诚信履约的，应当要求其在评标现场合理的时间内提供书面说明，必要时提交相关证明材料：投标人不能证明其报价合理性的，比选小组应当将其作为无效投标处理。</w:t>
      </w:r>
    </w:p>
    <w:p w14:paraId="7AF0B964">
      <w:pPr>
        <w:pStyle w:val="6"/>
        <w:spacing w:line="560" w:lineRule="exact"/>
        <w:ind w:firstLine="640" w:firstLineChars="200"/>
        <w:jc w:val="both"/>
        <w:rPr>
          <w:rFonts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eastAsia="zh-CN"/>
        </w:rPr>
        <w:t>7．比选小组对通过资格性和符合性审查的响应文件进行评估，确定各投标人比选的具体内容。</w:t>
      </w:r>
    </w:p>
    <w:p w14:paraId="7C0B960A">
      <w:pPr>
        <w:pStyle w:val="6"/>
        <w:spacing w:line="560" w:lineRule="exact"/>
        <w:ind w:firstLine="640" w:firstLineChars="200"/>
        <w:jc w:val="both"/>
        <w:rPr>
          <w:rFonts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eastAsia="zh-CN"/>
        </w:rPr>
        <w:t>8．围绕比选要点，比选小组全体成员集中与潜在中标人候选人进行比选或单一投标人分别进行比选，比选轮次为一轮。</w:t>
      </w:r>
    </w:p>
    <w:p w14:paraId="48008EA7">
      <w:pPr>
        <w:pStyle w:val="6"/>
        <w:spacing w:line="560" w:lineRule="exact"/>
        <w:ind w:firstLine="640" w:firstLineChars="200"/>
        <w:jc w:val="both"/>
        <w:rPr>
          <w:rFonts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eastAsia="zh-CN"/>
        </w:rPr>
        <w:t>9．比选过程中，比选小组可以根据比选情况实质性变动采购需求中的技术、服务要求，但不得变动招标文件中的其他内容。实质性变动的内容需经采购人代表确认。并以书面形式通知所有参加比选的投标人，该变动是招标文件的有效组成部分。投标人应当按照招标文件的变动情况和比选小组的要求重新提交响应文件并由其法定代表人或授权代表签字或者加盖公章。由授权代表签字的应当附法定代表人授权书。投标人为自然人的应当由本人签字并附身份证。投标人应根据比选小组的要求，以书面形式在规定时间内做出响应，未做出响应的响应文件将被视为无效投标。</w:t>
      </w:r>
    </w:p>
    <w:p w14:paraId="4171AC7F">
      <w:pPr>
        <w:pStyle w:val="6"/>
        <w:spacing w:line="560" w:lineRule="exact"/>
        <w:ind w:firstLine="640" w:firstLineChars="200"/>
        <w:jc w:val="both"/>
        <w:rPr>
          <w:color w:val="auto"/>
          <w:highlight w:val="none"/>
          <w:lang w:eastAsia="zh-CN"/>
        </w:rPr>
      </w:pPr>
      <w:r>
        <w:rPr>
          <w:rFonts w:hint="eastAsia" w:ascii="Times New Roman" w:hAnsi="Times New Roman" w:eastAsia="仿宋_GB2312"/>
          <w:color w:val="auto"/>
          <w:sz w:val="32"/>
          <w:szCs w:val="32"/>
          <w:highlight w:val="none"/>
          <w:lang w:eastAsia="zh-CN"/>
        </w:rPr>
        <w:t>10．由比选小组采用综合评分法对实质性相应的投标人的响应文件进行综合评分。</w:t>
      </w:r>
    </w:p>
    <w:p w14:paraId="54D8C7C1">
      <w:pPr>
        <w:spacing w:line="560" w:lineRule="exact"/>
        <w:ind w:left="45" w:firstLine="652" w:firstLineChars="200"/>
        <w:rPr>
          <w:rFonts w:ascii="黑体" w:hAnsi="黑体" w:eastAsia="黑体" w:cs="黑体"/>
          <w:color w:val="auto"/>
          <w:sz w:val="31"/>
          <w:szCs w:val="31"/>
          <w:highlight w:val="none"/>
          <w:lang w:eastAsia="zh-CN"/>
        </w:rPr>
      </w:pPr>
      <w:r>
        <w:rPr>
          <w:rFonts w:ascii="黑体" w:hAnsi="黑体" w:eastAsia="黑体" w:cs="黑体"/>
          <w:color w:val="auto"/>
          <w:spacing w:val="8"/>
          <w:sz w:val="31"/>
          <w:szCs w:val="31"/>
          <w:highlight w:val="none"/>
          <w:lang w:eastAsia="zh-CN"/>
        </w:rPr>
        <w:t>二、评标定标原则及办法</w:t>
      </w:r>
    </w:p>
    <w:p w14:paraId="622139CC">
      <w:pPr>
        <w:pStyle w:val="6"/>
        <w:spacing w:line="560" w:lineRule="exact"/>
        <w:ind w:firstLine="640" w:firstLineChars="200"/>
        <w:jc w:val="both"/>
        <w:rPr>
          <w:rFonts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eastAsia="zh-CN"/>
        </w:rPr>
        <w:t>l、本次招标评标采用综合评分法，即在响应招标文件实质性要求前提下，按照招标文件中规定的评分标准和各项因素进行综合评审后，以评审总得分最高的投标人作为中标候选人。</w:t>
      </w:r>
    </w:p>
    <w:p w14:paraId="1676F8DF">
      <w:pPr>
        <w:pStyle w:val="6"/>
        <w:spacing w:line="560" w:lineRule="exact"/>
        <w:ind w:firstLine="640" w:firstLineChars="200"/>
        <w:jc w:val="both"/>
        <w:rPr>
          <w:rFonts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eastAsia="zh-CN"/>
        </w:rPr>
        <w:t>2、比选小组各成员独立对每个进入打分程序的有效投标人的标书技术和资质部分以打分的形式进行评审和评价，各投标人的最终得分为各评委所评定分数的算术平均值，各项统计、评分结果均按四舍五入的方法精确到小数点后2位。</w:t>
      </w:r>
    </w:p>
    <w:p w14:paraId="1DB84AE8">
      <w:pPr>
        <w:pStyle w:val="6"/>
        <w:spacing w:line="560" w:lineRule="exact"/>
        <w:ind w:firstLine="644" w:firstLineChars="200"/>
        <w:jc w:val="both"/>
        <w:rPr>
          <w:rFonts w:ascii="Times New Roman" w:hAnsi="Times New Roman" w:eastAsia="仿宋_GB2312"/>
          <w:color w:val="auto"/>
          <w:sz w:val="32"/>
          <w:szCs w:val="32"/>
          <w:highlight w:val="none"/>
          <w:lang w:eastAsia="zh-CN"/>
        </w:rPr>
      </w:pPr>
      <w:r>
        <w:rPr>
          <w:rFonts w:ascii="Times New Roman" w:hAnsi="Times New Roman" w:eastAsia="Times New Roman" w:cs="Times New Roman"/>
          <w:color w:val="auto"/>
          <w:spacing w:val="6"/>
          <w:sz w:val="31"/>
          <w:szCs w:val="31"/>
          <w:highlight w:val="none"/>
          <w:lang w:eastAsia="zh-CN"/>
        </w:rPr>
        <w:t>3</w:t>
      </w:r>
      <w:r>
        <w:rPr>
          <w:rFonts w:ascii="微软雅黑" w:hAnsi="微软雅黑" w:eastAsia="微软雅黑" w:cs="微软雅黑"/>
          <w:color w:val="auto"/>
          <w:spacing w:val="6"/>
          <w:sz w:val="31"/>
          <w:szCs w:val="31"/>
          <w:highlight w:val="none"/>
          <w:lang w:eastAsia="zh-CN"/>
        </w:rPr>
        <w:t>、</w:t>
      </w:r>
      <w:r>
        <w:rPr>
          <w:rFonts w:hint="eastAsia" w:ascii="Times New Roman" w:hAnsi="Times New Roman" w:eastAsia="仿宋_GB2312"/>
          <w:color w:val="auto"/>
          <w:sz w:val="32"/>
          <w:szCs w:val="32"/>
          <w:highlight w:val="none"/>
          <w:lang w:eastAsia="zh-CN"/>
        </w:rPr>
        <w:t>比选小组根据投标人的得分，按从高到低的顺序推荐候选人，由采购人按照法律法规及招标文件的有关规定确定中标人。如出现投标人的最终得分最高的投标人有两个或两个以上的，以技术部分评分高者优先作为中标候选人，如果技术评分也相同的，由采购人自行决定。</w:t>
      </w:r>
    </w:p>
    <w:p w14:paraId="47DCAA52">
      <w:pPr>
        <w:pStyle w:val="6"/>
        <w:spacing w:line="560" w:lineRule="exact"/>
        <w:ind w:firstLine="640" w:firstLineChars="200"/>
        <w:jc w:val="both"/>
        <w:rPr>
          <w:rFonts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eastAsia="zh-CN"/>
        </w:rPr>
        <w:t>比选小组参与人员组成：局专家3人。</w:t>
      </w:r>
    </w:p>
    <w:p w14:paraId="2A88197C">
      <w:pPr>
        <w:pStyle w:val="6"/>
        <w:spacing w:line="560" w:lineRule="exact"/>
        <w:ind w:firstLine="640" w:firstLineChars="200"/>
        <w:jc w:val="both"/>
        <w:rPr>
          <w:rFonts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eastAsia="zh-CN"/>
        </w:rPr>
        <w:t>评分小组组成：3人（局专家3人），信阳市生态环境局机关纪委。</w:t>
      </w:r>
    </w:p>
    <w:p w14:paraId="0CFF9343">
      <w:pPr>
        <w:spacing w:before="87" w:line="227" w:lineRule="auto"/>
        <w:ind w:left="46" w:firstLine="668" w:firstLineChars="200"/>
        <w:rPr>
          <w:rFonts w:ascii="黑体" w:hAnsi="黑体" w:eastAsia="黑体" w:cs="黑体"/>
          <w:color w:val="auto"/>
          <w:sz w:val="31"/>
          <w:szCs w:val="31"/>
          <w:highlight w:val="none"/>
        </w:rPr>
      </w:pPr>
      <w:r>
        <w:rPr>
          <w:rFonts w:ascii="黑体" w:hAnsi="黑体" w:eastAsia="黑体" w:cs="黑体"/>
          <w:color w:val="auto"/>
          <w:spacing w:val="7"/>
          <w:sz w:val="32"/>
          <w:szCs w:val="32"/>
          <w:highlight w:val="none"/>
        </w:rPr>
        <w:t>三、本项目评分标准</w:t>
      </w:r>
    </w:p>
    <w:p w14:paraId="67FEBB16">
      <w:pPr>
        <w:spacing w:line="88" w:lineRule="exact"/>
        <w:rPr>
          <w:color w:val="auto"/>
          <w:highlight w:val="none"/>
        </w:rPr>
      </w:pPr>
    </w:p>
    <w:tbl>
      <w:tblPr>
        <w:tblStyle w:val="15"/>
        <w:tblW w:w="8876"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38"/>
        <w:gridCol w:w="4138"/>
      </w:tblGrid>
      <w:tr w14:paraId="633F2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4738" w:type="dxa"/>
            <w:tcBorders>
              <w:top w:val="single" w:color="000000" w:sz="10" w:space="0"/>
              <w:left w:val="single" w:color="000000" w:sz="10" w:space="0"/>
            </w:tcBorders>
          </w:tcPr>
          <w:p w14:paraId="57178AFC">
            <w:pPr>
              <w:spacing w:before="172" w:line="219" w:lineRule="auto"/>
              <w:ind w:left="2034"/>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评分因素</w:t>
            </w:r>
          </w:p>
        </w:tc>
        <w:tc>
          <w:tcPr>
            <w:tcW w:w="4138" w:type="dxa"/>
            <w:tcBorders>
              <w:top w:val="single" w:color="000000" w:sz="10" w:space="0"/>
              <w:right w:val="single" w:color="000000" w:sz="10" w:space="0"/>
            </w:tcBorders>
          </w:tcPr>
          <w:p w14:paraId="5845586A">
            <w:pPr>
              <w:spacing w:before="172" w:line="220" w:lineRule="auto"/>
              <w:ind w:left="11"/>
              <w:jc w:val="center"/>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分置分配</w:t>
            </w:r>
          </w:p>
        </w:tc>
      </w:tr>
      <w:tr w14:paraId="24B7A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4738" w:type="dxa"/>
            <w:tcBorders>
              <w:left w:val="single" w:color="000000" w:sz="10" w:space="0"/>
            </w:tcBorders>
          </w:tcPr>
          <w:p w14:paraId="07FD2140">
            <w:pPr>
              <w:spacing w:before="169" w:line="218" w:lineRule="auto"/>
              <w:ind w:left="2031"/>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报价部分</w:t>
            </w:r>
          </w:p>
        </w:tc>
        <w:tc>
          <w:tcPr>
            <w:tcW w:w="4138" w:type="dxa"/>
            <w:tcBorders>
              <w:right w:val="single" w:color="000000" w:sz="10" w:space="0"/>
            </w:tcBorders>
          </w:tcPr>
          <w:p w14:paraId="59DD3684">
            <w:pPr>
              <w:spacing w:before="187" w:line="220" w:lineRule="auto"/>
              <w:ind w:left="1864"/>
              <w:rPr>
                <w:rFonts w:ascii="Times New Roman" w:hAnsi="Times New Roman" w:eastAsia="Times New Roman" w:cs="Times New Roman"/>
                <w:color w:val="auto"/>
                <w:spacing w:val="-6"/>
                <w:sz w:val="18"/>
                <w:szCs w:val="18"/>
                <w:highlight w:val="none"/>
              </w:rPr>
            </w:pPr>
            <w:r>
              <w:rPr>
                <w:rFonts w:hint="eastAsia" w:ascii="Times New Roman" w:hAnsi="Times New Roman" w:eastAsia="Times New Roman" w:cs="Times New Roman"/>
                <w:color w:val="auto"/>
                <w:spacing w:val="-6"/>
                <w:sz w:val="18"/>
                <w:szCs w:val="18"/>
                <w:highlight w:val="none"/>
                <w:lang w:eastAsia="zh-CN"/>
              </w:rPr>
              <w:t>25</w:t>
            </w:r>
            <w:r>
              <w:rPr>
                <w:rFonts w:ascii="Times New Roman" w:hAnsi="Times New Roman" w:eastAsia="Times New Roman" w:cs="Times New Roman"/>
                <w:color w:val="auto"/>
                <w:spacing w:val="-6"/>
                <w:sz w:val="18"/>
                <w:szCs w:val="18"/>
                <w:highlight w:val="none"/>
              </w:rPr>
              <w:t>分</w:t>
            </w:r>
          </w:p>
        </w:tc>
      </w:tr>
      <w:tr w14:paraId="1422F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4738" w:type="dxa"/>
            <w:tcBorders>
              <w:left w:val="single" w:color="000000" w:sz="10" w:space="0"/>
            </w:tcBorders>
          </w:tcPr>
          <w:p w14:paraId="43D1445C">
            <w:pPr>
              <w:spacing w:before="176" w:line="219" w:lineRule="auto"/>
              <w:ind w:left="2036"/>
              <w:rPr>
                <w:rFonts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lang w:eastAsia="zh-CN"/>
              </w:rPr>
              <w:t>技术</w:t>
            </w:r>
            <w:r>
              <w:rPr>
                <w:rFonts w:ascii="宋体" w:hAnsi="宋体" w:eastAsia="宋体" w:cs="宋体"/>
                <w:color w:val="auto"/>
                <w:spacing w:val="-3"/>
                <w:sz w:val="18"/>
                <w:szCs w:val="18"/>
                <w:highlight w:val="none"/>
              </w:rPr>
              <w:t>部分</w:t>
            </w:r>
          </w:p>
        </w:tc>
        <w:tc>
          <w:tcPr>
            <w:tcW w:w="4138" w:type="dxa"/>
            <w:tcBorders>
              <w:right w:val="single" w:color="000000" w:sz="10" w:space="0"/>
            </w:tcBorders>
          </w:tcPr>
          <w:p w14:paraId="5D5C7747">
            <w:pPr>
              <w:spacing w:before="187" w:line="220" w:lineRule="auto"/>
              <w:ind w:left="1864"/>
              <w:rPr>
                <w:rFonts w:ascii="Times New Roman" w:hAnsi="Times New Roman" w:eastAsia="Times New Roman" w:cs="Times New Roman"/>
                <w:color w:val="auto"/>
                <w:spacing w:val="-6"/>
                <w:sz w:val="18"/>
                <w:szCs w:val="18"/>
                <w:highlight w:val="none"/>
              </w:rPr>
            </w:pPr>
            <w:r>
              <w:rPr>
                <w:rFonts w:hint="eastAsia" w:ascii="Times New Roman" w:hAnsi="Times New Roman" w:eastAsia="Times New Roman" w:cs="Times New Roman"/>
                <w:color w:val="auto"/>
                <w:spacing w:val="-6"/>
                <w:sz w:val="18"/>
                <w:szCs w:val="18"/>
                <w:highlight w:val="none"/>
                <w:lang w:eastAsia="zh-CN"/>
              </w:rPr>
              <w:t>25</w:t>
            </w:r>
            <w:r>
              <w:rPr>
                <w:rFonts w:ascii="Times New Roman" w:hAnsi="Times New Roman" w:eastAsia="Times New Roman" w:cs="Times New Roman"/>
                <w:color w:val="auto"/>
                <w:spacing w:val="-6"/>
                <w:sz w:val="18"/>
                <w:szCs w:val="18"/>
                <w:highlight w:val="none"/>
              </w:rPr>
              <w:t>分</w:t>
            </w:r>
          </w:p>
        </w:tc>
      </w:tr>
      <w:tr w14:paraId="1A6A3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4738" w:type="dxa"/>
            <w:tcBorders>
              <w:left w:val="single" w:color="000000" w:sz="10" w:space="0"/>
            </w:tcBorders>
          </w:tcPr>
          <w:p w14:paraId="031A8F2B">
            <w:pPr>
              <w:spacing w:before="178" w:line="219" w:lineRule="auto"/>
              <w:ind w:left="2033"/>
              <w:rPr>
                <w:rFonts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lang w:eastAsia="zh-CN"/>
              </w:rPr>
              <w:t>综合</w:t>
            </w:r>
            <w:r>
              <w:rPr>
                <w:rFonts w:ascii="宋体" w:hAnsi="宋体" w:eastAsia="宋体" w:cs="宋体"/>
                <w:color w:val="auto"/>
                <w:spacing w:val="-2"/>
                <w:sz w:val="18"/>
                <w:szCs w:val="18"/>
                <w:highlight w:val="none"/>
              </w:rPr>
              <w:t>部分</w:t>
            </w:r>
          </w:p>
        </w:tc>
        <w:tc>
          <w:tcPr>
            <w:tcW w:w="4138" w:type="dxa"/>
            <w:tcBorders>
              <w:right w:val="single" w:color="000000" w:sz="10" w:space="0"/>
            </w:tcBorders>
          </w:tcPr>
          <w:p w14:paraId="6F0601FE">
            <w:pPr>
              <w:spacing w:before="187" w:line="220" w:lineRule="auto"/>
              <w:ind w:left="1864"/>
              <w:rPr>
                <w:rFonts w:ascii="Times New Roman" w:hAnsi="Times New Roman" w:eastAsia="Times New Roman" w:cs="Times New Roman"/>
                <w:color w:val="auto"/>
                <w:spacing w:val="-6"/>
                <w:sz w:val="18"/>
                <w:szCs w:val="18"/>
                <w:highlight w:val="none"/>
              </w:rPr>
            </w:pPr>
            <w:r>
              <w:rPr>
                <w:rFonts w:hint="eastAsia" w:ascii="Times New Roman" w:hAnsi="Times New Roman" w:eastAsia="Times New Roman" w:cs="Times New Roman"/>
                <w:color w:val="auto"/>
                <w:spacing w:val="-6"/>
                <w:sz w:val="18"/>
                <w:szCs w:val="18"/>
                <w:highlight w:val="none"/>
                <w:lang w:eastAsia="zh-CN"/>
              </w:rPr>
              <w:t>50</w:t>
            </w:r>
            <w:r>
              <w:rPr>
                <w:rFonts w:ascii="Times New Roman" w:hAnsi="Times New Roman" w:eastAsia="Times New Roman" w:cs="Times New Roman"/>
                <w:color w:val="auto"/>
                <w:spacing w:val="-6"/>
                <w:sz w:val="18"/>
                <w:szCs w:val="18"/>
                <w:highlight w:val="none"/>
              </w:rPr>
              <w:t>分</w:t>
            </w:r>
          </w:p>
        </w:tc>
      </w:tr>
      <w:tr w14:paraId="35F7E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4738" w:type="dxa"/>
            <w:tcBorders>
              <w:left w:val="single" w:color="000000" w:sz="10" w:space="0"/>
              <w:bottom w:val="single" w:color="000000" w:sz="10" w:space="0"/>
            </w:tcBorders>
          </w:tcPr>
          <w:p w14:paraId="3E7A4626">
            <w:pPr>
              <w:spacing w:before="187" w:line="221" w:lineRule="auto"/>
              <w:ind w:left="2213"/>
              <w:rPr>
                <w:rFonts w:ascii="宋体" w:hAnsi="宋体" w:eastAsia="宋体" w:cs="宋体"/>
                <w:color w:val="auto"/>
                <w:sz w:val="18"/>
                <w:szCs w:val="18"/>
                <w:highlight w:val="none"/>
              </w:rPr>
            </w:pPr>
            <w:r>
              <w:rPr>
                <w:rFonts w:ascii="宋体" w:hAnsi="宋体" w:eastAsia="宋体" w:cs="宋体"/>
                <w:color w:val="auto"/>
                <w:spacing w:val="-4"/>
                <w:sz w:val="18"/>
                <w:szCs w:val="18"/>
                <w:highlight w:val="none"/>
              </w:rPr>
              <w:t>合计</w:t>
            </w:r>
          </w:p>
        </w:tc>
        <w:tc>
          <w:tcPr>
            <w:tcW w:w="4138" w:type="dxa"/>
            <w:tcBorders>
              <w:bottom w:val="single" w:color="000000" w:sz="10" w:space="0"/>
              <w:right w:val="single" w:color="000000" w:sz="10" w:space="0"/>
            </w:tcBorders>
          </w:tcPr>
          <w:p w14:paraId="683AA1E3">
            <w:pPr>
              <w:spacing w:before="187" w:line="220" w:lineRule="auto"/>
              <w:ind w:left="1864"/>
              <w:rPr>
                <w:rFonts w:ascii="宋体" w:hAnsi="宋体" w:eastAsia="宋体" w:cs="宋体"/>
                <w:color w:val="auto"/>
                <w:sz w:val="18"/>
                <w:szCs w:val="18"/>
                <w:highlight w:val="none"/>
              </w:rPr>
            </w:pPr>
            <w:r>
              <w:rPr>
                <w:rFonts w:ascii="Times New Roman" w:hAnsi="Times New Roman" w:eastAsia="Times New Roman" w:cs="Times New Roman"/>
                <w:color w:val="auto"/>
                <w:spacing w:val="-6"/>
                <w:sz w:val="18"/>
                <w:szCs w:val="18"/>
                <w:highlight w:val="none"/>
              </w:rPr>
              <w:t>100</w:t>
            </w:r>
            <w:r>
              <w:rPr>
                <w:rFonts w:ascii="宋体" w:hAnsi="宋体" w:eastAsia="宋体" w:cs="宋体"/>
                <w:color w:val="auto"/>
                <w:spacing w:val="-6"/>
                <w:sz w:val="18"/>
                <w:szCs w:val="18"/>
                <w:highlight w:val="none"/>
              </w:rPr>
              <w:t>分</w:t>
            </w:r>
          </w:p>
        </w:tc>
      </w:tr>
    </w:tbl>
    <w:p w14:paraId="53B5E28B">
      <w:pPr>
        <w:pStyle w:val="6"/>
        <w:rPr>
          <w:color w:val="auto"/>
          <w:highlight w:val="none"/>
        </w:rPr>
      </w:pPr>
    </w:p>
    <w:p w14:paraId="30667DD4">
      <w:pPr>
        <w:rPr>
          <w:color w:val="auto"/>
          <w:highlight w:val="none"/>
        </w:rPr>
        <w:sectPr>
          <w:pgSz w:w="11906" w:h="16839"/>
          <w:pgMar w:top="1440" w:right="1800" w:bottom="1440" w:left="1800" w:header="0" w:footer="567" w:gutter="0"/>
          <w:cols w:space="720" w:num="1"/>
        </w:sectPr>
      </w:pPr>
    </w:p>
    <w:p w14:paraId="41A64B5B">
      <w:pPr>
        <w:spacing w:before="87" w:line="227" w:lineRule="auto"/>
        <w:ind w:left="46" w:firstLine="668" w:firstLineChars="200"/>
        <w:rPr>
          <w:rFonts w:ascii="黑体" w:hAnsi="黑体" w:eastAsia="黑体" w:cs="黑体"/>
          <w:color w:val="auto"/>
          <w:spacing w:val="7"/>
          <w:sz w:val="32"/>
          <w:szCs w:val="32"/>
          <w:highlight w:val="none"/>
        </w:rPr>
      </w:pPr>
      <w:r>
        <w:rPr>
          <w:rFonts w:ascii="黑体" w:hAnsi="黑体" w:eastAsia="黑体" w:cs="黑体"/>
          <w:color w:val="auto"/>
          <w:spacing w:val="7"/>
          <w:sz w:val="32"/>
          <w:szCs w:val="32"/>
          <w:highlight w:val="none"/>
        </w:rPr>
        <w:t>四、评分因素</w:t>
      </w:r>
    </w:p>
    <w:p w14:paraId="137AB427">
      <w:pPr>
        <w:spacing w:line="91" w:lineRule="exact"/>
        <w:rPr>
          <w:color w:val="auto"/>
          <w:highlight w:val="none"/>
        </w:rPr>
      </w:pPr>
    </w:p>
    <w:tbl>
      <w:tblPr>
        <w:tblStyle w:val="15"/>
        <w:tblW w:w="88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8"/>
        <w:gridCol w:w="991"/>
        <w:gridCol w:w="1210"/>
        <w:gridCol w:w="5331"/>
        <w:gridCol w:w="659"/>
      </w:tblGrid>
      <w:tr w14:paraId="73796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638" w:type="dxa"/>
            <w:vAlign w:val="center"/>
          </w:tcPr>
          <w:p w14:paraId="2B7AA42D">
            <w:pPr>
              <w:spacing w:line="229" w:lineRule="auto"/>
              <w:jc w:val="center"/>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序号</w:t>
            </w:r>
          </w:p>
        </w:tc>
        <w:tc>
          <w:tcPr>
            <w:tcW w:w="2201" w:type="dxa"/>
            <w:gridSpan w:val="2"/>
            <w:vAlign w:val="center"/>
          </w:tcPr>
          <w:p w14:paraId="50D026B9">
            <w:pPr>
              <w:spacing w:line="228" w:lineRule="auto"/>
              <w:jc w:val="center"/>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评分项目</w:t>
            </w:r>
          </w:p>
        </w:tc>
        <w:tc>
          <w:tcPr>
            <w:tcW w:w="5331" w:type="dxa"/>
            <w:vAlign w:val="center"/>
          </w:tcPr>
          <w:p w14:paraId="72D678E1">
            <w:pPr>
              <w:spacing w:line="228" w:lineRule="auto"/>
              <w:jc w:val="center"/>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评分标准</w:t>
            </w:r>
          </w:p>
        </w:tc>
        <w:tc>
          <w:tcPr>
            <w:tcW w:w="659" w:type="dxa"/>
            <w:vAlign w:val="center"/>
          </w:tcPr>
          <w:p w14:paraId="4FEFD4B7">
            <w:pPr>
              <w:spacing w:before="56" w:line="258" w:lineRule="auto"/>
              <w:ind w:left="77" w:right="67" w:hanging="1"/>
              <w:jc w:val="center"/>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标准</w:t>
            </w:r>
            <w:r>
              <w:rPr>
                <w:rFonts w:ascii="宋体" w:hAnsi="宋体" w:eastAsia="宋体" w:cs="宋体"/>
                <w:color w:val="auto"/>
                <w:spacing w:val="3"/>
                <w:sz w:val="20"/>
                <w:szCs w:val="20"/>
                <w:highlight w:val="none"/>
              </w:rPr>
              <w:t>分值</w:t>
            </w:r>
          </w:p>
        </w:tc>
      </w:tr>
      <w:tr w14:paraId="23EE5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38" w:type="dxa"/>
            <w:tcBorders>
              <w:bottom w:val="single" w:color="auto" w:sz="4" w:space="0"/>
            </w:tcBorders>
            <w:vAlign w:val="center"/>
          </w:tcPr>
          <w:p w14:paraId="4C197BA3">
            <w:pPr>
              <w:spacing w:line="195" w:lineRule="auto"/>
              <w:jc w:val="center"/>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1</w:t>
            </w:r>
          </w:p>
        </w:tc>
        <w:tc>
          <w:tcPr>
            <w:tcW w:w="991" w:type="dxa"/>
            <w:tcBorders>
              <w:bottom w:val="single" w:color="auto" w:sz="4" w:space="0"/>
            </w:tcBorders>
            <w:vAlign w:val="center"/>
          </w:tcPr>
          <w:p w14:paraId="01553E16">
            <w:pPr>
              <w:spacing w:line="258" w:lineRule="auto"/>
              <w:ind w:hanging="11"/>
              <w:jc w:val="center"/>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报价部分</w:t>
            </w:r>
            <w:r>
              <w:rPr>
                <w:rFonts w:ascii="宋体" w:hAnsi="宋体" w:eastAsia="宋体" w:cs="宋体"/>
                <w:color w:val="auto"/>
                <w:spacing w:val="2"/>
                <w:sz w:val="20"/>
                <w:szCs w:val="20"/>
                <w:highlight w:val="none"/>
              </w:rPr>
              <w:t xml:space="preserve"> （</w:t>
            </w:r>
            <w:r>
              <w:rPr>
                <w:rFonts w:hint="eastAsia" w:ascii="Times New Roman" w:hAnsi="Times New Roman" w:eastAsia="宋体" w:cs="Times New Roman"/>
                <w:color w:val="auto"/>
                <w:spacing w:val="2"/>
                <w:sz w:val="20"/>
                <w:szCs w:val="20"/>
                <w:highlight w:val="none"/>
                <w:lang w:eastAsia="zh-CN"/>
              </w:rPr>
              <w:t>25</w:t>
            </w:r>
            <w:r>
              <w:rPr>
                <w:rFonts w:ascii="宋体" w:hAnsi="宋体" w:eastAsia="宋体" w:cs="宋体"/>
                <w:color w:val="auto"/>
                <w:spacing w:val="2"/>
                <w:sz w:val="20"/>
                <w:szCs w:val="20"/>
                <w:highlight w:val="none"/>
              </w:rPr>
              <w:t>分）</w:t>
            </w:r>
          </w:p>
        </w:tc>
        <w:tc>
          <w:tcPr>
            <w:tcW w:w="1210" w:type="dxa"/>
            <w:tcBorders>
              <w:bottom w:val="single" w:color="auto" w:sz="4" w:space="0"/>
            </w:tcBorders>
            <w:vAlign w:val="center"/>
          </w:tcPr>
          <w:p w14:paraId="31E05C43">
            <w:pPr>
              <w:spacing w:line="258" w:lineRule="auto"/>
              <w:ind w:hanging="7"/>
              <w:jc w:val="center"/>
              <w:rPr>
                <w:rFonts w:ascii="宋体" w:hAnsi="宋体" w:eastAsia="宋体" w:cs="宋体"/>
                <w:color w:val="auto"/>
                <w:spacing w:val="2"/>
                <w:sz w:val="20"/>
                <w:szCs w:val="20"/>
                <w:highlight w:val="none"/>
              </w:rPr>
            </w:pPr>
            <w:r>
              <w:rPr>
                <w:rFonts w:ascii="宋体" w:hAnsi="宋体" w:eastAsia="宋体" w:cs="宋体"/>
                <w:color w:val="auto"/>
                <w:spacing w:val="6"/>
                <w:sz w:val="20"/>
                <w:szCs w:val="20"/>
                <w:highlight w:val="none"/>
              </w:rPr>
              <w:t>投标报价</w:t>
            </w:r>
          </w:p>
          <w:p w14:paraId="3CF344CF">
            <w:pPr>
              <w:spacing w:line="258" w:lineRule="auto"/>
              <w:ind w:hanging="7"/>
              <w:jc w:val="center"/>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w:t>
            </w:r>
            <w:r>
              <w:rPr>
                <w:rFonts w:hint="eastAsia" w:ascii="Times New Roman" w:hAnsi="Times New Roman" w:eastAsia="宋体" w:cs="Times New Roman"/>
                <w:color w:val="auto"/>
                <w:spacing w:val="2"/>
                <w:sz w:val="20"/>
                <w:szCs w:val="20"/>
                <w:highlight w:val="none"/>
                <w:lang w:eastAsia="zh-CN"/>
              </w:rPr>
              <w:t>25</w:t>
            </w:r>
            <w:r>
              <w:rPr>
                <w:rFonts w:ascii="宋体" w:hAnsi="宋体" w:eastAsia="宋体" w:cs="宋体"/>
                <w:color w:val="auto"/>
                <w:spacing w:val="2"/>
                <w:sz w:val="20"/>
                <w:szCs w:val="20"/>
                <w:highlight w:val="none"/>
              </w:rPr>
              <w:t>分）</w:t>
            </w:r>
          </w:p>
        </w:tc>
        <w:tc>
          <w:tcPr>
            <w:tcW w:w="5331" w:type="dxa"/>
            <w:tcBorders>
              <w:bottom w:val="single" w:color="auto" w:sz="4" w:space="0"/>
            </w:tcBorders>
            <w:vAlign w:val="center"/>
          </w:tcPr>
          <w:p w14:paraId="5C9079E2">
            <w:pPr>
              <w:spacing w:line="270" w:lineRule="auto"/>
              <w:jc w:val="both"/>
              <w:rPr>
                <w:rFonts w:ascii="宋体" w:hAnsi="宋体" w:eastAsia="宋体" w:cs="宋体"/>
                <w:color w:val="auto"/>
                <w:spacing w:val="10"/>
                <w:sz w:val="20"/>
                <w:szCs w:val="20"/>
                <w:highlight w:val="none"/>
                <w:lang w:eastAsia="zh-CN"/>
              </w:rPr>
            </w:pPr>
            <w:r>
              <w:rPr>
                <w:rFonts w:hint="eastAsia" w:ascii="宋体" w:hAnsi="宋体" w:eastAsia="宋体" w:cs="宋体"/>
                <w:color w:val="auto"/>
                <w:spacing w:val="10"/>
                <w:sz w:val="20"/>
                <w:szCs w:val="20"/>
                <w:highlight w:val="none"/>
                <w:lang w:eastAsia="zh-CN"/>
              </w:rPr>
              <w:t>价格分计算公式：某有效供应商价格分=（有效供应商最低评审磋商报价（金额）/某有效供应商评审磋商报价（金额））×25分。</w:t>
            </w:r>
          </w:p>
          <w:p w14:paraId="12E5D4E9">
            <w:pPr>
              <w:spacing w:line="270" w:lineRule="auto"/>
              <w:jc w:val="both"/>
              <w:rPr>
                <w:color w:val="auto"/>
                <w:highlight w:val="none"/>
                <w:lang w:eastAsia="zh-CN"/>
              </w:rPr>
            </w:pPr>
            <w:r>
              <w:rPr>
                <w:rFonts w:hint="eastAsia" w:ascii="宋体" w:hAnsi="宋体" w:eastAsia="宋体" w:cs="宋体"/>
                <w:color w:val="auto"/>
                <w:spacing w:val="10"/>
                <w:sz w:val="20"/>
                <w:szCs w:val="20"/>
                <w:highlight w:val="none"/>
                <w:lang w:eastAsia="zh-CN"/>
              </w:rPr>
              <w:t>注：根据信财购〔2020〕4号文中六、防范投标企业串标围标及恶意低价行为措施方面，评审专家评审中发现投标人的报价明显低于其他通过符合性审查投标人的报价（建议比控制价低30%的），且该投标人的技术等主要指标有大量或明显故意不符，可能影响采购质量或者项目履约的，应当要求其在评标现场合理的时间内提供书面说明，投标人不能证明其报价合理性的，评标委员会应当将其作为无效投标处理。</w:t>
            </w:r>
          </w:p>
        </w:tc>
        <w:tc>
          <w:tcPr>
            <w:tcW w:w="659" w:type="dxa"/>
            <w:vAlign w:val="center"/>
          </w:tcPr>
          <w:p w14:paraId="709DBF01">
            <w:pPr>
              <w:spacing w:line="195" w:lineRule="auto"/>
              <w:jc w:val="center"/>
              <w:rPr>
                <w:rFonts w:ascii="Times New Roman" w:hAnsi="Times New Roman" w:eastAsia="宋体" w:cs="Times New Roman"/>
                <w:color w:val="auto"/>
                <w:sz w:val="20"/>
                <w:szCs w:val="20"/>
                <w:highlight w:val="none"/>
                <w:lang w:eastAsia="zh-CN"/>
              </w:rPr>
            </w:pPr>
            <w:r>
              <w:rPr>
                <w:rFonts w:hint="eastAsia" w:ascii="Times New Roman" w:hAnsi="Times New Roman" w:eastAsia="宋体" w:cs="Times New Roman"/>
                <w:color w:val="auto"/>
                <w:sz w:val="20"/>
                <w:szCs w:val="20"/>
                <w:highlight w:val="none"/>
                <w:lang w:eastAsia="zh-CN"/>
              </w:rPr>
              <w:t>25</w:t>
            </w:r>
          </w:p>
        </w:tc>
      </w:tr>
      <w:tr w14:paraId="4EDD71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9" w:hRule="atLeast"/>
        </w:trPr>
        <w:tc>
          <w:tcPr>
            <w:tcW w:w="638" w:type="dxa"/>
            <w:tcBorders>
              <w:top w:val="single" w:color="auto" w:sz="4" w:space="0"/>
              <w:left w:val="single" w:color="auto" w:sz="4" w:space="0"/>
            </w:tcBorders>
            <w:vAlign w:val="center"/>
          </w:tcPr>
          <w:p w14:paraId="07A8BCB3">
            <w:pPr>
              <w:spacing w:line="195" w:lineRule="auto"/>
              <w:jc w:val="center"/>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2</w:t>
            </w:r>
          </w:p>
        </w:tc>
        <w:tc>
          <w:tcPr>
            <w:tcW w:w="991" w:type="dxa"/>
            <w:vMerge w:val="restart"/>
            <w:tcBorders>
              <w:top w:val="single" w:color="auto" w:sz="4" w:space="0"/>
              <w:bottom w:val="nil"/>
            </w:tcBorders>
            <w:vAlign w:val="center"/>
          </w:tcPr>
          <w:p w14:paraId="412FF49E">
            <w:pPr>
              <w:spacing w:line="259" w:lineRule="auto"/>
              <w:jc w:val="center"/>
              <w:rPr>
                <w:color w:val="auto"/>
                <w:highlight w:val="none"/>
              </w:rPr>
            </w:pPr>
          </w:p>
          <w:p w14:paraId="61112F8D">
            <w:pPr>
              <w:spacing w:line="259" w:lineRule="auto"/>
              <w:jc w:val="center"/>
              <w:rPr>
                <w:color w:val="auto"/>
                <w:highlight w:val="none"/>
              </w:rPr>
            </w:pPr>
          </w:p>
          <w:p w14:paraId="05FB20FF">
            <w:pPr>
              <w:spacing w:line="259" w:lineRule="auto"/>
              <w:jc w:val="center"/>
              <w:rPr>
                <w:color w:val="auto"/>
                <w:highlight w:val="none"/>
              </w:rPr>
            </w:pPr>
          </w:p>
          <w:p w14:paraId="1CC9713D">
            <w:pPr>
              <w:spacing w:line="259" w:lineRule="auto"/>
              <w:jc w:val="center"/>
              <w:rPr>
                <w:color w:val="auto"/>
                <w:highlight w:val="none"/>
              </w:rPr>
            </w:pPr>
          </w:p>
          <w:p w14:paraId="6C89197E">
            <w:pPr>
              <w:spacing w:line="259" w:lineRule="auto"/>
              <w:jc w:val="center"/>
              <w:rPr>
                <w:color w:val="auto"/>
                <w:highlight w:val="none"/>
              </w:rPr>
            </w:pPr>
          </w:p>
          <w:p w14:paraId="68547ACD">
            <w:pPr>
              <w:spacing w:line="260" w:lineRule="auto"/>
              <w:jc w:val="center"/>
              <w:rPr>
                <w:color w:val="auto"/>
                <w:highlight w:val="none"/>
              </w:rPr>
            </w:pPr>
          </w:p>
          <w:p w14:paraId="33B03F43">
            <w:pPr>
              <w:spacing w:line="260" w:lineRule="auto"/>
              <w:jc w:val="center"/>
              <w:rPr>
                <w:color w:val="auto"/>
                <w:highlight w:val="none"/>
              </w:rPr>
            </w:pPr>
          </w:p>
          <w:p w14:paraId="3F85F6CB">
            <w:pPr>
              <w:spacing w:line="260" w:lineRule="auto"/>
              <w:jc w:val="center"/>
              <w:rPr>
                <w:color w:val="auto"/>
                <w:highlight w:val="none"/>
              </w:rPr>
            </w:pPr>
          </w:p>
          <w:p w14:paraId="2FF718ED">
            <w:pPr>
              <w:spacing w:line="258" w:lineRule="auto"/>
              <w:ind w:firstLine="20"/>
              <w:jc w:val="center"/>
              <w:rPr>
                <w:rFonts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技术</w:t>
            </w:r>
            <w:r>
              <w:rPr>
                <w:rFonts w:ascii="宋体" w:hAnsi="宋体" w:eastAsia="宋体" w:cs="宋体"/>
                <w:color w:val="auto"/>
                <w:spacing w:val="6"/>
                <w:sz w:val="20"/>
                <w:szCs w:val="20"/>
                <w:highlight w:val="none"/>
              </w:rPr>
              <w:t>部分</w:t>
            </w:r>
            <w:r>
              <w:rPr>
                <w:rFonts w:ascii="宋体" w:hAnsi="宋体" w:eastAsia="宋体" w:cs="宋体"/>
                <w:color w:val="auto"/>
                <w:spacing w:val="-3"/>
                <w:sz w:val="20"/>
                <w:szCs w:val="20"/>
                <w:highlight w:val="none"/>
              </w:rPr>
              <w:t>（</w:t>
            </w:r>
            <w:r>
              <w:rPr>
                <w:rFonts w:hint="eastAsia" w:ascii="Times New Roman" w:hAnsi="Times New Roman" w:eastAsia="宋体" w:cs="Times New Roman"/>
                <w:color w:val="auto"/>
                <w:spacing w:val="-3"/>
                <w:sz w:val="20"/>
                <w:szCs w:val="20"/>
                <w:highlight w:val="none"/>
                <w:lang w:eastAsia="zh-CN"/>
              </w:rPr>
              <w:t>25</w:t>
            </w:r>
            <w:r>
              <w:rPr>
                <w:rFonts w:ascii="宋体" w:hAnsi="宋体" w:eastAsia="宋体" w:cs="宋体"/>
                <w:color w:val="auto"/>
                <w:spacing w:val="-3"/>
                <w:sz w:val="20"/>
                <w:szCs w:val="20"/>
                <w:highlight w:val="none"/>
              </w:rPr>
              <w:t>分）</w:t>
            </w:r>
          </w:p>
        </w:tc>
        <w:tc>
          <w:tcPr>
            <w:tcW w:w="1210" w:type="dxa"/>
            <w:tcBorders>
              <w:top w:val="single" w:color="auto" w:sz="4" w:space="0"/>
            </w:tcBorders>
            <w:vAlign w:val="center"/>
          </w:tcPr>
          <w:p w14:paraId="4334BE7E">
            <w:pPr>
              <w:spacing w:line="298" w:lineRule="auto"/>
              <w:jc w:val="center"/>
              <w:rPr>
                <w:color w:val="auto"/>
                <w:highlight w:val="none"/>
                <w:lang w:eastAsia="zh-CN"/>
              </w:rPr>
            </w:pPr>
          </w:p>
          <w:p w14:paraId="41D1038C">
            <w:pPr>
              <w:spacing w:line="258" w:lineRule="auto"/>
              <w:ind w:firstLine="19"/>
              <w:jc w:val="center"/>
              <w:rPr>
                <w:rFonts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项目技术方案质量</w:t>
            </w:r>
          </w:p>
          <w:p w14:paraId="274C1ABC">
            <w:pPr>
              <w:spacing w:line="258" w:lineRule="auto"/>
              <w:ind w:firstLine="19"/>
              <w:jc w:val="center"/>
              <w:rPr>
                <w:rFonts w:ascii="宋体" w:hAnsi="宋体" w:eastAsia="宋体" w:cs="宋体"/>
                <w:color w:val="auto"/>
                <w:sz w:val="20"/>
                <w:szCs w:val="20"/>
                <w:highlight w:val="none"/>
                <w:lang w:eastAsia="zh-CN"/>
              </w:rPr>
            </w:pPr>
            <w:r>
              <w:rPr>
                <w:rFonts w:ascii="宋体" w:hAnsi="宋体" w:eastAsia="宋体" w:cs="宋体"/>
                <w:color w:val="auto"/>
                <w:spacing w:val="-2"/>
                <w:sz w:val="20"/>
                <w:szCs w:val="20"/>
                <w:highlight w:val="none"/>
                <w:lang w:eastAsia="zh-CN"/>
              </w:rPr>
              <w:t>（</w:t>
            </w:r>
            <w:r>
              <w:rPr>
                <w:rFonts w:hint="eastAsia" w:ascii="Times New Roman" w:hAnsi="Times New Roman" w:eastAsia="宋体" w:cs="Times New Roman"/>
                <w:color w:val="auto"/>
                <w:spacing w:val="-2"/>
                <w:sz w:val="20"/>
                <w:szCs w:val="20"/>
                <w:highlight w:val="none"/>
                <w:lang w:eastAsia="zh-CN"/>
              </w:rPr>
              <w:t>9</w:t>
            </w:r>
            <w:r>
              <w:rPr>
                <w:rFonts w:ascii="宋体" w:hAnsi="宋体" w:eastAsia="宋体" w:cs="宋体"/>
                <w:color w:val="auto"/>
                <w:spacing w:val="-2"/>
                <w:sz w:val="20"/>
                <w:szCs w:val="20"/>
                <w:highlight w:val="none"/>
                <w:lang w:eastAsia="zh-CN"/>
              </w:rPr>
              <w:t>分）</w:t>
            </w:r>
          </w:p>
        </w:tc>
        <w:tc>
          <w:tcPr>
            <w:tcW w:w="5331" w:type="dxa"/>
            <w:tcBorders>
              <w:top w:val="single" w:color="auto" w:sz="4" w:space="0"/>
              <w:right w:val="single" w:color="auto" w:sz="4" w:space="0"/>
            </w:tcBorders>
            <w:vAlign w:val="center"/>
          </w:tcPr>
          <w:p w14:paraId="78DFEF17">
            <w:pPr>
              <w:spacing w:line="257" w:lineRule="auto"/>
              <w:ind w:right="1"/>
              <w:jc w:val="both"/>
              <w:rPr>
                <w:rFonts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一档：总体工作方案完整详细，对项目总体情况介绍清楚，分析透彻、全面、科学合理，符合信阳市对重型货车监管需求实际情况，有前瞻性和指导性和可操作性强的得（9分）；</w:t>
            </w:r>
          </w:p>
          <w:p w14:paraId="43C124DF">
            <w:pPr>
              <w:spacing w:line="257" w:lineRule="auto"/>
              <w:ind w:right="1"/>
              <w:jc w:val="both"/>
              <w:rPr>
                <w:rFonts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二档：总体工作方案和项目大纲较为清晰、项目介绍较清楚，分析较透彻、合理，建议有一定的价值、具有一定的可操作性的得（7分）；</w:t>
            </w:r>
          </w:p>
          <w:p w14:paraId="57C0ED86">
            <w:pPr>
              <w:spacing w:line="257" w:lineRule="auto"/>
              <w:ind w:right="1"/>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三档：总体工作方案和项目大纲基本全面，项目介绍基本清楚，内容分析基本透彻、合理，思路基本清晰的得（5分）。</w:t>
            </w:r>
          </w:p>
          <w:p w14:paraId="1D6B50F9">
            <w:pPr>
              <w:spacing w:line="257" w:lineRule="auto"/>
              <w:ind w:right="1"/>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未提供者不得分。</w:t>
            </w:r>
          </w:p>
        </w:tc>
        <w:tc>
          <w:tcPr>
            <w:tcW w:w="659" w:type="dxa"/>
            <w:tcBorders>
              <w:left w:val="single" w:color="auto" w:sz="4" w:space="0"/>
            </w:tcBorders>
            <w:vAlign w:val="center"/>
          </w:tcPr>
          <w:p w14:paraId="0B652D25">
            <w:pPr>
              <w:spacing w:line="195" w:lineRule="auto"/>
              <w:jc w:val="center"/>
              <w:rPr>
                <w:rFonts w:ascii="Times New Roman" w:hAnsi="Times New Roman" w:eastAsia="宋体" w:cs="Times New Roman"/>
                <w:color w:val="auto"/>
                <w:sz w:val="20"/>
                <w:szCs w:val="20"/>
                <w:highlight w:val="none"/>
                <w:lang w:eastAsia="zh-CN"/>
              </w:rPr>
            </w:pPr>
            <w:r>
              <w:rPr>
                <w:rFonts w:hint="eastAsia" w:ascii="Times New Roman" w:hAnsi="Times New Roman" w:eastAsia="宋体" w:cs="Times New Roman"/>
                <w:color w:val="auto"/>
                <w:spacing w:val="-8"/>
                <w:sz w:val="20"/>
                <w:szCs w:val="20"/>
                <w:highlight w:val="none"/>
                <w:lang w:eastAsia="zh-CN"/>
              </w:rPr>
              <w:t>9</w:t>
            </w:r>
          </w:p>
        </w:tc>
      </w:tr>
      <w:tr w14:paraId="43B623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6" w:hRule="atLeast"/>
        </w:trPr>
        <w:tc>
          <w:tcPr>
            <w:tcW w:w="638" w:type="dxa"/>
            <w:tcBorders>
              <w:left w:val="single" w:color="auto" w:sz="4" w:space="0"/>
            </w:tcBorders>
            <w:vAlign w:val="center"/>
          </w:tcPr>
          <w:p w14:paraId="1258C4E9">
            <w:pPr>
              <w:spacing w:line="195" w:lineRule="auto"/>
              <w:jc w:val="center"/>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3</w:t>
            </w:r>
          </w:p>
        </w:tc>
        <w:tc>
          <w:tcPr>
            <w:tcW w:w="991" w:type="dxa"/>
            <w:vMerge w:val="continue"/>
            <w:tcBorders>
              <w:top w:val="nil"/>
              <w:bottom w:val="nil"/>
            </w:tcBorders>
            <w:vAlign w:val="center"/>
          </w:tcPr>
          <w:p w14:paraId="47530BF8">
            <w:pPr>
              <w:jc w:val="center"/>
              <w:rPr>
                <w:color w:val="auto"/>
                <w:highlight w:val="none"/>
              </w:rPr>
            </w:pPr>
          </w:p>
        </w:tc>
        <w:tc>
          <w:tcPr>
            <w:tcW w:w="1210" w:type="dxa"/>
            <w:vAlign w:val="center"/>
          </w:tcPr>
          <w:p w14:paraId="546E9408">
            <w:pPr>
              <w:spacing w:line="319" w:lineRule="auto"/>
              <w:jc w:val="center"/>
              <w:rPr>
                <w:color w:val="auto"/>
                <w:highlight w:val="none"/>
                <w:lang w:eastAsia="zh-CN"/>
              </w:rPr>
            </w:pPr>
          </w:p>
          <w:p w14:paraId="67EC22E9">
            <w:pPr>
              <w:spacing w:line="283" w:lineRule="auto"/>
              <w:ind w:hanging="8"/>
              <w:jc w:val="center"/>
              <w:rPr>
                <w:rFonts w:ascii="宋体" w:hAnsi="宋体" w:eastAsia="宋体" w:cs="宋体"/>
                <w:color w:val="auto"/>
                <w:spacing w:val="2"/>
                <w:sz w:val="20"/>
                <w:szCs w:val="20"/>
                <w:highlight w:val="none"/>
                <w:lang w:eastAsia="zh-CN"/>
              </w:rPr>
            </w:pPr>
            <w:r>
              <w:rPr>
                <w:rFonts w:hint="eastAsia" w:ascii="宋体" w:hAnsi="宋体" w:eastAsia="宋体" w:cs="宋体"/>
                <w:color w:val="auto"/>
                <w:spacing w:val="2"/>
                <w:sz w:val="20"/>
                <w:szCs w:val="20"/>
                <w:highlight w:val="none"/>
                <w:lang w:eastAsia="zh-CN"/>
              </w:rPr>
              <w:t>对本项目预期成果响应度</w:t>
            </w:r>
          </w:p>
          <w:p w14:paraId="57B2BAEE">
            <w:pPr>
              <w:spacing w:line="283" w:lineRule="auto"/>
              <w:ind w:hanging="8"/>
              <w:jc w:val="center"/>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w:t>
            </w:r>
            <w:r>
              <w:rPr>
                <w:rFonts w:hint="eastAsia" w:ascii="Times New Roman" w:hAnsi="Times New Roman" w:eastAsia="宋体" w:cs="Times New Roman"/>
                <w:color w:val="auto"/>
                <w:spacing w:val="2"/>
                <w:sz w:val="20"/>
                <w:szCs w:val="20"/>
                <w:highlight w:val="none"/>
                <w:lang w:eastAsia="zh-CN"/>
              </w:rPr>
              <w:t>8</w:t>
            </w:r>
            <w:r>
              <w:rPr>
                <w:rFonts w:ascii="宋体" w:hAnsi="宋体" w:eastAsia="宋体" w:cs="宋体"/>
                <w:color w:val="auto"/>
                <w:spacing w:val="2"/>
                <w:sz w:val="20"/>
                <w:szCs w:val="20"/>
                <w:highlight w:val="none"/>
              </w:rPr>
              <w:t>分）</w:t>
            </w:r>
          </w:p>
        </w:tc>
        <w:tc>
          <w:tcPr>
            <w:tcW w:w="5331" w:type="dxa"/>
            <w:tcBorders>
              <w:right w:val="single" w:color="auto" w:sz="4" w:space="0"/>
            </w:tcBorders>
            <w:vAlign w:val="center"/>
          </w:tcPr>
          <w:p w14:paraId="68DDC87D">
            <w:pPr>
              <w:spacing w:line="258" w:lineRule="auto"/>
              <w:jc w:val="both"/>
              <w:rPr>
                <w:rFonts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一档：工作分析、理解较为透彻、掌握项目服务目的，方案提出的预期成果内容丰富，优于采购文件要求的得（8分）；</w:t>
            </w:r>
          </w:p>
          <w:p w14:paraId="660ED3BC">
            <w:pPr>
              <w:spacing w:line="258" w:lineRule="auto"/>
              <w:jc w:val="both"/>
              <w:rPr>
                <w:rFonts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二档：基本掌握项目研究目的，理解准确、方案提出的预期成果符合招标文件要求（6分）；</w:t>
            </w:r>
          </w:p>
          <w:p w14:paraId="111613FF">
            <w:pPr>
              <w:spacing w:line="258" w:lineRule="auto"/>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三档：方案提出的预期成果基本符合满足采购文件要求得（4分）。</w:t>
            </w:r>
          </w:p>
          <w:p w14:paraId="5855FEC5">
            <w:pPr>
              <w:spacing w:line="258" w:lineRule="auto"/>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未提供者不得分。</w:t>
            </w:r>
          </w:p>
        </w:tc>
        <w:tc>
          <w:tcPr>
            <w:tcW w:w="659" w:type="dxa"/>
            <w:tcBorders>
              <w:left w:val="single" w:color="auto" w:sz="4" w:space="0"/>
            </w:tcBorders>
            <w:vAlign w:val="center"/>
          </w:tcPr>
          <w:p w14:paraId="7CF0E945">
            <w:pPr>
              <w:spacing w:line="195" w:lineRule="auto"/>
              <w:jc w:val="center"/>
              <w:rPr>
                <w:rFonts w:ascii="Times New Roman" w:hAnsi="Times New Roman" w:eastAsia="宋体" w:cs="Times New Roman"/>
                <w:color w:val="auto"/>
                <w:sz w:val="20"/>
                <w:szCs w:val="20"/>
                <w:highlight w:val="none"/>
                <w:lang w:eastAsia="zh-CN"/>
              </w:rPr>
            </w:pPr>
            <w:r>
              <w:rPr>
                <w:rFonts w:hint="eastAsia" w:ascii="Times New Roman" w:hAnsi="Times New Roman" w:eastAsia="宋体" w:cs="Times New Roman"/>
                <w:color w:val="auto"/>
                <w:spacing w:val="-8"/>
                <w:sz w:val="20"/>
                <w:szCs w:val="20"/>
                <w:highlight w:val="none"/>
                <w:lang w:eastAsia="zh-CN"/>
              </w:rPr>
              <w:t>8</w:t>
            </w:r>
          </w:p>
        </w:tc>
      </w:tr>
      <w:tr w14:paraId="2D37F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0" w:hRule="atLeast"/>
        </w:trPr>
        <w:tc>
          <w:tcPr>
            <w:tcW w:w="638" w:type="dxa"/>
            <w:tcBorders>
              <w:left w:val="single" w:color="auto" w:sz="4" w:space="0"/>
              <w:bottom w:val="single" w:color="auto" w:sz="4" w:space="0"/>
            </w:tcBorders>
            <w:vAlign w:val="center"/>
          </w:tcPr>
          <w:p w14:paraId="0159EED5">
            <w:pPr>
              <w:spacing w:line="195" w:lineRule="auto"/>
              <w:jc w:val="center"/>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1"/>
                <w:sz w:val="20"/>
                <w:szCs w:val="20"/>
                <w:highlight w:val="none"/>
              </w:rPr>
              <w:t>4</w:t>
            </w:r>
          </w:p>
        </w:tc>
        <w:tc>
          <w:tcPr>
            <w:tcW w:w="991" w:type="dxa"/>
            <w:vMerge w:val="continue"/>
            <w:tcBorders>
              <w:top w:val="nil"/>
              <w:bottom w:val="single" w:color="auto" w:sz="4" w:space="0"/>
            </w:tcBorders>
            <w:vAlign w:val="center"/>
          </w:tcPr>
          <w:p w14:paraId="331E77C3">
            <w:pPr>
              <w:jc w:val="center"/>
              <w:rPr>
                <w:color w:val="auto"/>
                <w:highlight w:val="none"/>
              </w:rPr>
            </w:pPr>
          </w:p>
        </w:tc>
        <w:tc>
          <w:tcPr>
            <w:tcW w:w="1210" w:type="dxa"/>
            <w:tcBorders>
              <w:bottom w:val="single" w:color="auto" w:sz="4" w:space="0"/>
            </w:tcBorders>
            <w:vAlign w:val="center"/>
          </w:tcPr>
          <w:p w14:paraId="7EC9F8ED">
            <w:pPr>
              <w:spacing w:line="281" w:lineRule="auto"/>
              <w:jc w:val="center"/>
              <w:rPr>
                <w:rFonts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项目工作保障措施</w:t>
            </w:r>
          </w:p>
          <w:p w14:paraId="38C2D26A">
            <w:pPr>
              <w:spacing w:line="281" w:lineRule="auto"/>
              <w:jc w:val="center"/>
              <w:rPr>
                <w:rFonts w:ascii="宋体" w:hAnsi="宋体" w:eastAsia="宋体" w:cs="宋体"/>
                <w:color w:val="auto"/>
                <w:sz w:val="20"/>
                <w:szCs w:val="20"/>
                <w:highlight w:val="none"/>
                <w:lang w:eastAsia="zh-CN"/>
              </w:rPr>
            </w:pPr>
            <w:r>
              <w:rPr>
                <w:rFonts w:ascii="宋体" w:hAnsi="宋体" w:eastAsia="宋体" w:cs="宋体"/>
                <w:color w:val="auto"/>
                <w:spacing w:val="1"/>
                <w:sz w:val="20"/>
                <w:szCs w:val="20"/>
                <w:highlight w:val="none"/>
                <w:lang w:eastAsia="zh-CN"/>
              </w:rPr>
              <w:t>（</w:t>
            </w:r>
            <w:r>
              <w:rPr>
                <w:rFonts w:hint="eastAsia" w:ascii="Times New Roman" w:hAnsi="Times New Roman" w:eastAsia="宋体" w:cs="Times New Roman"/>
                <w:color w:val="auto"/>
                <w:spacing w:val="1"/>
                <w:sz w:val="20"/>
                <w:szCs w:val="20"/>
                <w:highlight w:val="none"/>
                <w:lang w:eastAsia="zh-CN"/>
              </w:rPr>
              <w:t>8</w:t>
            </w:r>
            <w:r>
              <w:rPr>
                <w:rFonts w:ascii="宋体" w:hAnsi="宋体" w:eastAsia="宋体" w:cs="宋体"/>
                <w:color w:val="auto"/>
                <w:spacing w:val="1"/>
                <w:sz w:val="20"/>
                <w:szCs w:val="20"/>
                <w:highlight w:val="none"/>
                <w:lang w:eastAsia="zh-CN"/>
              </w:rPr>
              <w:t>分）</w:t>
            </w:r>
          </w:p>
        </w:tc>
        <w:tc>
          <w:tcPr>
            <w:tcW w:w="5331" w:type="dxa"/>
            <w:tcBorders>
              <w:bottom w:val="single" w:color="auto" w:sz="4" w:space="0"/>
              <w:right w:val="single" w:color="auto" w:sz="4" w:space="0"/>
            </w:tcBorders>
            <w:vAlign w:val="center"/>
          </w:tcPr>
          <w:p w14:paraId="2BC81F6D">
            <w:pPr>
              <w:spacing w:line="268" w:lineRule="auto"/>
              <w:jc w:val="both"/>
              <w:rPr>
                <w:rFonts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一档：服务质量保证措施及实施方案详细、全面，切实可行，研究力量强，人员及设备配置充足、科学，任务分配及实施规划合理，具有良好的组织架构、管理措施及组织保障计划且有与国内环保领域权威专家签订合作协议或聘书（需提供相关证明材料并盖单位公章，原件备查）的得（8分）；</w:t>
            </w:r>
          </w:p>
          <w:p w14:paraId="7E550D06">
            <w:pPr>
              <w:spacing w:line="268" w:lineRule="auto"/>
              <w:jc w:val="both"/>
              <w:rPr>
                <w:rFonts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二档：服务质量保证措施及实施方案比较详细，方案中人员结构、设备配置、任务分配、实施规划比较合理，较强的研究力量，具有一定的管理措施的得（6分）；</w:t>
            </w:r>
          </w:p>
          <w:p w14:paraId="0C4EF347">
            <w:pPr>
              <w:spacing w:line="268" w:lineRule="auto"/>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三档：服务质量保证措施及实施方案比较简单，方案中人员结构、任务分配、实施规划、研究能力等一般，基本能保证项目如期完成的得（4分）。</w:t>
            </w:r>
          </w:p>
          <w:p w14:paraId="41504E21">
            <w:pPr>
              <w:spacing w:line="268" w:lineRule="auto"/>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未提供者不得分。</w:t>
            </w:r>
          </w:p>
        </w:tc>
        <w:tc>
          <w:tcPr>
            <w:tcW w:w="659" w:type="dxa"/>
            <w:tcBorders>
              <w:left w:val="single" w:color="auto" w:sz="4" w:space="0"/>
            </w:tcBorders>
            <w:vAlign w:val="center"/>
          </w:tcPr>
          <w:p w14:paraId="121A201E">
            <w:pPr>
              <w:spacing w:line="195" w:lineRule="auto"/>
              <w:jc w:val="center"/>
              <w:rPr>
                <w:rFonts w:ascii="Times New Roman" w:hAnsi="Times New Roman" w:eastAsia="宋体" w:cs="Times New Roman"/>
                <w:color w:val="auto"/>
                <w:sz w:val="20"/>
                <w:szCs w:val="20"/>
                <w:highlight w:val="none"/>
                <w:lang w:eastAsia="zh-CN"/>
              </w:rPr>
            </w:pPr>
            <w:r>
              <w:rPr>
                <w:rFonts w:hint="eastAsia" w:ascii="Times New Roman" w:hAnsi="Times New Roman" w:eastAsia="宋体" w:cs="Times New Roman"/>
                <w:color w:val="auto"/>
                <w:sz w:val="20"/>
                <w:szCs w:val="20"/>
                <w:highlight w:val="none"/>
                <w:lang w:eastAsia="zh-CN"/>
              </w:rPr>
              <w:t>8</w:t>
            </w:r>
          </w:p>
        </w:tc>
      </w:tr>
      <w:tr w14:paraId="0F439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638" w:type="dxa"/>
            <w:tcBorders>
              <w:top w:val="single" w:color="auto" w:sz="4" w:space="0"/>
            </w:tcBorders>
            <w:vAlign w:val="center"/>
          </w:tcPr>
          <w:p w14:paraId="11FD829A">
            <w:pPr>
              <w:spacing w:line="195" w:lineRule="auto"/>
              <w:jc w:val="center"/>
              <w:rPr>
                <w:rFonts w:ascii="Times New Roman" w:hAnsi="Times New Roman" w:eastAsia="宋体" w:cs="Times New Roman"/>
                <w:color w:val="auto"/>
                <w:sz w:val="20"/>
                <w:szCs w:val="20"/>
                <w:highlight w:val="none"/>
                <w:lang w:eastAsia="zh-CN"/>
              </w:rPr>
            </w:pPr>
            <w:r>
              <w:rPr>
                <w:rFonts w:hint="eastAsia" w:ascii="Times New Roman" w:hAnsi="Times New Roman" w:eastAsia="宋体" w:cs="Times New Roman"/>
                <w:color w:val="auto"/>
                <w:sz w:val="20"/>
                <w:szCs w:val="20"/>
                <w:highlight w:val="none"/>
                <w:lang w:val="en-US" w:eastAsia="zh-CN"/>
              </w:rPr>
              <w:t>5</w:t>
            </w:r>
          </w:p>
        </w:tc>
        <w:tc>
          <w:tcPr>
            <w:tcW w:w="991" w:type="dxa"/>
            <w:vMerge w:val="restart"/>
            <w:tcBorders>
              <w:top w:val="single" w:color="auto" w:sz="4" w:space="0"/>
            </w:tcBorders>
            <w:vAlign w:val="center"/>
          </w:tcPr>
          <w:p w14:paraId="68F6D22B">
            <w:pPr>
              <w:spacing w:line="263" w:lineRule="auto"/>
              <w:jc w:val="center"/>
              <w:rPr>
                <w:color w:val="auto"/>
                <w:highlight w:val="none"/>
              </w:rPr>
            </w:pPr>
          </w:p>
          <w:p w14:paraId="1372BD2A">
            <w:pPr>
              <w:spacing w:line="263" w:lineRule="auto"/>
              <w:jc w:val="center"/>
              <w:rPr>
                <w:color w:val="auto"/>
                <w:highlight w:val="none"/>
              </w:rPr>
            </w:pPr>
          </w:p>
          <w:p w14:paraId="53A2F134">
            <w:pPr>
              <w:spacing w:line="263" w:lineRule="auto"/>
              <w:jc w:val="center"/>
              <w:rPr>
                <w:color w:val="auto"/>
                <w:highlight w:val="none"/>
              </w:rPr>
            </w:pPr>
          </w:p>
          <w:p w14:paraId="2CAF547E">
            <w:pPr>
              <w:spacing w:line="263" w:lineRule="auto"/>
              <w:jc w:val="center"/>
              <w:rPr>
                <w:color w:val="auto"/>
                <w:highlight w:val="none"/>
              </w:rPr>
            </w:pPr>
          </w:p>
          <w:p w14:paraId="5EEF8F0F">
            <w:pPr>
              <w:spacing w:line="263" w:lineRule="auto"/>
              <w:jc w:val="center"/>
              <w:rPr>
                <w:color w:val="auto"/>
                <w:highlight w:val="none"/>
              </w:rPr>
            </w:pPr>
          </w:p>
          <w:p w14:paraId="41930467">
            <w:pPr>
              <w:spacing w:line="263" w:lineRule="auto"/>
              <w:jc w:val="center"/>
              <w:rPr>
                <w:color w:val="auto"/>
                <w:highlight w:val="none"/>
              </w:rPr>
            </w:pPr>
          </w:p>
          <w:p w14:paraId="4B69FCC3">
            <w:pPr>
              <w:spacing w:line="258" w:lineRule="auto"/>
              <w:ind w:firstLine="17"/>
              <w:jc w:val="center"/>
              <w:rPr>
                <w:rFonts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lang w:eastAsia="zh-CN"/>
              </w:rPr>
              <w:t>综合</w:t>
            </w:r>
            <w:r>
              <w:rPr>
                <w:rFonts w:ascii="宋体" w:hAnsi="宋体" w:eastAsia="宋体" w:cs="宋体"/>
                <w:color w:val="auto"/>
                <w:spacing w:val="7"/>
                <w:sz w:val="20"/>
                <w:szCs w:val="20"/>
                <w:highlight w:val="none"/>
              </w:rPr>
              <w:t>部分</w:t>
            </w:r>
            <w:r>
              <w:rPr>
                <w:rFonts w:ascii="宋体" w:hAnsi="宋体" w:eastAsia="宋体" w:cs="宋体"/>
                <w:color w:val="auto"/>
                <w:spacing w:val="-2"/>
                <w:sz w:val="20"/>
                <w:szCs w:val="20"/>
                <w:highlight w:val="none"/>
              </w:rPr>
              <w:t>（</w:t>
            </w:r>
            <w:r>
              <w:rPr>
                <w:rFonts w:hint="eastAsia" w:ascii="Times New Roman" w:hAnsi="Times New Roman" w:eastAsia="宋体" w:cs="Times New Roman"/>
                <w:color w:val="auto"/>
                <w:spacing w:val="-2"/>
                <w:sz w:val="20"/>
                <w:szCs w:val="20"/>
                <w:highlight w:val="none"/>
                <w:lang w:eastAsia="zh-CN"/>
              </w:rPr>
              <w:t>50</w:t>
            </w:r>
            <w:r>
              <w:rPr>
                <w:rFonts w:ascii="宋体" w:hAnsi="宋体" w:eastAsia="宋体" w:cs="宋体"/>
                <w:color w:val="auto"/>
                <w:spacing w:val="-2"/>
                <w:sz w:val="20"/>
                <w:szCs w:val="20"/>
                <w:highlight w:val="none"/>
              </w:rPr>
              <w:t>分）</w:t>
            </w:r>
          </w:p>
        </w:tc>
        <w:tc>
          <w:tcPr>
            <w:tcW w:w="1210" w:type="dxa"/>
            <w:tcBorders>
              <w:top w:val="single" w:color="auto" w:sz="4" w:space="0"/>
            </w:tcBorders>
            <w:shd w:val="clear" w:color="auto" w:fill="auto"/>
            <w:vAlign w:val="center"/>
          </w:tcPr>
          <w:p w14:paraId="69978D25">
            <w:pPr>
              <w:spacing w:line="258" w:lineRule="auto"/>
              <w:ind w:hanging="55"/>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同类业绩</w:t>
            </w:r>
          </w:p>
          <w:p w14:paraId="69C3137E">
            <w:pPr>
              <w:spacing w:line="258" w:lineRule="auto"/>
              <w:ind w:hanging="55" w:firstLineChars="0"/>
              <w:jc w:val="center"/>
              <w:rPr>
                <w:rFonts w:ascii="宋体" w:hAnsi="宋体" w:eastAsia="宋体" w:cs="宋体"/>
                <w:snapToGrid w:val="0"/>
                <w:color w:val="auto"/>
                <w:sz w:val="20"/>
                <w:szCs w:val="20"/>
                <w:highlight w:val="none"/>
                <w:lang w:val="en-US" w:eastAsia="en-US" w:bidi="ar-SA"/>
              </w:rPr>
            </w:pPr>
            <w:r>
              <w:rPr>
                <w:rFonts w:ascii="宋体" w:hAnsi="宋体" w:eastAsia="宋体" w:cs="宋体"/>
                <w:color w:val="auto"/>
                <w:spacing w:val="1"/>
                <w:sz w:val="20"/>
                <w:szCs w:val="20"/>
                <w:highlight w:val="none"/>
              </w:rPr>
              <w:t>（</w:t>
            </w:r>
            <w:r>
              <w:rPr>
                <w:rFonts w:hint="eastAsia" w:ascii="宋体" w:hAnsi="宋体" w:eastAsia="宋体" w:cs="宋体"/>
                <w:color w:val="auto"/>
                <w:spacing w:val="1"/>
                <w:sz w:val="20"/>
                <w:szCs w:val="20"/>
                <w:highlight w:val="none"/>
                <w:lang w:val="en-US" w:eastAsia="zh-CN"/>
              </w:rPr>
              <w:t>10</w:t>
            </w:r>
            <w:r>
              <w:rPr>
                <w:rFonts w:ascii="宋体" w:hAnsi="宋体" w:eastAsia="宋体" w:cs="宋体"/>
                <w:color w:val="auto"/>
                <w:spacing w:val="1"/>
                <w:sz w:val="20"/>
                <w:szCs w:val="20"/>
                <w:highlight w:val="none"/>
              </w:rPr>
              <w:t>分）</w:t>
            </w:r>
          </w:p>
        </w:tc>
        <w:tc>
          <w:tcPr>
            <w:tcW w:w="5331" w:type="dxa"/>
            <w:tcBorders>
              <w:top w:val="single" w:color="auto" w:sz="4" w:space="0"/>
            </w:tcBorders>
            <w:shd w:val="clear" w:color="auto" w:fill="auto"/>
            <w:vAlign w:val="center"/>
          </w:tcPr>
          <w:p w14:paraId="7A6319C8">
            <w:pPr>
              <w:spacing w:line="268" w:lineRule="auto"/>
              <w:ind w:right="56"/>
              <w:jc w:val="both"/>
              <w:rPr>
                <w:rFonts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投标人从202</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lang w:eastAsia="zh-CN"/>
              </w:rPr>
              <w:t>年以来有承担过包含重型货车污染控制查验的业绩，每个得</w:t>
            </w:r>
            <w:r>
              <w:rPr>
                <w:rFonts w:hint="eastAsia" w:ascii="宋体" w:hAnsi="宋体" w:eastAsia="宋体" w:cs="宋体"/>
                <w:color w:val="auto"/>
                <w:sz w:val="20"/>
                <w:szCs w:val="20"/>
                <w:highlight w:val="none"/>
                <w:lang w:val="en-US" w:eastAsia="zh-CN"/>
              </w:rPr>
              <w:t>5</w:t>
            </w:r>
            <w:r>
              <w:rPr>
                <w:rFonts w:hint="eastAsia" w:ascii="宋体" w:hAnsi="宋体" w:eastAsia="宋体" w:cs="宋体"/>
                <w:color w:val="auto"/>
                <w:sz w:val="20"/>
                <w:szCs w:val="20"/>
                <w:highlight w:val="none"/>
                <w:lang w:eastAsia="zh-CN"/>
              </w:rPr>
              <w:t>分，最高得</w:t>
            </w:r>
            <w:r>
              <w:rPr>
                <w:rFonts w:hint="eastAsia" w:ascii="宋体" w:hAnsi="宋体" w:eastAsia="宋体" w:cs="宋体"/>
                <w:color w:val="auto"/>
                <w:sz w:val="20"/>
                <w:szCs w:val="20"/>
                <w:highlight w:val="none"/>
                <w:lang w:val="en-US" w:eastAsia="zh-CN"/>
              </w:rPr>
              <w:t>10分</w:t>
            </w:r>
            <w:r>
              <w:rPr>
                <w:rFonts w:hint="eastAsia" w:ascii="宋体" w:hAnsi="宋体" w:eastAsia="宋体" w:cs="宋体"/>
                <w:color w:val="auto"/>
                <w:sz w:val="20"/>
                <w:szCs w:val="20"/>
                <w:highlight w:val="none"/>
                <w:lang w:eastAsia="zh-CN"/>
              </w:rPr>
              <w:t>，同一个用户项目只计算一次；</w:t>
            </w:r>
          </w:p>
          <w:p w14:paraId="7E41DBF8">
            <w:pPr>
              <w:spacing w:line="268" w:lineRule="auto"/>
              <w:ind w:right="56" w:rightChars="0"/>
              <w:jc w:val="both"/>
              <w:rPr>
                <w:rFonts w:ascii="宋体" w:hAnsi="宋体" w:eastAsia="宋体" w:cs="宋体"/>
                <w:snapToGrid w:val="0"/>
                <w:color w:val="auto"/>
                <w:sz w:val="20"/>
                <w:szCs w:val="20"/>
                <w:highlight w:val="none"/>
                <w:lang w:val="en-US" w:eastAsia="zh-CN" w:bidi="ar-SA"/>
              </w:rPr>
            </w:pPr>
            <w:r>
              <w:rPr>
                <w:rFonts w:hint="eastAsia" w:ascii="宋体" w:hAnsi="宋体" w:eastAsia="宋体" w:cs="宋体"/>
                <w:color w:val="auto"/>
                <w:sz w:val="20"/>
                <w:szCs w:val="20"/>
                <w:highlight w:val="none"/>
                <w:lang w:eastAsia="zh-CN"/>
              </w:rPr>
              <w:t>注：工作业绩需提供相关证明材料(与最终用户签订合同首页、标的金额所在页及签字盖章页所在页或中标通知书，项目不重复)复印件。</w:t>
            </w:r>
          </w:p>
        </w:tc>
        <w:tc>
          <w:tcPr>
            <w:tcW w:w="659" w:type="dxa"/>
            <w:vAlign w:val="center"/>
          </w:tcPr>
          <w:p w14:paraId="250A8E7B">
            <w:pPr>
              <w:spacing w:line="195" w:lineRule="auto"/>
              <w:jc w:val="center"/>
              <w:rPr>
                <w:rFonts w:hint="default" w:ascii="Times New Roman" w:hAnsi="Times New Roman" w:eastAsia="宋体" w:cs="Times New Roman"/>
                <w:color w:val="auto"/>
                <w:sz w:val="20"/>
                <w:szCs w:val="20"/>
                <w:highlight w:val="none"/>
                <w:lang w:val="en-US" w:eastAsia="zh-CN"/>
              </w:rPr>
            </w:pPr>
            <w:r>
              <w:rPr>
                <w:rFonts w:hint="eastAsia" w:ascii="Times New Roman" w:hAnsi="Times New Roman" w:eastAsia="宋体" w:cs="Times New Roman"/>
                <w:color w:val="auto"/>
                <w:spacing w:val="-8"/>
                <w:sz w:val="20"/>
                <w:szCs w:val="20"/>
                <w:highlight w:val="none"/>
                <w:lang w:val="en-US" w:eastAsia="zh-CN"/>
              </w:rPr>
              <w:t>10</w:t>
            </w:r>
          </w:p>
        </w:tc>
      </w:tr>
      <w:tr w14:paraId="225D2F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3" w:hRule="atLeast"/>
        </w:trPr>
        <w:tc>
          <w:tcPr>
            <w:tcW w:w="638" w:type="dxa"/>
            <w:vAlign w:val="center"/>
          </w:tcPr>
          <w:p w14:paraId="54233B4C">
            <w:pPr>
              <w:spacing w:line="195" w:lineRule="auto"/>
              <w:jc w:val="center"/>
              <w:rPr>
                <w:rFonts w:ascii="Times New Roman" w:hAnsi="Times New Roman" w:eastAsia="宋体" w:cs="Times New Roman"/>
                <w:color w:val="auto"/>
                <w:sz w:val="20"/>
                <w:szCs w:val="20"/>
                <w:highlight w:val="none"/>
                <w:lang w:eastAsia="zh-CN"/>
              </w:rPr>
            </w:pPr>
          </w:p>
        </w:tc>
        <w:tc>
          <w:tcPr>
            <w:tcW w:w="991" w:type="dxa"/>
            <w:vMerge w:val="continue"/>
            <w:vAlign w:val="center"/>
          </w:tcPr>
          <w:p w14:paraId="0774C063">
            <w:pPr>
              <w:jc w:val="center"/>
              <w:rPr>
                <w:color w:val="auto"/>
                <w:highlight w:val="none"/>
              </w:rPr>
            </w:pPr>
          </w:p>
        </w:tc>
        <w:tc>
          <w:tcPr>
            <w:tcW w:w="1210" w:type="dxa"/>
            <w:vAlign w:val="center"/>
          </w:tcPr>
          <w:p w14:paraId="5594E5A4">
            <w:pPr>
              <w:spacing w:line="260" w:lineRule="auto"/>
              <w:jc w:val="center"/>
              <w:rPr>
                <w:rFonts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拟投入本项目专业技术人员配备及装备情况</w:t>
            </w:r>
          </w:p>
          <w:p w14:paraId="1D42F6DA">
            <w:pPr>
              <w:spacing w:line="260" w:lineRule="auto"/>
              <w:jc w:val="center"/>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w:t>
            </w:r>
            <w:r>
              <w:rPr>
                <w:rFonts w:hint="eastAsia" w:ascii="宋体" w:hAnsi="宋体" w:eastAsia="宋体" w:cs="宋体"/>
                <w:color w:val="auto"/>
                <w:spacing w:val="1"/>
                <w:sz w:val="20"/>
                <w:szCs w:val="20"/>
                <w:highlight w:val="none"/>
                <w:lang w:val="en-US" w:eastAsia="zh-CN"/>
              </w:rPr>
              <w:t>40</w:t>
            </w:r>
            <w:r>
              <w:rPr>
                <w:rFonts w:ascii="宋体" w:hAnsi="宋体" w:eastAsia="宋体" w:cs="宋体"/>
                <w:color w:val="auto"/>
                <w:spacing w:val="1"/>
                <w:sz w:val="20"/>
                <w:szCs w:val="20"/>
                <w:highlight w:val="none"/>
              </w:rPr>
              <w:t>分）</w:t>
            </w:r>
          </w:p>
        </w:tc>
        <w:tc>
          <w:tcPr>
            <w:tcW w:w="5331" w:type="dxa"/>
            <w:vAlign w:val="center"/>
          </w:tcPr>
          <w:p w14:paraId="16827F27">
            <w:pPr>
              <w:spacing w:line="269" w:lineRule="auto"/>
              <w:ind w:right="57"/>
              <w:jc w:val="both"/>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1.投标人具有保障通勤车辆，每有一辆车得2分，本项最高得6分。</w:t>
            </w:r>
          </w:p>
          <w:p w14:paraId="139DD4FD">
            <w:pPr>
              <w:spacing w:line="269" w:lineRule="auto"/>
              <w:ind w:right="57"/>
              <w:jc w:val="both"/>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注：若为自有车辆，需提供投标人或法定代表人名下的车辆行驶证；若为租赁车辆，需提供车辆租赁合同；否则不得分。</w:t>
            </w:r>
          </w:p>
          <w:p w14:paraId="7503E938">
            <w:pPr>
              <w:spacing w:line="269" w:lineRule="auto"/>
              <w:ind w:right="57"/>
              <w:jc w:val="both"/>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2.项目负责人条件为：检验工作经历为“从事机动车排放检验、维修的工作经历”的，得5分。具有“机动车检测维修技术资格证书”的，得5分。本项最高得10分。</w:t>
            </w:r>
          </w:p>
          <w:p w14:paraId="65DFBBC8">
            <w:pPr>
              <w:spacing w:line="269" w:lineRule="auto"/>
              <w:ind w:right="57"/>
              <w:jc w:val="both"/>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注：提供工作经历证明、2024年连续3个月以上社保证明及证书，未提供者不得分。</w:t>
            </w:r>
          </w:p>
          <w:p w14:paraId="1D87E1AB">
            <w:pPr>
              <w:spacing w:line="269" w:lineRule="auto"/>
              <w:ind w:right="57"/>
              <w:jc w:val="both"/>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3.项目人员配备齐全，参与人员具有培训合格证明的，每有1人得3分，本项最高得15分。</w:t>
            </w:r>
          </w:p>
          <w:p w14:paraId="46750C7D">
            <w:pPr>
              <w:spacing w:line="269" w:lineRule="auto"/>
              <w:ind w:right="57"/>
              <w:jc w:val="both"/>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注：提供培训合格证明、2024年连续3个月以上社保证明及劳动合同等证明材料，未提供者不得分。</w:t>
            </w:r>
          </w:p>
          <w:p w14:paraId="54937B36">
            <w:pPr>
              <w:spacing w:line="269" w:lineRule="auto"/>
              <w:ind w:right="57"/>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0"/>
                <w:szCs w:val="20"/>
                <w:highlight w:val="none"/>
                <w:lang w:val="en-US" w:eastAsia="zh-CN"/>
              </w:rPr>
              <w:t>4.</w:t>
            </w:r>
            <w:r>
              <w:rPr>
                <w:rFonts w:hint="eastAsia" w:ascii="宋体" w:hAnsi="宋体" w:eastAsia="宋体" w:cs="宋体"/>
                <w:color w:val="auto"/>
                <w:sz w:val="20"/>
                <w:szCs w:val="20"/>
                <w:highlight w:val="none"/>
                <w:lang w:eastAsia="zh-CN"/>
              </w:rPr>
              <w:t>投标人应具有实施项目能力的检测设备。提供检测设备的检定/校准证书（检定/校准证书必须在有效期内），每一份代表一套设备，不需检定的提供购买发票。每提供一</w:t>
            </w:r>
            <w:r>
              <w:rPr>
                <w:rFonts w:hint="eastAsia" w:ascii="宋体" w:hAnsi="宋体" w:eastAsia="宋体" w:cs="宋体"/>
                <w:color w:val="auto"/>
                <w:sz w:val="20"/>
                <w:szCs w:val="20"/>
                <w:highlight w:val="none"/>
                <w:lang w:val="en-US" w:eastAsia="zh-CN"/>
              </w:rPr>
              <w:t>份</w:t>
            </w:r>
            <w:r>
              <w:rPr>
                <w:rFonts w:hint="eastAsia" w:ascii="宋体" w:hAnsi="宋体" w:eastAsia="宋体" w:cs="宋体"/>
                <w:color w:val="auto"/>
                <w:sz w:val="20"/>
                <w:szCs w:val="20"/>
                <w:highlight w:val="none"/>
                <w:lang w:eastAsia="zh-CN"/>
              </w:rPr>
              <w:t>得</w:t>
            </w:r>
            <w:r>
              <w:rPr>
                <w:rFonts w:hint="eastAsia" w:ascii="宋体" w:hAnsi="宋体" w:eastAsia="宋体" w:cs="宋体"/>
                <w:color w:val="auto"/>
                <w:sz w:val="20"/>
                <w:szCs w:val="20"/>
                <w:highlight w:val="none"/>
                <w:lang w:val="en-US" w:eastAsia="zh-CN"/>
              </w:rPr>
              <w:t>3</w:t>
            </w:r>
            <w:r>
              <w:rPr>
                <w:rFonts w:hint="eastAsia" w:ascii="宋体" w:hAnsi="宋体" w:eastAsia="宋体" w:cs="宋体"/>
                <w:color w:val="auto"/>
                <w:sz w:val="20"/>
                <w:szCs w:val="20"/>
                <w:highlight w:val="none"/>
                <w:lang w:eastAsia="zh-CN"/>
              </w:rPr>
              <w:t>分，本项最高得</w:t>
            </w:r>
            <w:r>
              <w:rPr>
                <w:rFonts w:hint="eastAsia" w:ascii="宋体" w:hAnsi="宋体" w:eastAsia="宋体" w:cs="宋体"/>
                <w:color w:val="auto"/>
                <w:sz w:val="20"/>
                <w:szCs w:val="20"/>
                <w:highlight w:val="none"/>
                <w:lang w:val="en-US" w:eastAsia="zh-CN"/>
              </w:rPr>
              <w:t>9</w:t>
            </w:r>
            <w:r>
              <w:rPr>
                <w:rFonts w:hint="eastAsia" w:ascii="宋体" w:hAnsi="宋体" w:eastAsia="宋体" w:cs="宋体"/>
                <w:color w:val="auto"/>
                <w:sz w:val="20"/>
                <w:szCs w:val="20"/>
                <w:highlight w:val="none"/>
                <w:lang w:eastAsia="zh-CN"/>
              </w:rPr>
              <w:t>分；未提供者不得分。</w:t>
            </w:r>
          </w:p>
        </w:tc>
        <w:tc>
          <w:tcPr>
            <w:tcW w:w="659" w:type="dxa"/>
            <w:vAlign w:val="center"/>
          </w:tcPr>
          <w:p w14:paraId="4A23D838">
            <w:pPr>
              <w:spacing w:line="195" w:lineRule="auto"/>
              <w:jc w:val="center"/>
              <w:rPr>
                <w:rFonts w:hint="default" w:ascii="Times New Roman" w:hAnsi="Times New Roman" w:eastAsia="宋体" w:cs="Times New Roman"/>
                <w:color w:val="auto"/>
                <w:spacing w:val="1"/>
                <w:sz w:val="20"/>
                <w:szCs w:val="20"/>
                <w:highlight w:val="none"/>
                <w:lang w:val="en-US" w:eastAsia="zh-CN"/>
              </w:rPr>
            </w:pPr>
            <w:r>
              <w:rPr>
                <w:rFonts w:hint="eastAsia" w:ascii="Times New Roman" w:hAnsi="Times New Roman" w:eastAsia="宋体" w:cs="Times New Roman"/>
                <w:color w:val="auto"/>
                <w:spacing w:val="1"/>
                <w:sz w:val="20"/>
                <w:szCs w:val="20"/>
                <w:highlight w:val="none"/>
                <w:lang w:val="en-US" w:eastAsia="zh-CN"/>
              </w:rPr>
              <w:t>40</w:t>
            </w:r>
          </w:p>
        </w:tc>
      </w:tr>
      <w:tr w14:paraId="533F5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638" w:type="dxa"/>
            <w:vAlign w:val="center"/>
          </w:tcPr>
          <w:p w14:paraId="00417EBD">
            <w:pPr>
              <w:spacing w:line="195" w:lineRule="auto"/>
              <w:jc w:val="center"/>
              <w:rPr>
                <w:rFonts w:ascii="Times New Roman" w:hAnsi="Times New Roman" w:eastAsia="宋体" w:cs="Times New Roman"/>
                <w:color w:val="auto"/>
                <w:sz w:val="20"/>
                <w:szCs w:val="20"/>
                <w:highlight w:val="none"/>
                <w:lang w:eastAsia="zh-CN"/>
              </w:rPr>
            </w:pPr>
            <w:r>
              <w:rPr>
                <w:rFonts w:hint="eastAsia" w:ascii="Times New Roman" w:hAnsi="Times New Roman" w:eastAsia="宋体" w:cs="Times New Roman"/>
                <w:color w:val="auto"/>
                <w:spacing w:val="-8"/>
                <w:sz w:val="20"/>
                <w:szCs w:val="20"/>
                <w:highlight w:val="none"/>
                <w:lang w:val="en-US" w:eastAsia="zh-CN"/>
              </w:rPr>
              <w:t>6</w:t>
            </w:r>
          </w:p>
        </w:tc>
        <w:tc>
          <w:tcPr>
            <w:tcW w:w="7532" w:type="dxa"/>
            <w:gridSpan w:val="3"/>
            <w:vAlign w:val="center"/>
          </w:tcPr>
          <w:p w14:paraId="6FB07C2F">
            <w:pPr>
              <w:spacing w:line="229" w:lineRule="auto"/>
              <w:jc w:val="center"/>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总计</w:t>
            </w:r>
          </w:p>
        </w:tc>
        <w:tc>
          <w:tcPr>
            <w:tcW w:w="659" w:type="dxa"/>
            <w:vAlign w:val="center"/>
          </w:tcPr>
          <w:p w14:paraId="59ABC9AC">
            <w:pPr>
              <w:spacing w:line="195" w:lineRule="auto"/>
              <w:jc w:val="center"/>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sz w:val="20"/>
                <w:szCs w:val="20"/>
                <w:highlight w:val="none"/>
              </w:rPr>
              <w:t>100</w:t>
            </w:r>
          </w:p>
        </w:tc>
      </w:tr>
    </w:tbl>
    <w:p w14:paraId="35AF7EC6">
      <w:pPr>
        <w:pStyle w:val="6"/>
        <w:rPr>
          <w:color w:val="auto"/>
          <w:highlight w:val="none"/>
        </w:rPr>
      </w:pPr>
    </w:p>
    <w:p w14:paraId="750B0F5C">
      <w:pPr>
        <w:rPr>
          <w:color w:val="auto"/>
          <w:highlight w:val="none"/>
        </w:rPr>
        <w:sectPr>
          <w:pgSz w:w="11906" w:h="16839"/>
          <w:pgMar w:top="1440" w:right="1800" w:bottom="1440" w:left="1800" w:header="0" w:footer="850" w:gutter="0"/>
          <w:cols w:space="720" w:num="1"/>
        </w:sectPr>
      </w:pPr>
    </w:p>
    <w:p w14:paraId="2042C73E">
      <w:pPr>
        <w:pStyle w:val="6"/>
        <w:spacing w:line="351" w:lineRule="auto"/>
        <w:rPr>
          <w:color w:val="auto"/>
          <w:highlight w:val="none"/>
        </w:rPr>
      </w:pPr>
    </w:p>
    <w:p w14:paraId="6E76541A">
      <w:pPr>
        <w:spacing w:before="150" w:line="180" w:lineRule="auto"/>
        <w:ind w:left="3449"/>
        <w:outlineLvl w:val="0"/>
        <w:rPr>
          <w:rFonts w:ascii="微软雅黑" w:hAnsi="微软雅黑" w:eastAsia="微软雅黑" w:cs="微软雅黑"/>
          <w:color w:val="auto"/>
          <w:sz w:val="35"/>
          <w:szCs w:val="35"/>
          <w:highlight w:val="none"/>
        </w:rPr>
      </w:pPr>
      <w:r>
        <w:rPr>
          <w:rFonts w:ascii="微软雅黑" w:hAnsi="微软雅黑" w:eastAsia="微软雅黑" w:cs="微软雅黑"/>
          <w:color w:val="auto"/>
          <w:sz w:val="35"/>
          <w:szCs w:val="35"/>
          <w:highlight w:val="none"/>
        </w:rPr>
        <w:t>第五章附件</w:t>
      </w:r>
    </w:p>
    <w:p w14:paraId="4D39E7E6">
      <w:pPr>
        <w:pStyle w:val="6"/>
        <w:spacing w:line="281" w:lineRule="auto"/>
        <w:rPr>
          <w:color w:val="auto"/>
          <w:highlight w:val="none"/>
        </w:rPr>
      </w:pPr>
    </w:p>
    <w:p w14:paraId="26DB24A6">
      <w:pPr>
        <w:spacing w:before="101" w:line="228" w:lineRule="auto"/>
        <w:outlineLvl w:val="1"/>
        <w:rPr>
          <w:rFonts w:ascii="黑体" w:hAnsi="黑体" w:eastAsia="黑体" w:cs="黑体"/>
          <w:color w:val="auto"/>
          <w:sz w:val="31"/>
          <w:szCs w:val="31"/>
          <w:highlight w:val="none"/>
        </w:rPr>
      </w:pPr>
      <w:r>
        <w:rPr>
          <w:rFonts w:ascii="黑体" w:hAnsi="黑体" w:eastAsia="黑体" w:cs="黑体"/>
          <w:color w:val="auto"/>
          <w:spacing w:val="7"/>
          <w:sz w:val="31"/>
          <w:szCs w:val="31"/>
          <w:highlight w:val="none"/>
        </w:rPr>
        <w:t>5.1投标人基本信息表</w:t>
      </w:r>
    </w:p>
    <w:p w14:paraId="5402BC2D">
      <w:pPr>
        <w:spacing w:before="126"/>
        <w:rPr>
          <w:color w:val="auto"/>
          <w:highlight w:val="none"/>
        </w:rPr>
      </w:pPr>
    </w:p>
    <w:tbl>
      <w:tblPr>
        <w:tblStyle w:val="15"/>
        <w:tblW w:w="8716" w:type="dxa"/>
        <w:tblInd w:w="10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41"/>
        <w:gridCol w:w="2698"/>
        <w:gridCol w:w="1339"/>
        <w:gridCol w:w="2838"/>
      </w:tblGrid>
      <w:tr w14:paraId="56A626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1841" w:type="dxa"/>
            <w:vAlign w:val="center"/>
          </w:tcPr>
          <w:p w14:paraId="78846226">
            <w:pPr>
              <w:pStyle w:val="16"/>
              <w:spacing w:before="175"/>
              <w:ind w:right="361"/>
              <w:jc w:val="center"/>
              <w:rPr>
                <w:color w:val="auto"/>
                <w:highlight w:val="none"/>
              </w:rPr>
            </w:pPr>
            <w:r>
              <w:rPr>
                <w:color w:val="auto"/>
                <w:spacing w:val="-13"/>
                <w:highlight w:val="none"/>
              </w:rPr>
              <w:t>企业</w:t>
            </w:r>
            <w:r>
              <w:rPr>
                <w:rFonts w:ascii="宋体" w:hAnsi="宋体" w:eastAsia="宋体" w:cs="宋体"/>
                <w:color w:val="auto"/>
                <w:spacing w:val="-13"/>
                <w:highlight w:val="none"/>
              </w:rPr>
              <w:t>/</w:t>
            </w:r>
            <w:r>
              <w:rPr>
                <w:color w:val="auto"/>
                <w:spacing w:val="-13"/>
                <w:highlight w:val="none"/>
              </w:rPr>
              <w:t>事业</w:t>
            </w:r>
            <w:r>
              <w:rPr>
                <w:color w:val="auto"/>
                <w:spacing w:val="-9"/>
                <w:highlight w:val="none"/>
              </w:rPr>
              <w:t>称</w:t>
            </w:r>
          </w:p>
        </w:tc>
        <w:tc>
          <w:tcPr>
            <w:tcW w:w="2698" w:type="dxa"/>
            <w:vAlign w:val="center"/>
          </w:tcPr>
          <w:p w14:paraId="23C5FADB">
            <w:pPr>
              <w:jc w:val="center"/>
              <w:rPr>
                <w:color w:val="auto"/>
                <w:highlight w:val="none"/>
              </w:rPr>
            </w:pPr>
          </w:p>
        </w:tc>
        <w:tc>
          <w:tcPr>
            <w:tcW w:w="1339" w:type="dxa"/>
            <w:vAlign w:val="center"/>
          </w:tcPr>
          <w:p w14:paraId="07697A10">
            <w:pPr>
              <w:pStyle w:val="16"/>
              <w:spacing w:before="78" w:line="223" w:lineRule="auto"/>
              <w:jc w:val="center"/>
              <w:rPr>
                <w:color w:val="auto"/>
                <w:highlight w:val="none"/>
              </w:rPr>
            </w:pPr>
            <w:r>
              <w:rPr>
                <w:color w:val="auto"/>
                <w:spacing w:val="-11"/>
                <w:highlight w:val="none"/>
              </w:rPr>
              <w:t>成立日期</w:t>
            </w:r>
          </w:p>
        </w:tc>
        <w:tc>
          <w:tcPr>
            <w:tcW w:w="2838" w:type="dxa"/>
            <w:vAlign w:val="center"/>
          </w:tcPr>
          <w:p w14:paraId="65B61D3F">
            <w:pPr>
              <w:jc w:val="center"/>
              <w:rPr>
                <w:color w:val="auto"/>
                <w:highlight w:val="none"/>
              </w:rPr>
            </w:pPr>
          </w:p>
        </w:tc>
      </w:tr>
      <w:tr w14:paraId="1A1B9A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4539" w:type="dxa"/>
            <w:gridSpan w:val="2"/>
          </w:tcPr>
          <w:p w14:paraId="1CC94589">
            <w:pPr>
              <w:pStyle w:val="16"/>
              <w:spacing w:before="175"/>
              <w:ind w:right="361"/>
              <w:jc w:val="both"/>
              <w:rPr>
                <w:color w:val="auto"/>
                <w:spacing w:val="-13"/>
                <w:highlight w:val="none"/>
                <w:lang w:eastAsia="zh-CN"/>
              </w:rPr>
            </w:pPr>
            <w:r>
              <w:rPr>
                <w:color w:val="auto"/>
                <w:spacing w:val="-13"/>
                <w:highlight w:val="none"/>
                <w:lang w:eastAsia="zh-CN"/>
              </w:rPr>
              <w:t>企业/事业法人营业执照注册号</w:t>
            </w:r>
          </w:p>
        </w:tc>
        <w:tc>
          <w:tcPr>
            <w:tcW w:w="4177" w:type="dxa"/>
            <w:gridSpan w:val="2"/>
          </w:tcPr>
          <w:p w14:paraId="3B1DE9B6">
            <w:pPr>
              <w:pStyle w:val="16"/>
              <w:spacing w:before="175"/>
              <w:ind w:right="361"/>
              <w:jc w:val="center"/>
              <w:rPr>
                <w:color w:val="auto"/>
                <w:spacing w:val="-13"/>
                <w:highlight w:val="none"/>
                <w:lang w:eastAsia="zh-CN"/>
              </w:rPr>
            </w:pPr>
          </w:p>
        </w:tc>
      </w:tr>
      <w:tr w14:paraId="010A4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1841" w:type="dxa"/>
            <w:vAlign w:val="center"/>
          </w:tcPr>
          <w:p w14:paraId="71677137">
            <w:pPr>
              <w:pStyle w:val="16"/>
              <w:spacing w:before="175"/>
              <w:ind w:right="361"/>
              <w:jc w:val="center"/>
              <w:rPr>
                <w:color w:val="auto"/>
                <w:spacing w:val="-13"/>
                <w:highlight w:val="none"/>
              </w:rPr>
            </w:pPr>
            <w:r>
              <w:rPr>
                <w:color w:val="auto"/>
                <w:spacing w:val="-13"/>
                <w:highlight w:val="none"/>
              </w:rPr>
              <w:t>注册资本</w:t>
            </w:r>
          </w:p>
        </w:tc>
        <w:tc>
          <w:tcPr>
            <w:tcW w:w="2698" w:type="dxa"/>
          </w:tcPr>
          <w:p w14:paraId="7CD74788">
            <w:pPr>
              <w:pStyle w:val="16"/>
              <w:spacing w:before="175"/>
              <w:ind w:right="361"/>
              <w:jc w:val="center"/>
              <w:rPr>
                <w:color w:val="auto"/>
                <w:spacing w:val="-13"/>
                <w:highlight w:val="none"/>
              </w:rPr>
            </w:pPr>
          </w:p>
        </w:tc>
        <w:tc>
          <w:tcPr>
            <w:tcW w:w="1339" w:type="dxa"/>
            <w:vAlign w:val="center"/>
          </w:tcPr>
          <w:p w14:paraId="2C2D2BBA">
            <w:pPr>
              <w:pStyle w:val="16"/>
              <w:spacing w:before="175"/>
              <w:ind w:right="361"/>
              <w:jc w:val="center"/>
              <w:rPr>
                <w:color w:val="auto"/>
                <w:spacing w:val="-13"/>
                <w:highlight w:val="none"/>
              </w:rPr>
            </w:pPr>
            <w:r>
              <w:rPr>
                <w:color w:val="auto"/>
                <w:spacing w:val="-13"/>
                <w:highlight w:val="none"/>
              </w:rPr>
              <w:t>企业/事业类型</w:t>
            </w:r>
          </w:p>
        </w:tc>
        <w:tc>
          <w:tcPr>
            <w:tcW w:w="2838" w:type="dxa"/>
          </w:tcPr>
          <w:p w14:paraId="5D9A37A9">
            <w:pPr>
              <w:pStyle w:val="16"/>
              <w:spacing w:before="175"/>
              <w:ind w:right="361"/>
              <w:jc w:val="center"/>
              <w:rPr>
                <w:color w:val="auto"/>
                <w:spacing w:val="-13"/>
                <w:highlight w:val="none"/>
              </w:rPr>
            </w:pPr>
          </w:p>
        </w:tc>
      </w:tr>
      <w:tr w14:paraId="78FEE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1841" w:type="dxa"/>
            <w:vAlign w:val="center"/>
          </w:tcPr>
          <w:p w14:paraId="339C77FD">
            <w:pPr>
              <w:pStyle w:val="16"/>
              <w:spacing w:before="175"/>
              <w:ind w:right="361"/>
              <w:jc w:val="center"/>
              <w:rPr>
                <w:color w:val="auto"/>
                <w:spacing w:val="-13"/>
                <w:highlight w:val="none"/>
              </w:rPr>
            </w:pPr>
            <w:r>
              <w:rPr>
                <w:color w:val="auto"/>
                <w:spacing w:val="-13"/>
                <w:highlight w:val="none"/>
              </w:rPr>
              <w:t>批准登记机关</w:t>
            </w:r>
          </w:p>
        </w:tc>
        <w:tc>
          <w:tcPr>
            <w:tcW w:w="2698" w:type="dxa"/>
            <w:vAlign w:val="center"/>
          </w:tcPr>
          <w:p w14:paraId="4DCF69C2">
            <w:pPr>
              <w:pStyle w:val="16"/>
              <w:spacing w:before="175"/>
              <w:ind w:right="361"/>
              <w:jc w:val="center"/>
              <w:rPr>
                <w:color w:val="auto"/>
                <w:spacing w:val="-13"/>
                <w:highlight w:val="none"/>
              </w:rPr>
            </w:pPr>
          </w:p>
        </w:tc>
        <w:tc>
          <w:tcPr>
            <w:tcW w:w="1339" w:type="dxa"/>
            <w:vAlign w:val="center"/>
          </w:tcPr>
          <w:p w14:paraId="552CEB13">
            <w:pPr>
              <w:pStyle w:val="16"/>
              <w:spacing w:before="175"/>
              <w:ind w:right="361"/>
              <w:jc w:val="center"/>
              <w:rPr>
                <w:color w:val="auto"/>
                <w:spacing w:val="-13"/>
                <w:highlight w:val="none"/>
              </w:rPr>
            </w:pPr>
            <w:r>
              <w:rPr>
                <w:color w:val="auto"/>
                <w:spacing w:val="-13"/>
                <w:highlight w:val="none"/>
              </w:rPr>
              <w:t>组织代码</w:t>
            </w:r>
          </w:p>
        </w:tc>
        <w:tc>
          <w:tcPr>
            <w:tcW w:w="2838" w:type="dxa"/>
          </w:tcPr>
          <w:p w14:paraId="1B7C9014">
            <w:pPr>
              <w:pStyle w:val="16"/>
              <w:spacing w:before="175"/>
              <w:ind w:right="361"/>
              <w:jc w:val="center"/>
              <w:rPr>
                <w:color w:val="auto"/>
                <w:spacing w:val="-13"/>
                <w:highlight w:val="none"/>
              </w:rPr>
            </w:pPr>
          </w:p>
        </w:tc>
      </w:tr>
      <w:tr w14:paraId="65018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1841" w:type="dxa"/>
            <w:vAlign w:val="center"/>
          </w:tcPr>
          <w:p w14:paraId="1B99C749">
            <w:pPr>
              <w:pStyle w:val="16"/>
              <w:spacing w:before="175"/>
              <w:ind w:right="361"/>
              <w:jc w:val="center"/>
              <w:rPr>
                <w:color w:val="auto"/>
                <w:spacing w:val="-13"/>
                <w:highlight w:val="none"/>
              </w:rPr>
            </w:pPr>
            <w:r>
              <w:rPr>
                <w:color w:val="auto"/>
                <w:spacing w:val="-13"/>
                <w:highlight w:val="none"/>
              </w:rPr>
              <w:t>法定代表人</w:t>
            </w:r>
          </w:p>
        </w:tc>
        <w:tc>
          <w:tcPr>
            <w:tcW w:w="2698" w:type="dxa"/>
            <w:vAlign w:val="center"/>
          </w:tcPr>
          <w:p w14:paraId="2BFFF596">
            <w:pPr>
              <w:pStyle w:val="16"/>
              <w:spacing w:before="175"/>
              <w:ind w:right="361"/>
              <w:jc w:val="center"/>
              <w:rPr>
                <w:color w:val="auto"/>
                <w:spacing w:val="-13"/>
                <w:highlight w:val="none"/>
              </w:rPr>
            </w:pPr>
          </w:p>
        </w:tc>
        <w:tc>
          <w:tcPr>
            <w:tcW w:w="1339" w:type="dxa"/>
            <w:vAlign w:val="center"/>
          </w:tcPr>
          <w:p w14:paraId="1EAA72F8">
            <w:pPr>
              <w:pStyle w:val="16"/>
              <w:spacing w:before="175"/>
              <w:ind w:right="361"/>
              <w:jc w:val="center"/>
              <w:rPr>
                <w:color w:val="auto"/>
                <w:spacing w:val="-13"/>
                <w:highlight w:val="none"/>
              </w:rPr>
            </w:pPr>
            <w:r>
              <w:rPr>
                <w:color w:val="auto"/>
                <w:spacing w:val="-13"/>
                <w:highlight w:val="none"/>
              </w:rPr>
              <w:t>营业期限</w:t>
            </w:r>
          </w:p>
        </w:tc>
        <w:tc>
          <w:tcPr>
            <w:tcW w:w="2838" w:type="dxa"/>
          </w:tcPr>
          <w:p w14:paraId="69F15B18">
            <w:pPr>
              <w:pStyle w:val="16"/>
              <w:spacing w:before="175"/>
              <w:ind w:right="361"/>
              <w:jc w:val="center"/>
              <w:rPr>
                <w:color w:val="auto"/>
                <w:spacing w:val="-13"/>
                <w:highlight w:val="none"/>
              </w:rPr>
            </w:pPr>
          </w:p>
        </w:tc>
      </w:tr>
      <w:tr w14:paraId="45186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1841" w:type="dxa"/>
            <w:vAlign w:val="center"/>
          </w:tcPr>
          <w:p w14:paraId="34E537DB">
            <w:pPr>
              <w:pStyle w:val="16"/>
              <w:spacing w:before="175"/>
              <w:ind w:right="361"/>
              <w:jc w:val="center"/>
              <w:rPr>
                <w:color w:val="auto"/>
                <w:spacing w:val="-13"/>
                <w:highlight w:val="none"/>
              </w:rPr>
            </w:pPr>
            <w:r>
              <w:rPr>
                <w:color w:val="auto"/>
                <w:spacing w:val="-13"/>
                <w:highlight w:val="none"/>
              </w:rPr>
              <w:t>资质类型</w:t>
            </w:r>
          </w:p>
        </w:tc>
        <w:tc>
          <w:tcPr>
            <w:tcW w:w="2698" w:type="dxa"/>
            <w:vAlign w:val="center"/>
          </w:tcPr>
          <w:p w14:paraId="15C9099D">
            <w:pPr>
              <w:pStyle w:val="16"/>
              <w:spacing w:before="175"/>
              <w:ind w:right="361"/>
              <w:jc w:val="center"/>
              <w:rPr>
                <w:color w:val="auto"/>
                <w:spacing w:val="-13"/>
                <w:highlight w:val="none"/>
              </w:rPr>
            </w:pPr>
          </w:p>
        </w:tc>
        <w:tc>
          <w:tcPr>
            <w:tcW w:w="1339" w:type="dxa"/>
            <w:vAlign w:val="center"/>
          </w:tcPr>
          <w:p w14:paraId="40ABCAE4">
            <w:pPr>
              <w:pStyle w:val="16"/>
              <w:spacing w:before="175"/>
              <w:ind w:right="361"/>
              <w:jc w:val="center"/>
              <w:rPr>
                <w:color w:val="auto"/>
                <w:spacing w:val="-13"/>
                <w:highlight w:val="none"/>
              </w:rPr>
            </w:pPr>
            <w:r>
              <w:rPr>
                <w:color w:val="auto"/>
                <w:spacing w:val="-13"/>
                <w:highlight w:val="none"/>
              </w:rPr>
              <w:t>资质等级</w:t>
            </w:r>
          </w:p>
        </w:tc>
        <w:tc>
          <w:tcPr>
            <w:tcW w:w="2838" w:type="dxa"/>
          </w:tcPr>
          <w:p w14:paraId="1CFB3150">
            <w:pPr>
              <w:pStyle w:val="16"/>
              <w:spacing w:before="175"/>
              <w:ind w:right="361"/>
              <w:jc w:val="center"/>
              <w:rPr>
                <w:color w:val="auto"/>
                <w:spacing w:val="-13"/>
                <w:highlight w:val="none"/>
              </w:rPr>
            </w:pPr>
          </w:p>
        </w:tc>
      </w:tr>
      <w:tr w14:paraId="7CA73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841" w:type="dxa"/>
            <w:vAlign w:val="center"/>
          </w:tcPr>
          <w:p w14:paraId="09859D1E">
            <w:pPr>
              <w:pStyle w:val="16"/>
              <w:spacing w:before="175"/>
              <w:ind w:right="361"/>
              <w:jc w:val="center"/>
              <w:rPr>
                <w:color w:val="auto"/>
                <w:spacing w:val="-13"/>
                <w:highlight w:val="none"/>
              </w:rPr>
            </w:pPr>
            <w:r>
              <w:rPr>
                <w:color w:val="auto"/>
                <w:spacing w:val="-13"/>
                <w:highlight w:val="none"/>
              </w:rPr>
              <w:t>主营业务</w:t>
            </w:r>
          </w:p>
        </w:tc>
        <w:tc>
          <w:tcPr>
            <w:tcW w:w="6875" w:type="dxa"/>
            <w:gridSpan w:val="3"/>
            <w:vAlign w:val="center"/>
          </w:tcPr>
          <w:p w14:paraId="5975C34E">
            <w:pPr>
              <w:pStyle w:val="16"/>
              <w:spacing w:before="175"/>
              <w:ind w:right="361"/>
              <w:jc w:val="center"/>
              <w:rPr>
                <w:color w:val="auto"/>
                <w:spacing w:val="-13"/>
                <w:highlight w:val="none"/>
              </w:rPr>
            </w:pPr>
          </w:p>
        </w:tc>
      </w:tr>
      <w:tr w14:paraId="375C4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1841" w:type="dxa"/>
            <w:vAlign w:val="center"/>
          </w:tcPr>
          <w:p w14:paraId="17590A7E">
            <w:pPr>
              <w:pStyle w:val="16"/>
              <w:spacing w:before="175"/>
              <w:ind w:right="361"/>
              <w:jc w:val="center"/>
              <w:rPr>
                <w:color w:val="auto"/>
                <w:spacing w:val="-13"/>
                <w:highlight w:val="none"/>
              </w:rPr>
            </w:pPr>
            <w:r>
              <w:rPr>
                <w:color w:val="auto"/>
                <w:spacing w:val="-13"/>
                <w:highlight w:val="none"/>
              </w:rPr>
              <w:t>地址</w:t>
            </w:r>
          </w:p>
        </w:tc>
        <w:tc>
          <w:tcPr>
            <w:tcW w:w="6875" w:type="dxa"/>
            <w:gridSpan w:val="3"/>
            <w:vAlign w:val="center"/>
          </w:tcPr>
          <w:p w14:paraId="6ADEF723">
            <w:pPr>
              <w:pStyle w:val="16"/>
              <w:spacing w:before="175"/>
              <w:ind w:right="361"/>
              <w:jc w:val="center"/>
              <w:rPr>
                <w:color w:val="auto"/>
                <w:spacing w:val="-13"/>
                <w:highlight w:val="none"/>
              </w:rPr>
            </w:pPr>
          </w:p>
        </w:tc>
      </w:tr>
      <w:tr w14:paraId="25272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1841" w:type="dxa"/>
            <w:vAlign w:val="center"/>
          </w:tcPr>
          <w:p w14:paraId="709E540B">
            <w:pPr>
              <w:pStyle w:val="16"/>
              <w:spacing w:before="175"/>
              <w:ind w:right="361"/>
              <w:jc w:val="center"/>
              <w:rPr>
                <w:color w:val="auto"/>
                <w:spacing w:val="-13"/>
                <w:highlight w:val="none"/>
              </w:rPr>
            </w:pPr>
            <w:r>
              <w:rPr>
                <w:color w:val="auto"/>
                <w:spacing w:val="-13"/>
                <w:highlight w:val="none"/>
              </w:rPr>
              <w:t>开户银行</w:t>
            </w:r>
          </w:p>
        </w:tc>
        <w:tc>
          <w:tcPr>
            <w:tcW w:w="6875" w:type="dxa"/>
            <w:gridSpan w:val="3"/>
            <w:vAlign w:val="center"/>
          </w:tcPr>
          <w:p w14:paraId="7E4C9DC6">
            <w:pPr>
              <w:pStyle w:val="16"/>
              <w:spacing w:before="175"/>
              <w:ind w:right="361"/>
              <w:jc w:val="center"/>
              <w:rPr>
                <w:color w:val="auto"/>
                <w:spacing w:val="-13"/>
                <w:highlight w:val="none"/>
              </w:rPr>
            </w:pPr>
          </w:p>
        </w:tc>
      </w:tr>
      <w:tr w14:paraId="55E06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1841" w:type="dxa"/>
            <w:vAlign w:val="center"/>
          </w:tcPr>
          <w:p w14:paraId="4A0871D9">
            <w:pPr>
              <w:pStyle w:val="16"/>
              <w:spacing w:before="175"/>
              <w:ind w:right="361"/>
              <w:jc w:val="center"/>
              <w:rPr>
                <w:color w:val="auto"/>
                <w:spacing w:val="-13"/>
                <w:highlight w:val="none"/>
              </w:rPr>
            </w:pPr>
            <w:r>
              <w:rPr>
                <w:color w:val="auto"/>
                <w:spacing w:val="-13"/>
                <w:highlight w:val="none"/>
              </w:rPr>
              <w:t>开户行号</w:t>
            </w:r>
          </w:p>
        </w:tc>
        <w:tc>
          <w:tcPr>
            <w:tcW w:w="6875" w:type="dxa"/>
            <w:gridSpan w:val="3"/>
            <w:vAlign w:val="center"/>
          </w:tcPr>
          <w:p w14:paraId="51CA9DB4">
            <w:pPr>
              <w:pStyle w:val="16"/>
              <w:spacing w:before="175"/>
              <w:ind w:right="361"/>
              <w:jc w:val="center"/>
              <w:rPr>
                <w:color w:val="auto"/>
                <w:spacing w:val="-13"/>
                <w:highlight w:val="none"/>
              </w:rPr>
            </w:pPr>
          </w:p>
        </w:tc>
      </w:tr>
      <w:tr w14:paraId="6FFD94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1841" w:type="dxa"/>
            <w:vAlign w:val="center"/>
          </w:tcPr>
          <w:p w14:paraId="581D7AC2">
            <w:pPr>
              <w:pStyle w:val="16"/>
              <w:spacing w:before="175"/>
              <w:ind w:right="361"/>
              <w:jc w:val="center"/>
              <w:rPr>
                <w:color w:val="auto"/>
                <w:spacing w:val="-13"/>
                <w:highlight w:val="none"/>
              </w:rPr>
            </w:pPr>
            <w:r>
              <w:rPr>
                <w:color w:val="auto"/>
                <w:spacing w:val="-13"/>
                <w:highlight w:val="none"/>
              </w:rPr>
              <w:t>银行账号</w:t>
            </w:r>
          </w:p>
        </w:tc>
        <w:tc>
          <w:tcPr>
            <w:tcW w:w="6875" w:type="dxa"/>
            <w:gridSpan w:val="3"/>
            <w:vAlign w:val="center"/>
          </w:tcPr>
          <w:p w14:paraId="563074BF">
            <w:pPr>
              <w:pStyle w:val="16"/>
              <w:spacing w:before="175"/>
              <w:ind w:right="361"/>
              <w:jc w:val="center"/>
              <w:rPr>
                <w:color w:val="auto"/>
                <w:spacing w:val="-13"/>
                <w:highlight w:val="none"/>
              </w:rPr>
            </w:pPr>
          </w:p>
        </w:tc>
      </w:tr>
      <w:tr w14:paraId="3BEFC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1841" w:type="dxa"/>
            <w:vAlign w:val="center"/>
          </w:tcPr>
          <w:p w14:paraId="211C4F71">
            <w:pPr>
              <w:pStyle w:val="16"/>
              <w:spacing w:before="175"/>
              <w:ind w:right="361"/>
              <w:jc w:val="center"/>
              <w:rPr>
                <w:color w:val="auto"/>
                <w:spacing w:val="-13"/>
                <w:highlight w:val="none"/>
              </w:rPr>
            </w:pPr>
            <w:r>
              <w:rPr>
                <w:color w:val="auto"/>
                <w:spacing w:val="-13"/>
                <w:highlight w:val="none"/>
              </w:rPr>
              <w:t>电话</w:t>
            </w:r>
          </w:p>
        </w:tc>
        <w:tc>
          <w:tcPr>
            <w:tcW w:w="2698" w:type="dxa"/>
            <w:vAlign w:val="center"/>
          </w:tcPr>
          <w:p w14:paraId="29199ABA">
            <w:pPr>
              <w:pStyle w:val="16"/>
              <w:spacing w:before="175"/>
              <w:ind w:right="361"/>
              <w:jc w:val="center"/>
              <w:rPr>
                <w:color w:val="auto"/>
                <w:spacing w:val="-13"/>
                <w:highlight w:val="none"/>
              </w:rPr>
            </w:pPr>
          </w:p>
        </w:tc>
        <w:tc>
          <w:tcPr>
            <w:tcW w:w="1339" w:type="dxa"/>
            <w:vAlign w:val="center"/>
          </w:tcPr>
          <w:p w14:paraId="1AC157D0">
            <w:pPr>
              <w:pStyle w:val="16"/>
              <w:spacing w:before="175"/>
              <w:ind w:right="361"/>
              <w:jc w:val="center"/>
              <w:rPr>
                <w:color w:val="auto"/>
                <w:spacing w:val="-13"/>
                <w:highlight w:val="none"/>
              </w:rPr>
            </w:pPr>
            <w:r>
              <w:rPr>
                <w:color w:val="auto"/>
                <w:spacing w:val="-13"/>
                <w:highlight w:val="none"/>
              </w:rPr>
              <w:t>传真</w:t>
            </w:r>
          </w:p>
        </w:tc>
        <w:tc>
          <w:tcPr>
            <w:tcW w:w="2838" w:type="dxa"/>
          </w:tcPr>
          <w:p w14:paraId="4C1250B8">
            <w:pPr>
              <w:pStyle w:val="16"/>
              <w:spacing w:before="175"/>
              <w:ind w:right="361"/>
              <w:jc w:val="center"/>
              <w:rPr>
                <w:color w:val="auto"/>
                <w:spacing w:val="-13"/>
                <w:highlight w:val="none"/>
              </w:rPr>
            </w:pPr>
          </w:p>
        </w:tc>
      </w:tr>
      <w:tr w14:paraId="1684D3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1841" w:type="dxa"/>
            <w:vAlign w:val="center"/>
          </w:tcPr>
          <w:p w14:paraId="5EE9A68C">
            <w:pPr>
              <w:pStyle w:val="16"/>
              <w:spacing w:before="175"/>
              <w:ind w:right="361"/>
              <w:jc w:val="center"/>
              <w:rPr>
                <w:color w:val="auto"/>
                <w:spacing w:val="-13"/>
                <w:highlight w:val="none"/>
              </w:rPr>
            </w:pPr>
            <w:r>
              <w:rPr>
                <w:color w:val="auto"/>
                <w:spacing w:val="-13"/>
                <w:highlight w:val="none"/>
              </w:rPr>
              <w:t>邮箱</w:t>
            </w:r>
          </w:p>
        </w:tc>
        <w:tc>
          <w:tcPr>
            <w:tcW w:w="2698" w:type="dxa"/>
            <w:vAlign w:val="center"/>
          </w:tcPr>
          <w:p w14:paraId="6FD3B59A">
            <w:pPr>
              <w:pStyle w:val="16"/>
              <w:spacing w:before="175"/>
              <w:ind w:right="361"/>
              <w:jc w:val="center"/>
              <w:rPr>
                <w:color w:val="auto"/>
                <w:spacing w:val="-13"/>
                <w:highlight w:val="none"/>
              </w:rPr>
            </w:pPr>
          </w:p>
        </w:tc>
        <w:tc>
          <w:tcPr>
            <w:tcW w:w="1339" w:type="dxa"/>
            <w:vAlign w:val="center"/>
          </w:tcPr>
          <w:p w14:paraId="7D488443">
            <w:pPr>
              <w:pStyle w:val="16"/>
              <w:spacing w:before="175"/>
              <w:ind w:right="361"/>
              <w:jc w:val="center"/>
              <w:rPr>
                <w:color w:val="auto"/>
                <w:spacing w:val="-13"/>
                <w:highlight w:val="none"/>
              </w:rPr>
            </w:pPr>
            <w:r>
              <w:rPr>
                <w:color w:val="auto"/>
                <w:spacing w:val="-13"/>
                <w:highlight w:val="none"/>
              </w:rPr>
              <w:t>邮编</w:t>
            </w:r>
          </w:p>
        </w:tc>
        <w:tc>
          <w:tcPr>
            <w:tcW w:w="2838" w:type="dxa"/>
          </w:tcPr>
          <w:p w14:paraId="4ED58BA8">
            <w:pPr>
              <w:pStyle w:val="16"/>
              <w:spacing w:before="175"/>
              <w:ind w:right="361"/>
              <w:jc w:val="center"/>
              <w:rPr>
                <w:color w:val="auto"/>
                <w:spacing w:val="-13"/>
                <w:highlight w:val="none"/>
              </w:rPr>
            </w:pPr>
          </w:p>
        </w:tc>
      </w:tr>
      <w:tr w14:paraId="6B72D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1841" w:type="dxa"/>
            <w:vAlign w:val="center"/>
          </w:tcPr>
          <w:p w14:paraId="040F7260">
            <w:pPr>
              <w:pStyle w:val="16"/>
              <w:spacing w:before="175"/>
              <w:ind w:right="361"/>
              <w:jc w:val="center"/>
              <w:rPr>
                <w:color w:val="auto"/>
                <w:spacing w:val="-13"/>
                <w:highlight w:val="none"/>
              </w:rPr>
            </w:pPr>
            <w:r>
              <w:rPr>
                <w:color w:val="auto"/>
                <w:spacing w:val="-13"/>
                <w:highlight w:val="none"/>
              </w:rPr>
              <w:t>联系人</w:t>
            </w:r>
          </w:p>
        </w:tc>
        <w:tc>
          <w:tcPr>
            <w:tcW w:w="2698" w:type="dxa"/>
            <w:vAlign w:val="center"/>
          </w:tcPr>
          <w:p w14:paraId="3D25CFD1">
            <w:pPr>
              <w:pStyle w:val="16"/>
              <w:spacing w:before="175"/>
              <w:ind w:right="361"/>
              <w:jc w:val="center"/>
              <w:rPr>
                <w:color w:val="auto"/>
                <w:spacing w:val="-13"/>
                <w:highlight w:val="none"/>
              </w:rPr>
            </w:pPr>
          </w:p>
        </w:tc>
        <w:tc>
          <w:tcPr>
            <w:tcW w:w="1339" w:type="dxa"/>
            <w:vAlign w:val="center"/>
          </w:tcPr>
          <w:p w14:paraId="101E9880">
            <w:pPr>
              <w:pStyle w:val="16"/>
              <w:spacing w:before="175"/>
              <w:ind w:right="361"/>
              <w:jc w:val="center"/>
              <w:rPr>
                <w:color w:val="auto"/>
                <w:spacing w:val="-13"/>
                <w:highlight w:val="none"/>
              </w:rPr>
            </w:pPr>
            <w:r>
              <w:rPr>
                <w:color w:val="auto"/>
                <w:spacing w:val="-13"/>
                <w:highlight w:val="none"/>
              </w:rPr>
              <w:t>联系方式</w:t>
            </w:r>
          </w:p>
        </w:tc>
        <w:tc>
          <w:tcPr>
            <w:tcW w:w="2838" w:type="dxa"/>
          </w:tcPr>
          <w:p w14:paraId="41C91F98">
            <w:pPr>
              <w:pStyle w:val="16"/>
              <w:spacing w:before="175"/>
              <w:ind w:right="361"/>
              <w:jc w:val="center"/>
              <w:rPr>
                <w:color w:val="auto"/>
                <w:spacing w:val="-13"/>
                <w:highlight w:val="none"/>
              </w:rPr>
            </w:pPr>
          </w:p>
        </w:tc>
      </w:tr>
    </w:tbl>
    <w:p w14:paraId="571D2B1F">
      <w:pPr>
        <w:pStyle w:val="16"/>
        <w:spacing w:before="175"/>
        <w:ind w:right="361"/>
        <w:jc w:val="center"/>
        <w:rPr>
          <w:color w:val="auto"/>
          <w:spacing w:val="-13"/>
          <w:highlight w:val="none"/>
        </w:rPr>
      </w:pPr>
    </w:p>
    <w:p w14:paraId="1ADAC9A1">
      <w:pPr>
        <w:pStyle w:val="6"/>
        <w:spacing w:line="330" w:lineRule="auto"/>
        <w:rPr>
          <w:color w:val="auto"/>
          <w:highlight w:val="none"/>
        </w:rPr>
      </w:pPr>
    </w:p>
    <w:p w14:paraId="0E634490">
      <w:pPr>
        <w:spacing w:before="101" w:line="227" w:lineRule="auto"/>
        <w:ind w:left="328"/>
        <w:outlineLvl w:val="1"/>
        <w:rPr>
          <w:rFonts w:ascii="黑体" w:hAnsi="黑体" w:eastAsia="黑体" w:cs="黑体"/>
          <w:color w:val="auto"/>
          <w:sz w:val="31"/>
          <w:szCs w:val="31"/>
          <w:highlight w:val="none"/>
        </w:rPr>
      </w:pPr>
      <w:r>
        <w:rPr>
          <w:rFonts w:ascii="黑体" w:hAnsi="黑体" w:eastAsia="黑体" w:cs="黑体"/>
          <w:color w:val="auto"/>
          <w:spacing w:val="5"/>
          <w:sz w:val="31"/>
          <w:szCs w:val="31"/>
          <w:highlight w:val="none"/>
        </w:rPr>
        <w:t>5.2项目报价表</w:t>
      </w:r>
    </w:p>
    <w:p w14:paraId="7CA5DC2E">
      <w:pPr>
        <w:pStyle w:val="6"/>
        <w:spacing w:line="326" w:lineRule="auto"/>
        <w:rPr>
          <w:color w:val="auto"/>
          <w:highlight w:val="none"/>
        </w:rPr>
      </w:pPr>
    </w:p>
    <w:p w14:paraId="69A71FF3">
      <w:pPr>
        <w:pStyle w:val="6"/>
        <w:spacing w:line="270" w:lineRule="auto"/>
        <w:jc w:val="center"/>
        <w:rPr>
          <w:rFonts w:ascii="黑体" w:hAnsi="黑体" w:eastAsia="黑体" w:cs="黑体"/>
          <w:color w:val="auto"/>
          <w:sz w:val="32"/>
          <w:szCs w:val="32"/>
          <w:highlight w:val="none"/>
          <w:lang w:eastAsia="zh-CN"/>
        </w:rPr>
      </w:pPr>
      <w:r>
        <w:rPr>
          <w:rFonts w:ascii="仿宋" w:hAnsi="仿宋" w:eastAsia="仿宋" w:cs="仿宋"/>
          <w:color w:val="auto"/>
          <w:spacing w:val="-11"/>
          <w:sz w:val="24"/>
          <w:szCs w:val="24"/>
          <w:highlight w:val="none"/>
          <w:lang w:eastAsia="zh-CN"/>
        </w:rPr>
        <w:t>项目名称：</w:t>
      </w:r>
      <w:r>
        <w:rPr>
          <w:rFonts w:hint="eastAsia" w:ascii="仿宋" w:hAnsi="仿宋" w:eastAsia="仿宋" w:cs="仿宋"/>
          <w:color w:val="auto"/>
          <w:spacing w:val="-11"/>
          <w:sz w:val="24"/>
          <w:szCs w:val="24"/>
          <w:highlight w:val="none"/>
          <w:lang w:eastAsia="zh-CN"/>
        </w:rPr>
        <w:t>信阳市中心城区路检路查及入户检查重型货车检测服务项目</w:t>
      </w:r>
    </w:p>
    <w:p w14:paraId="5F12F186">
      <w:pPr>
        <w:spacing w:before="27"/>
        <w:rPr>
          <w:color w:val="auto"/>
          <w:highlight w:val="none"/>
          <w:lang w:eastAsia="zh-CN"/>
        </w:rPr>
      </w:pPr>
    </w:p>
    <w:tbl>
      <w:tblPr>
        <w:tblStyle w:val="15"/>
        <w:tblW w:w="92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80"/>
        <w:gridCol w:w="1027"/>
        <w:gridCol w:w="2635"/>
        <w:gridCol w:w="1315"/>
        <w:gridCol w:w="1557"/>
      </w:tblGrid>
      <w:tr w14:paraId="1635A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2680" w:type="dxa"/>
          </w:tcPr>
          <w:p w14:paraId="59BC0401">
            <w:pPr>
              <w:pStyle w:val="16"/>
              <w:spacing w:before="183" w:line="221" w:lineRule="auto"/>
              <w:ind w:left="1130"/>
              <w:rPr>
                <w:color w:val="auto"/>
                <w:highlight w:val="none"/>
              </w:rPr>
            </w:pPr>
            <w:r>
              <w:rPr>
                <w:color w:val="auto"/>
                <w:spacing w:val="-9"/>
                <w:highlight w:val="none"/>
              </w:rPr>
              <w:t>名称</w:t>
            </w:r>
          </w:p>
        </w:tc>
        <w:tc>
          <w:tcPr>
            <w:tcW w:w="1027" w:type="dxa"/>
          </w:tcPr>
          <w:p w14:paraId="445B79E3">
            <w:pPr>
              <w:pStyle w:val="16"/>
              <w:spacing w:before="184" w:line="223" w:lineRule="auto"/>
              <w:ind w:left="344"/>
              <w:rPr>
                <w:color w:val="auto"/>
                <w:highlight w:val="none"/>
              </w:rPr>
            </w:pPr>
            <w:r>
              <w:rPr>
                <w:color w:val="auto"/>
                <w:spacing w:val="-8"/>
                <w:highlight w:val="none"/>
              </w:rPr>
              <w:t>数量</w:t>
            </w:r>
          </w:p>
        </w:tc>
        <w:tc>
          <w:tcPr>
            <w:tcW w:w="2635" w:type="dxa"/>
          </w:tcPr>
          <w:p w14:paraId="298F3798">
            <w:pPr>
              <w:pStyle w:val="16"/>
              <w:spacing w:before="184" w:line="222" w:lineRule="auto"/>
              <w:ind w:left="348"/>
              <w:rPr>
                <w:color w:val="auto"/>
                <w:highlight w:val="none"/>
              </w:rPr>
            </w:pPr>
            <w:r>
              <w:rPr>
                <w:color w:val="auto"/>
                <w:spacing w:val="-12"/>
                <w:highlight w:val="none"/>
              </w:rPr>
              <w:t>项目报价（万元）</w:t>
            </w:r>
          </w:p>
        </w:tc>
        <w:tc>
          <w:tcPr>
            <w:tcW w:w="1315" w:type="dxa"/>
          </w:tcPr>
          <w:p w14:paraId="6D623F1B">
            <w:pPr>
              <w:pStyle w:val="16"/>
              <w:spacing w:before="184" w:line="222" w:lineRule="auto"/>
              <w:ind w:left="217"/>
              <w:rPr>
                <w:color w:val="auto"/>
                <w:highlight w:val="none"/>
              </w:rPr>
            </w:pPr>
            <w:r>
              <w:rPr>
                <w:color w:val="auto"/>
                <w:spacing w:val="-10"/>
                <w:highlight w:val="none"/>
              </w:rPr>
              <w:t>服务时间</w:t>
            </w:r>
          </w:p>
        </w:tc>
        <w:tc>
          <w:tcPr>
            <w:tcW w:w="1557" w:type="dxa"/>
          </w:tcPr>
          <w:p w14:paraId="02CE8A26">
            <w:pPr>
              <w:pStyle w:val="16"/>
              <w:spacing w:before="184" w:line="224" w:lineRule="auto"/>
              <w:ind w:left="568"/>
              <w:rPr>
                <w:color w:val="auto"/>
                <w:highlight w:val="none"/>
              </w:rPr>
            </w:pPr>
            <w:r>
              <w:rPr>
                <w:color w:val="auto"/>
                <w:spacing w:val="-9"/>
                <w:highlight w:val="none"/>
              </w:rPr>
              <w:t>备注</w:t>
            </w:r>
          </w:p>
        </w:tc>
      </w:tr>
      <w:tr w14:paraId="1E11B8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2680" w:type="dxa"/>
          </w:tcPr>
          <w:p w14:paraId="67855165">
            <w:pPr>
              <w:rPr>
                <w:color w:val="auto"/>
                <w:highlight w:val="none"/>
              </w:rPr>
            </w:pPr>
          </w:p>
        </w:tc>
        <w:tc>
          <w:tcPr>
            <w:tcW w:w="1027" w:type="dxa"/>
          </w:tcPr>
          <w:p w14:paraId="243C7AFD">
            <w:pPr>
              <w:spacing w:before="315" w:line="184" w:lineRule="auto"/>
              <w:ind w:left="485"/>
              <w:rPr>
                <w:rFonts w:ascii="宋体" w:hAnsi="宋体" w:eastAsia="宋体" w:cs="宋体"/>
                <w:color w:val="auto"/>
                <w:sz w:val="24"/>
                <w:szCs w:val="24"/>
                <w:highlight w:val="none"/>
              </w:rPr>
            </w:pPr>
          </w:p>
        </w:tc>
        <w:tc>
          <w:tcPr>
            <w:tcW w:w="2635" w:type="dxa"/>
          </w:tcPr>
          <w:p w14:paraId="2CA94C9D">
            <w:pPr>
              <w:rPr>
                <w:color w:val="auto"/>
                <w:highlight w:val="none"/>
              </w:rPr>
            </w:pPr>
          </w:p>
        </w:tc>
        <w:tc>
          <w:tcPr>
            <w:tcW w:w="1315" w:type="dxa"/>
          </w:tcPr>
          <w:p w14:paraId="3DEB9E21">
            <w:pPr>
              <w:rPr>
                <w:color w:val="auto"/>
                <w:highlight w:val="none"/>
              </w:rPr>
            </w:pPr>
          </w:p>
        </w:tc>
        <w:tc>
          <w:tcPr>
            <w:tcW w:w="1557" w:type="dxa"/>
          </w:tcPr>
          <w:p w14:paraId="5A8E860A">
            <w:pPr>
              <w:rPr>
                <w:color w:val="auto"/>
                <w:highlight w:val="none"/>
              </w:rPr>
            </w:pPr>
          </w:p>
        </w:tc>
      </w:tr>
    </w:tbl>
    <w:p w14:paraId="3CA69670">
      <w:pPr>
        <w:spacing w:before="56" w:line="222" w:lineRule="auto"/>
        <w:ind w:left="543"/>
        <w:rPr>
          <w:rFonts w:ascii="仿宋" w:hAnsi="仿宋" w:eastAsia="仿宋" w:cs="仿宋"/>
          <w:color w:val="auto"/>
          <w:sz w:val="24"/>
          <w:szCs w:val="24"/>
          <w:highlight w:val="none"/>
          <w:lang w:eastAsia="zh-CN"/>
        </w:rPr>
      </w:pPr>
      <w:r>
        <w:rPr>
          <w:rFonts w:ascii="仿宋" w:hAnsi="仿宋" w:eastAsia="仿宋" w:cs="仿宋"/>
          <w:color w:val="auto"/>
          <w:spacing w:val="-12"/>
          <w:sz w:val="24"/>
          <w:szCs w:val="24"/>
          <w:highlight w:val="none"/>
          <w:lang w:eastAsia="zh-CN"/>
        </w:rPr>
        <w:t xml:space="preserve">注： </w:t>
      </w:r>
      <w:r>
        <w:rPr>
          <w:rFonts w:ascii="宋体" w:hAnsi="宋体" w:eastAsia="宋体" w:cs="宋体"/>
          <w:color w:val="auto"/>
          <w:spacing w:val="-12"/>
          <w:sz w:val="24"/>
          <w:szCs w:val="24"/>
          <w:highlight w:val="none"/>
          <w:lang w:eastAsia="zh-CN"/>
        </w:rPr>
        <w:t>1</w:t>
      </w:r>
      <w:r>
        <w:rPr>
          <w:rFonts w:ascii="仿宋" w:hAnsi="仿宋" w:eastAsia="仿宋" w:cs="仿宋"/>
          <w:color w:val="auto"/>
          <w:spacing w:val="-12"/>
          <w:sz w:val="24"/>
          <w:szCs w:val="24"/>
          <w:highlight w:val="none"/>
          <w:lang w:eastAsia="zh-CN"/>
        </w:rPr>
        <w:t>、此表应加盖公章。</w:t>
      </w:r>
    </w:p>
    <w:p w14:paraId="66C23D70">
      <w:pPr>
        <w:pStyle w:val="6"/>
        <w:spacing w:line="246" w:lineRule="auto"/>
        <w:rPr>
          <w:color w:val="auto"/>
          <w:highlight w:val="none"/>
          <w:lang w:eastAsia="zh-CN"/>
        </w:rPr>
      </w:pPr>
    </w:p>
    <w:p w14:paraId="106E8726">
      <w:pPr>
        <w:pStyle w:val="6"/>
        <w:spacing w:line="247" w:lineRule="auto"/>
        <w:rPr>
          <w:color w:val="auto"/>
          <w:highlight w:val="none"/>
          <w:lang w:eastAsia="zh-CN"/>
        </w:rPr>
      </w:pPr>
    </w:p>
    <w:p w14:paraId="0270D7F6">
      <w:pPr>
        <w:pStyle w:val="6"/>
        <w:spacing w:line="247" w:lineRule="auto"/>
        <w:rPr>
          <w:color w:val="auto"/>
          <w:highlight w:val="none"/>
          <w:lang w:eastAsia="zh-CN"/>
        </w:rPr>
      </w:pPr>
    </w:p>
    <w:p w14:paraId="01899343">
      <w:pPr>
        <w:pStyle w:val="6"/>
        <w:spacing w:line="247" w:lineRule="auto"/>
        <w:rPr>
          <w:color w:val="auto"/>
          <w:highlight w:val="none"/>
          <w:lang w:eastAsia="zh-CN"/>
        </w:rPr>
      </w:pPr>
    </w:p>
    <w:p w14:paraId="669880B4">
      <w:pPr>
        <w:tabs>
          <w:tab w:val="left" w:pos="6582"/>
        </w:tabs>
        <w:spacing w:before="92" w:line="223" w:lineRule="auto"/>
        <w:jc w:val="right"/>
        <w:rPr>
          <w:rFonts w:ascii="仿宋" w:hAnsi="仿宋" w:eastAsia="仿宋" w:cs="仿宋"/>
          <w:color w:val="auto"/>
          <w:sz w:val="28"/>
          <w:szCs w:val="28"/>
          <w:highlight w:val="none"/>
          <w:lang w:eastAsia="zh-CN"/>
        </w:rPr>
      </w:pPr>
    </w:p>
    <w:sectPr>
      <w:pgSz w:w="11906" w:h="16839"/>
      <w:pgMar w:top="1440" w:right="1800" w:bottom="1440" w:left="1800" w:header="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小标宋体">
    <w:altName w:val="方正小标宋简体"/>
    <w:panose1 w:val="02010609010101010101"/>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021C2">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08C4E4A">
                          <w:pPr>
                            <w:pStyle w:val="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108C4E4A">
                    <w:pPr>
                      <w:pStyle w:val="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hdrShapeDefaults>
    <o:shapelayout v:ext="edit">
      <o:idmap v:ext="edit" data="1"/>
    </o:shapelayout>
  </w:hdrShapeDefaults>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iNDBmNWY1YTU3MzJhNDFlOGI1ZWZjNzk2ZGU2NmQifQ=="/>
    <w:docVar w:name="KSO_WPS_MARK_KEY" w:val="e49d8837-c9d3-4a53-94e3-845719e39a7a"/>
  </w:docVars>
  <w:rsids>
    <w:rsidRoot w:val="005A7FB8"/>
    <w:rsid w:val="000816F8"/>
    <w:rsid w:val="001F788E"/>
    <w:rsid w:val="00226191"/>
    <w:rsid w:val="00317D42"/>
    <w:rsid w:val="00353C55"/>
    <w:rsid w:val="00407ACC"/>
    <w:rsid w:val="004952F8"/>
    <w:rsid w:val="0058045E"/>
    <w:rsid w:val="005A7FB8"/>
    <w:rsid w:val="006227A8"/>
    <w:rsid w:val="006A4D46"/>
    <w:rsid w:val="009E6A31"/>
    <w:rsid w:val="00A760BC"/>
    <w:rsid w:val="00A77BFD"/>
    <w:rsid w:val="00C93652"/>
    <w:rsid w:val="00DD39B8"/>
    <w:rsid w:val="00E03386"/>
    <w:rsid w:val="00E15D88"/>
    <w:rsid w:val="00F10E17"/>
    <w:rsid w:val="01A9578B"/>
    <w:rsid w:val="02826214"/>
    <w:rsid w:val="02C80459"/>
    <w:rsid w:val="033068E8"/>
    <w:rsid w:val="03890D6F"/>
    <w:rsid w:val="040F5259"/>
    <w:rsid w:val="06CD3F70"/>
    <w:rsid w:val="06E550C7"/>
    <w:rsid w:val="0819661D"/>
    <w:rsid w:val="08F045FB"/>
    <w:rsid w:val="09642C78"/>
    <w:rsid w:val="0AF049F1"/>
    <w:rsid w:val="0AF46136"/>
    <w:rsid w:val="0B4F116B"/>
    <w:rsid w:val="0BD40927"/>
    <w:rsid w:val="0C3B6280"/>
    <w:rsid w:val="0C590BAD"/>
    <w:rsid w:val="0D046532"/>
    <w:rsid w:val="0FDE4F9A"/>
    <w:rsid w:val="10275AA3"/>
    <w:rsid w:val="10793F7C"/>
    <w:rsid w:val="112851B8"/>
    <w:rsid w:val="11380EA0"/>
    <w:rsid w:val="11676B5E"/>
    <w:rsid w:val="144F5967"/>
    <w:rsid w:val="146F683E"/>
    <w:rsid w:val="1537321C"/>
    <w:rsid w:val="183C0DD2"/>
    <w:rsid w:val="18CB43A7"/>
    <w:rsid w:val="1A051FA7"/>
    <w:rsid w:val="1AFE7CBA"/>
    <w:rsid w:val="1F901EA7"/>
    <w:rsid w:val="1FCC023A"/>
    <w:rsid w:val="209F0117"/>
    <w:rsid w:val="20D04CB8"/>
    <w:rsid w:val="212C5C64"/>
    <w:rsid w:val="224B4976"/>
    <w:rsid w:val="22DD430D"/>
    <w:rsid w:val="231045D3"/>
    <w:rsid w:val="23A61C99"/>
    <w:rsid w:val="24EA3E07"/>
    <w:rsid w:val="26D11D71"/>
    <w:rsid w:val="27361FD6"/>
    <w:rsid w:val="28131C63"/>
    <w:rsid w:val="28251CC0"/>
    <w:rsid w:val="29CE3CF8"/>
    <w:rsid w:val="2A6B1546"/>
    <w:rsid w:val="2AA22B0E"/>
    <w:rsid w:val="2BD4136D"/>
    <w:rsid w:val="30F300D1"/>
    <w:rsid w:val="319E48F7"/>
    <w:rsid w:val="32E60A1F"/>
    <w:rsid w:val="33F604FF"/>
    <w:rsid w:val="37CE75B8"/>
    <w:rsid w:val="37F55D6F"/>
    <w:rsid w:val="381B2313"/>
    <w:rsid w:val="38F26209"/>
    <w:rsid w:val="3A2D7954"/>
    <w:rsid w:val="3B8F6C4F"/>
    <w:rsid w:val="3BD358D7"/>
    <w:rsid w:val="3C073099"/>
    <w:rsid w:val="3C4F6238"/>
    <w:rsid w:val="3DB01826"/>
    <w:rsid w:val="3DE50C2F"/>
    <w:rsid w:val="3F085C29"/>
    <w:rsid w:val="3FE67B95"/>
    <w:rsid w:val="40561BF6"/>
    <w:rsid w:val="40D655C3"/>
    <w:rsid w:val="417B1CF9"/>
    <w:rsid w:val="41BB783F"/>
    <w:rsid w:val="41FE738F"/>
    <w:rsid w:val="42D90514"/>
    <w:rsid w:val="44731EAB"/>
    <w:rsid w:val="46536E87"/>
    <w:rsid w:val="482C367D"/>
    <w:rsid w:val="48641D5A"/>
    <w:rsid w:val="4905004E"/>
    <w:rsid w:val="494A03F7"/>
    <w:rsid w:val="49917762"/>
    <w:rsid w:val="4BFF5B3B"/>
    <w:rsid w:val="524D13AE"/>
    <w:rsid w:val="526D5D71"/>
    <w:rsid w:val="53545018"/>
    <w:rsid w:val="53BE6D56"/>
    <w:rsid w:val="541C54DC"/>
    <w:rsid w:val="54994A6E"/>
    <w:rsid w:val="56C07106"/>
    <w:rsid w:val="574B012E"/>
    <w:rsid w:val="59AB6DB8"/>
    <w:rsid w:val="5B21162A"/>
    <w:rsid w:val="5B6559BA"/>
    <w:rsid w:val="5D0B03DE"/>
    <w:rsid w:val="5DEF1B44"/>
    <w:rsid w:val="5E007C1C"/>
    <w:rsid w:val="615F29CC"/>
    <w:rsid w:val="641E79BB"/>
    <w:rsid w:val="64696484"/>
    <w:rsid w:val="653B2BC7"/>
    <w:rsid w:val="65E46075"/>
    <w:rsid w:val="65EA3263"/>
    <w:rsid w:val="66173D55"/>
    <w:rsid w:val="664F7993"/>
    <w:rsid w:val="672A5D0A"/>
    <w:rsid w:val="67D13501"/>
    <w:rsid w:val="67D27562"/>
    <w:rsid w:val="68C316A3"/>
    <w:rsid w:val="6A705FAC"/>
    <w:rsid w:val="6B6749C3"/>
    <w:rsid w:val="6EF03395"/>
    <w:rsid w:val="6FBB49D3"/>
    <w:rsid w:val="6FBE3493"/>
    <w:rsid w:val="709959BC"/>
    <w:rsid w:val="71D76A8E"/>
    <w:rsid w:val="72893053"/>
    <w:rsid w:val="72DD00D4"/>
    <w:rsid w:val="73C4187C"/>
    <w:rsid w:val="73F216D4"/>
    <w:rsid w:val="74F14AB1"/>
    <w:rsid w:val="75726026"/>
    <w:rsid w:val="75B570E6"/>
    <w:rsid w:val="761F284D"/>
    <w:rsid w:val="765B0942"/>
    <w:rsid w:val="77C1397B"/>
    <w:rsid w:val="77F9614E"/>
    <w:rsid w:val="78072515"/>
    <w:rsid w:val="78416B04"/>
    <w:rsid w:val="78931961"/>
    <w:rsid w:val="78FE69DA"/>
    <w:rsid w:val="79D7762B"/>
    <w:rsid w:val="7AD17583"/>
    <w:rsid w:val="7DAE124D"/>
    <w:rsid w:val="7DEC3ECF"/>
    <w:rsid w:val="7E4648EF"/>
    <w:rsid w:val="7EF07617"/>
    <w:rsid w:val="7EF95DA4"/>
    <w:rsid w:val="DBF7D115"/>
    <w:rsid w:val="FD3F683B"/>
    <w:rsid w:val="FE5F36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99"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99"/>
    <w:pPr>
      <w:keepNext/>
      <w:keepLines/>
      <w:spacing w:line="360" w:lineRule="auto"/>
      <w:outlineLvl w:val="0"/>
    </w:pPr>
    <w:rPr>
      <w:rFonts w:ascii="Times New Roman" w:hAnsi="Times New Roman" w:eastAsia="黑体"/>
      <w:b/>
      <w:bCs/>
      <w:kern w:val="44"/>
      <w:sz w:val="32"/>
      <w:szCs w:val="44"/>
    </w:rPr>
  </w:style>
  <w:style w:type="paragraph" w:styleId="3">
    <w:name w:val="heading 2"/>
    <w:basedOn w:val="1"/>
    <w:next w:val="1"/>
    <w:unhideWhenUsed/>
    <w:qFormat/>
    <w:uiPriority w:val="0"/>
    <w:pPr>
      <w:keepNext/>
      <w:keepLines/>
      <w:spacing w:line="360" w:lineRule="auto"/>
      <w:outlineLvl w:val="1"/>
    </w:pPr>
    <w:rPr>
      <w:rFonts w:ascii="楷体" w:hAnsi="楷体" w:eastAsia="楷体"/>
      <w:b/>
      <w:sz w:val="28"/>
    </w:rPr>
  </w:style>
  <w:style w:type="paragraph" w:styleId="4">
    <w:name w:val="heading 4"/>
    <w:basedOn w:val="1"/>
    <w:next w:val="1"/>
    <w:qFormat/>
    <w:uiPriority w:val="0"/>
    <w:pPr>
      <w:tabs>
        <w:tab w:val="left" w:pos="2155"/>
      </w:tabs>
      <w:spacing w:before="120" w:line="360" w:lineRule="auto"/>
      <w:ind w:left="2155" w:hanging="1078"/>
      <w:outlineLvl w:val="3"/>
    </w:pPr>
    <w:rPr>
      <w:rFonts w:eastAsia="黑体"/>
      <w:sz w:val="28"/>
      <w:szCs w:val="20"/>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8"/>
    <w:qFormat/>
    <w:uiPriority w:val="0"/>
  </w:style>
  <w:style w:type="paragraph" w:styleId="6">
    <w:name w:val="Body Text"/>
    <w:basedOn w:val="1"/>
    <w:next w:val="1"/>
    <w:semiHidden/>
    <w:qFormat/>
    <w:uiPriority w:val="0"/>
  </w:style>
  <w:style w:type="paragraph" w:styleId="7">
    <w:name w:val="Plain Text"/>
    <w:basedOn w:val="1"/>
    <w:next w:val="4"/>
    <w:qFormat/>
    <w:uiPriority w:val="0"/>
    <w:rPr>
      <w:rFonts w:ascii="宋体" w:hAnsi="Courier New"/>
      <w:szCs w:val="20"/>
    </w:rPr>
  </w:style>
  <w:style w:type="paragraph" w:styleId="8">
    <w:name w:val="footer"/>
    <w:basedOn w:val="1"/>
    <w:qFormat/>
    <w:uiPriority w:val="0"/>
    <w:pPr>
      <w:tabs>
        <w:tab w:val="center" w:pos="4153"/>
        <w:tab w:val="right" w:pos="8306"/>
      </w:tabs>
    </w:pPr>
    <w:rPr>
      <w:sz w:val="18"/>
      <w:szCs w:val="18"/>
    </w:rPr>
  </w:style>
  <w:style w:type="paragraph" w:styleId="9">
    <w:name w:val="header"/>
    <w:basedOn w:val="1"/>
    <w:link w:val="17"/>
    <w:qFormat/>
    <w:uiPriority w:val="0"/>
    <w:pPr>
      <w:tabs>
        <w:tab w:val="center" w:pos="4153"/>
        <w:tab w:val="right" w:pos="8306"/>
      </w:tabs>
      <w:jc w:val="center"/>
    </w:pPr>
    <w:rPr>
      <w:sz w:val="18"/>
      <w:szCs w:val="18"/>
    </w:rPr>
  </w:style>
  <w:style w:type="paragraph" w:styleId="1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sz w:val="24"/>
    </w:rPr>
  </w:style>
  <w:style w:type="paragraph" w:styleId="11">
    <w:name w:val="annotation subject"/>
    <w:basedOn w:val="5"/>
    <w:next w:val="5"/>
    <w:link w:val="19"/>
    <w:qFormat/>
    <w:uiPriority w:val="0"/>
    <w:rPr>
      <w:b/>
      <w:bCs/>
    </w:rPr>
  </w:style>
  <w:style w:type="character" w:styleId="14">
    <w:name w:val="annotation reference"/>
    <w:basedOn w:val="13"/>
    <w:qFormat/>
    <w:uiPriority w:val="0"/>
    <w:rPr>
      <w:sz w:val="21"/>
      <w:szCs w:val="21"/>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仿宋" w:hAnsi="仿宋" w:eastAsia="仿宋" w:cs="仿宋"/>
      <w:sz w:val="24"/>
      <w:szCs w:val="24"/>
    </w:rPr>
  </w:style>
  <w:style w:type="character" w:customStyle="1" w:styleId="17">
    <w:name w:val="页眉 Char"/>
    <w:basedOn w:val="13"/>
    <w:link w:val="9"/>
    <w:qFormat/>
    <w:uiPriority w:val="0"/>
    <w:rPr>
      <w:rFonts w:eastAsia="Arial"/>
      <w:snapToGrid w:val="0"/>
      <w:color w:val="000000"/>
      <w:sz w:val="18"/>
      <w:szCs w:val="18"/>
      <w:lang w:eastAsia="en-US"/>
    </w:rPr>
  </w:style>
  <w:style w:type="character" w:customStyle="1" w:styleId="18">
    <w:name w:val="批注文字 Char"/>
    <w:basedOn w:val="13"/>
    <w:link w:val="5"/>
    <w:qFormat/>
    <w:uiPriority w:val="0"/>
    <w:rPr>
      <w:rFonts w:eastAsia="Arial"/>
      <w:snapToGrid w:val="0"/>
      <w:color w:val="000000"/>
      <w:sz w:val="21"/>
      <w:szCs w:val="21"/>
      <w:lang w:eastAsia="en-US"/>
    </w:rPr>
  </w:style>
  <w:style w:type="character" w:customStyle="1" w:styleId="19">
    <w:name w:val="批注主题 Char"/>
    <w:basedOn w:val="18"/>
    <w:link w:val="11"/>
    <w:qFormat/>
    <w:uiPriority w:val="0"/>
    <w:rPr>
      <w:rFonts w:eastAsia="Arial"/>
      <w:b/>
      <w:bCs/>
      <w:snapToGrid w:val="0"/>
      <w:color w:val="000000"/>
      <w:sz w:val="21"/>
      <w:szCs w:val="21"/>
      <w:lang w:eastAsia="en-US"/>
    </w:rPr>
  </w:style>
  <w:style w:type="paragraph" w:customStyle="1" w:styleId="20">
    <w:name w:val="style4"/>
    <w:basedOn w:val="1"/>
    <w:next w:val="21"/>
    <w:qFormat/>
    <w:uiPriority w:val="0"/>
    <w:pPr>
      <w:spacing w:before="280" w:after="280"/>
    </w:pPr>
    <w:rPr>
      <w:sz w:val="18"/>
    </w:rPr>
  </w:style>
  <w:style w:type="paragraph" w:customStyle="1" w:styleId="21">
    <w:name w:val="2"/>
    <w:next w:val="1"/>
    <w:qFormat/>
    <w:uiPriority w:val="0"/>
    <w:pPr>
      <w:widowControl w:val="0"/>
      <w:jc w:val="both"/>
    </w:pPr>
    <w:rPr>
      <w:rFonts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7089</Words>
  <Characters>7344</Characters>
  <Lines>55</Lines>
  <Paragraphs>15</Paragraphs>
  <TotalTime>11</TotalTime>
  <ScaleCrop>false</ScaleCrop>
  <LinksUpToDate>false</LinksUpToDate>
  <CharactersWithSpaces>7362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2024-01-03T23:49:00Z</dcterms:created>
  <dc:creator>XYHB</dc:creator>
  <cp:lastModifiedBy>Decennium</cp:lastModifiedBy>
  <cp:lastPrinted>2024-01-11T23:59:00Z</cp:lastPrinted>
  <dcterms:modified xsi:type="dcterms:W3CDTF">2024-12-30T08:34:18Z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2023-12-15T17:15:47Z</vt:filetime>
  </property>
  <property fmtid="{D5CDD505-2E9C-101B-9397-08002B2CF9AE}" pid="4" name="KSOProductBuildVer">
    <vt:lpwstr>2052-12.1.0.19302</vt:lpwstr>
  </property>
  <property fmtid="{D5CDD505-2E9C-101B-9397-08002B2CF9AE}" pid="5" name="ICV">
    <vt:lpwstr>78DC76065A444A4D858A8263ECD79B6E_13</vt:lpwstr>
  </property>
  <property fmtid="{D5CDD505-2E9C-101B-9397-08002B2CF9AE}" pid="6" name="KSOTemplateDocerSaveRecord">
    <vt:lpwstr>eyJoZGlkIjoiMDE2YjYzZTM4ZWM0ZTI5NDJjZDJiMGUzYzNlMmNkYjIiLCJ1c2VySWQiOiI0MTU4NDAzNjUifQ==</vt:lpwstr>
  </property>
</Properties>
</file>