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信阳市文化广电和旅游局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2021年政府信息公开工作年度报告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报告依据《中华人民共和国政府信息公开条例》（国务院令第711号）和《国务院办公厅政府信息与政务公开办公室关于政府信息公开工作年度报告有关事项的通知》（国办公开办函〔2019〕60号）要求，结合我局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2021年1月1日至12月31日。如对本报告有任何疑问，请与信阳市文化广电和旅游局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0"/>
          <w:szCs w:val="30"/>
        </w:rPr>
      </w:pPr>
      <w:r>
        <w:rPr>
          <w:rFonts w:hint="eastAsia" w:ascii="仿宋_GB2312" w:hAnsi="仿宋_GB2312" w:eastAsia="仿宋_GB2312" w:cs="仿宋_GB2312"/>
          <w:sz w:val="30"/>
          <w:szCs w:val="30"/>
        </w:rPr>
        <w:t>     </w:t>
      </w:r>
      <w:r>
        <w:rPr>
          <w:rFonts w:hint="eastAsia" w:ascii="黑体" w:hAnsi="黑体" w:eastAsia="黑体" w:cs="黑体"/>
          <w:b/>
          <w:bCs/>
          <w:sz w:val="30"/>
          <w:szCs w:val="30"/>
        </w:rPr>
        <w:t xml:space="preserve">  一、总体情况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本年度，我局坚持“以公开为常态，不公开为例外”原则，全面落实信息公开条例，夯实主动公开工作基础，规范依申请公开办理流程，提升信息公开平台建设，加大监督保障力度，全面推进政府信息公开工作。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楷体" w:hAnsi="楷体" w:eastAsia="楷体" w:cs="楷体"/>
          <w:b/>
          <w:bCs/>
          <w:sz w:val="30"/>
          <w:szCs w:val="30"/>
        </w:rPr>
        <w:t xml:space="preserve"> （一）主动公开情况</w:t>
      </w:r>
      <w:r>
        <w:rPr>
          <w:rFonts w:hint="eastAsia" w:ascii="楷体" w:hAnsi="楷体" w:eastAsia="楷体" w:cs="楷体"/>
          <w:b/>
          <w:bCs/>
          <w:sz w:val="30"/>
          <w:szCs w:val="30"/>
          <w:lang w:eastAsia="zh-CN"/>
        </w:rPr>
        <w:t>。</w:t>
      </w:r>
      <w:r>
        <w:rPr>
          <w:rFonts w:hint="eastAsia" w:ascii="仿宋_GB2312" w:hAnsi="仿宋_GB2312" w:eastAsia="仿宋_GB2312" w:cs="仿宋_GB2312"/>
          <w:sz w:val="30"/>
          <w:szCs w:val="30"/>
        </w:rPr>
        <w:t>信息公开是深入推行政务公开，转变政府职能，实现管理创新，建设人民满意服务型政府的一项重要工作。2021年，我局继续完善政务信息公开内容与栏目，不断拓宽公开渠道，重点设计编码索引自动生成程序、网上依申请公开系统、网上互动平台，增设网上咨询、投诉、举报等功能，努力实现“一站式”申请查询服务，体现了网络公开化优势，为公民、企业和其他单位组织查询信息提供快捷、高效、良好服务。全年通过网站、新闻媒体、电子屏幕、专栏等渠道公开各种信息共计600多条，有力保障了公民、法人和其他组织依法获取政府信息，充分发挥了政府信息对人民群众生产、生活和经济社会活动的服务作用，提高了工作透明度，促进了依法行政和阳光行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楷体" w:hAnsi="楷体" w:eastAsia="楷体" w:cs="楷体"/>
          <w:b/>
          <w:bCs/>
          <w:sz w:val="30"/>
          <w:szCs w:val="30"/>
        </w:rPr>
        <w:t>（二）加强领导，成立了信息安全工作领导小组。</w:t>
      </w:r>
      <w:r>
        <w:rPr>
          <w:rFonts w:hint="eastAsia" w:ascii="仿宋_GB2312" w:hAnsi="仿宋_GB2312" w:eastAsia="仿宋_GB2312" w:cs="仿宋_GB2312"/>
          <w:sz w:val="30"/>
          <w:szCs w:val="30"/>
        </w:rPr>
        <w:t>市文广旅局成立贯彻落实建党 100 周年安保维稳工作领导小组，及时调整广播电视安全播出指挥部、广电设施保护领导小组、网络安全和信息化领导小组等专项安全工作小组。认真落实网络安全工作目标管理责任制，切实开展网络安全工作，形成了强大的工作合力。我局的安全网络工作，实行“谁主管，谁负责”的原则。局主要领导对局的网络安全工作负有领导责任，分管领导对所分管范围内的科（室）网络安全工作负有主要领导责任。在网络安全工作上，我局高度重视教育工作，领导班子成员不仅做到时时强调网络安全，事事注意网络安全，还把网络安全工作及保密工作教育作为日常工作常抓不懈，在单位大、小会上坚持宣讲网络安全工作的重要性和必要性，要求全体干部职工时刻绷紧信息安全保密工作这根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楷体" w:hAnsi="楷体" w:eastAsia="楷体" w:cs="楷体"/>
          <w:b/>
          <w:bCs/>
          <w:sz w:val="30"/>
          <w:szCs w:val="30"/>
        </w:rPr>
        <w:t> （三）计算机和网络安全情况</w:t>
      </w:r>
      <w:r>
        <w:rPr>
          <w:rFonts w:hint="eastAsia" w:ascii="楷体" w:hAnsi="楷体" w:eastAsia="楷体" w:cs="楷体"/>
          <w:b/>
          <w:bCs/>
          <w:sz w:val="30"/>
          <w:szCs w:val="30"/>
          <w:lang w:eastAsia="zh-CN"/>
        </w:rPr>
        <w:t>。</w:t>
      </w:r>
      <w:r>
        <w:rPr>
          <w:rFonts w:hint="eastAsia" w:ascii="仿宋_GB2312" w:hAnsi="仿宋_GB2312" w:eastAsia="仿宋_GB2312" w:cs="仿宋_GB2312"/>
          <w:sz w:val="30"/>
          <w:szCs w:val="30"/>
        </w:rPr>
        <w:t>市文广旅局所有计算机都安装了360安全卫士等安全软件，涉密计算机都采用了强口令密码，明确了网络安全责任，强化了网络安全工作。切实抓好内网、外网和应用软件管理，确保“涉密计算机不上网，上网计算机不涉密”，严格按照保密要求处理光盘、硬盘、移动硬盘等管理、维修和销毁工作。重点抓好“三大安全”排查：一是加强对硬件安全的管理，包括防尘、防潮、防雷、防火、防盗和电源连接等的排查;二是加强网络安全管理，对计算机实行分网管理，严格区分内网和外网，合理布线，优化网络结构，加强密码管理、IP管理、互联网行为管理等的排查;三是定期组织全局工作人员学习有关网络知识，提高计算机使用水平，确保网络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楷体" w:hAnsi="楷体" w:eastAsia="楷体" w:cs="楷体"/>
          <w:b/>
          <w:bCs/>
          <w:sz w:val="30"/>
          <w:szCs w:val="30"/>
        </w:rPr>
        <w:t> （四）局门户网站信息管理情况。</w:t>
      </w:r>
      <w:r>
        <w:rPr>
          <w:rFonts w:hint="eastAsia" w:ascii="仿宋_GB2312" w:hAnsi="仿宋_GB2312" w:eastAsia="仿宋_GB2312" w:cs="仿宋_GB2312"/>
          <w:sz w:val="30"/>
          <w:szCs w:val="30"/>
        </w:rPr>
        <w:t>一是为进一步加强和规范网站管理，我局制定信息发布审核制度、网站链接审批制度、网站互动信息处理制度、网站日常巡检及上网信息复查制度等一系列管理制度，使网站管理更加规范化、制度化。明确网站管理、维护部门及岗位职责。要求技术维护人员认真监控和检查网站运行状况，信息采编人员及时提供相关信息资讯，确保链接正确有效、网站安全平稳运行，确保公众能够及时获取政府信息、获得便利的在线服务。二是认真做好政务信息公开及网站信息更新。市文广旅局在系统上录入了多条公开信息，并且按要求定期在网上将相关文件进行公开。公开的内容涉及我局的基本情况、职能配置、领导信息、工作动态等方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楷体" w:hAnsi="楷体" w:eastAsia="楷体" w:cs="楷体"/>
          <w:b/>
          <w:bCs/>
          <w:sz w:val="30"/>
          <w:szCs w:val="30"/>
        </w:rPr>
        <w:t>（五）计算机涉密信息管理情况。</w:t>
      </w:r>
      <w:r>
        <w:rPr>
          <w:rFonts w:hint="eastAsia" w:ascii="仿宋_GB2312" w:hAnsi="仿宋_GB2312" w:eastAsia="仿宋_GB2312" w:cs="仿宋_GB2312"/>
          <w:sz w:val="30"/>
          <w:szCs w:val="30"/>
        </w:rPr>
        <w:t>市文广旅局加强了组织领导，强化宣传教育，加强日常监督检查，重点加大对涉密计算机的管理。对计算机外接设备、移动设备的管理，采取专人保管、涉密文件单独存放，严禁携带存在涉密内容的移动介质到上网的计算机上加工、贮存、传递处理文件，形成了良好的安全保密环境。严格区分内网和外网，对涉密计算机实行了与国际互联网及其他公共信息网物理隔离，落实保密措施，截止目前，未发生一起计算机失密、泄密事故;其他非涉密计算机及网络使用，也严格按照有关计算机网络与信息安全管理规定，加强管理，确保了我局网络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楷体" w:hAnsi="楷体" w:eastAsia="楷体" w:cs="楷体"/>
          <w:b/>
          <w:bCs/>
          <w:sz w:val="30"/>
          <w:szCs w:val="30"/>
        </w:rPr>
        <w:t>（六）严格管理、规范设备维护。</w:t>
      </w:r>
      <w:r>
        <w:rPr>
          <w:rFonts w:hint="eastAsia" w:ascii="仿宋_GB2312" w:hAnsi="仿宋_GB2312" w:eastAsia="仿宋_GB2312" w:cs="仿宋_GB2312"/>
          <w:sz w:val="30"/>
          <w:szCs w:val="30"/>
        </w:rPr>
        <w:t>市文广旅局对电脑及其设备实行“谁使用、谁管理、谁负责”的管理制度。在管理方面我们一是坚持“制度管人”。强化信息安全教育、提高工作人员计算机技能。同时利用远程教育、科普宣传等开展网络安全知识宣传，增强党员干部网络安全意识。在设备维护方面，对出现问题的设备及时进行维护和更换，对外来维护人员，要求有相关人员陪同，并对其身份进行核实，规范设备的维护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楷体" w:hAnsi="楷体" w:eastAsia="楷体" w:cs="楷体"/>
          <w:sz w:val="30"/>
          <w:szCs w:val="30"/>
        </w:rPr>
        <w:t xml:space="preserve"> </w:t>
      </w:r>
      <w:r>
        <w:rPr>
          <w:rFonts w:hint="eastAsia" w:ascii="楷体" w:hAnsi="楷体" w:eastAsia="楷体" w:cs="楷体"/>
          <w:b/>
          <w:bCs/>
          <w:sz w:val="30"/>
          <w:szCs w:val="30"/>
        </w:rPr>
        <w:t>(七）加强媒体合作，不断创新网络宣传模式。</w:t>
      </w:r>
      <w:r>
        <w:rPr>
          <w:rFonts w:hint="eastAsia" w:ascii="仿宋_GB2312" w:hAnsi="仿宋_GB2312" w:eastAsia="仿宋_GB2312" w:cs="仿宋_GB2312"/>
          <w:sz w:val="30"/>
          <w:szCs w:val="30"/>
        </w:rPr>
        <w:t>一是围绕文广旅系统中心工作，加强与新媒体合作，深化与北京字节跳动、今日头条等合作模式，利用抖音等新媒体平台不断宣传推介信阳旅游品牌，助力信阳全域旅游发展。二是积极开展节会营销，采取走出去、请进来相结合，举办“5.19”中国旅游日、第29届信阳茶文化节，通过“互联网+大数据”的数字化转型，助力信阳茶产业又好又快发展。三是着力搭建全市智慧旅游平台，旅游企业要广泛运用微博微信抖音等互网络平台，加快发展在线旅游，打造在线旅游产品，实现网上景区体验，组建自己的自媒体团队和自媒体矩阵，使网络新媒体加创新营销，成为文旅宣传营销的常态。四是加快数字图书馆、文化馆、博物馆建设，做好中长期规划，构建标准统一、互联互通的数字文化服务网络，更快实现全地域覆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楷体" w:hAnsi="楷体" w:eastAsia="楷体" w:cs="楷体"/>
          <w:b/>
          <w:bCs/>
          <w:sz w:val="30"/>
          <w:szCs w:val="30"/>
        </w:rPr>
        <w:t> （八）平台建设</w:t>
      </w:r>
      <w:r>
        <w:rPr>
          <w:rFonts w:hint="eastAsia" w:ascii="楷体" w:hAnsi="楷体" w:eastAsia="楷体" w:cs="楷体"/>
          <w:b/>
          <w:bCs/>
          <w:sz w:val="30"/>
          <w:szCs w:val="30"/>
          <w:lang w:eastAsia="zh-CN"/>
        </w:rPr>
        <w:t>。</w:t>
      </w:r>
      <w:r>
        <w:rPr>
          <w:rFonts w:hint="eastAsia" w:ascii="仿宋_GB2312" w:hAnsi="仿宋_GB2312" w:eastAsia="仿宋_GB2312" w:cs="仿宋_GB2312"/>
          <w:sz w:val="30"/>
          <w:szCs w:val="30"/>
        </w:rPr>
        <w:t>加强网站平台建设通过强化管理和升级改造，依托市政府门户网站，完善栏目设置，丰富政务信息内容。按照法定时限及时发布并实时更新法定主动公开内容，优化栏目检索功能，方便社会公众快速准确获取所需要的政府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楷体" w:hAnsi="楷体" w:eastAsia="楷体" w:cs="楷体"/>
          <w:b/>
          <w:bCs/>
          <w:sz w:val="30"/>
          <w:szCs w:val="30"/>
        </w:rPr>
        <w:t>（九）监督保障</w:t>
      </w:r>
      <w:r>
        <w:rPr>
          <w:rFonts w:hint="eastAsia" w:ascii="楷体" w:hAnsi="楷体" w:eastAsia="楷体" w:cs="楷体"/>
          <w:b/>
          <w:bCs/>
          <w:sz w:val="30"/>
          <w:szCs w:val="30"/>
          <w:lang w:eastAsia="zh-CN"/>
        </w:rPr>
        <w:t>。</w:t>
      </w:r>
      <w:r>
        <w:rPr>
          <w:rFonts w:hint="eastAsia" w:ascii="仿宋_GB2312" w:hAnsi="仿宋_GB2312" w:eastAsia="仿宋_GB2312" w:cs="仿宋_GB2312"/>
          <w:sz w:val="30"/>
          <w:szCs w:val="30"/>
        </w:rPr>
        <w:t>及时通过局门户网站和官方微信公众号开展政府信息公开。在系统上录入了多条公开信息，并且按要求定期在网上将相关文件进行公开，及时将需要公开的事项和有关信息公布，让群众了解情况，了解政策，方便群众办事。公开的内容涉及我局的基本情况、职能配置、领导信息、工作动态等方面。及时采集、编辑和发布动态信息等重点信息；及时在官方微信转发评论社会热点信息，并进行实时的网络舆情监控，加大网络宣传力度；对办公网络、微博、微信公众平台的安全威胁和风险进行认真分析，按照要求消除信息安全隐患。 根据人员变动情况及时调整政务公开工作领导小组，形成以局主要负责人为组长，分管负责人为副组长，各相关职能部门负责人为成员的领导机制，切实做到政务公开工作有人抓、有人管、有人办。严格政务信息公开审核、发布。对拟公开的政务信息，包括公开内容、形式等，需经分管负责人审核同意后对外公开。同时，加强对政务公开工作的监督检查，要求局属各部门结合自身实际，加强政策解读，回应社会关切，不断加大重点领域信息公开力度，增强信息公开的针对性、实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350"/>
        <w:jc w:val="left"/>
        <w:rPr>
          <w:rFonts w:hint="default" w:ascii="Helvetica" w:hAnsi="Helvetica" w:eastAsia="Helvetica" w:cs="Helvetica"/>
          <w:i w:val="0"/>
          <w:iCs w:val="0"/>
          <w:caps w:val="0"/>
          <w:color w:val="000000"/>
          <w:spacing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350"/>
        <w:jc w:val="left"/>
        <w:rPr>
          <w:rFonts w:hint="default" w:ascii="Helvetica" w:hAnsi="Helvetica" w:eastAsia="Helvetica" w:cs="Helvetica"/>
          <w:i w:val="0"/>
          <w:iCs w:val="0"/>
          <w:caps w:val="0"/>
          <w:color w:val="000000"/>
          <w:spacing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350"/>
        <w:jc w:val="left"/>
        <w:rPr>
          <w:rFonts w:hint="default" w:ascii="Helvetica" w:hAnsi="Helvetica" w:eastAsia="Helvetica" w:cs="Helvetica"/>
          <w:i w:val="0"/>
          <w:iCs w:val="0"/>
          <w:caps w:val="0"/>
          <w:color w:val="000000"/>
          <w:spacing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350"/>
        <w:jc w:val="left"/>
        <w:rPr>
          <w:rFonts w:hint="default" w:ascii="Helvetica" w:hAnsi="Helvetica" w:eastAsia="Helvetica" w:cs="Helvetica"/>
          <w:i w:val="0"/>
          <w:iCs w:val="0"/>
          <w:caps w:val="0"/>
          <w:color w:val="000000"/>
          <w:spacing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350"/>
        <w:jc w:val="left"/>
        <w:rPr>
          <w:rFonts w:hint="default" w:ascii="Helvetica" w:hAnsi="Helvetica" w:eastAsia="Helvetica" w:cs="Helvetica"/>
          <w:i w:val="0"/>
          <w:iCs w:val="0"/>
          <w:caps w:val="0"/>
          <w:color w:val="000000"/>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b/>
          <w:bCs/>
          <w:sz w:val="16"/>
          <w:szCs w:val="16"/>
        </w:rPr>
      </w:pPr>
      <w:r>
        <w:rPr>
          <w:b/>
          <w:bCs/>
          <w:i w:val="0"/>
          <w:iCs w:val="0"/>
          <w:caps w:val="0"/>
          <w:color w:val="000000"/>
          <w:spacing w:val="0"/>
          <w:sz w:val="16"/>
          <w:szCs w:val="16"/>
        </w:rPr>
        <w:t>二、主动公开政府信息情况</w:t>
      </w:r>
    </w:p>
    <w:tbl>
      <w:tblPr>
        <w:tblStyle w:val="5"/>
        <w:tblW w:w="8280" w:type="dxa"/>
        <w:tblInd w:w="0" w:type="dxa"/>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49"/>
        <w:gridCol w:w="2044"/>
        <w:gridCol w:w="2042"/>
        <w:gridCol w:w="2045"/>
      </w:tblGrid>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9" w:hRule="atLeast"/>
        </w:trPr>
        <w:tc>
          <w:tcPr>
            <w:tcW w:w="0" w:type="auto"/>
            <w:gridSpan w:val="4"/>
            <w:tcBorders>
              <w:top w:val="nil"/>
              <w:left w:val="nil"/>
              <w:bottom w:val="single" w:color="000000" w:sz="4" w:space="0"/>
              <w:right w:val="single" w:color="000000" w:sz="4" w:space="0"/>
            </w:tcBorders>
            <w:shd w:val="clear" w:color="auto" w:fill="C9D9EF"/>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第二十条第（一）项</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信息内容</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本年制发件数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本年废止件数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现行有效件数</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规</w:t>
            </w:r>
            <w:r>
              <w:rPr>
                <w:rFonts w:hint="eastAsia" w:ascii="宋体" w:hAnsi="宋体" w:eastAsia="宋体" w:cs="宋体"/>
                <w:b w:val="0"/>
                <w:bCs w:val="0"/>
                <w:kern w:val="0"/>
                <w:sz w:val="14"/>
                <w:szCs w:val="14"/>
                <w:lang w:val="en-US" w:eastAsia="zh-CN" w:bidi="ar"/>
              </w:rPr>
              <w:t xml:space="preserve">   </w:t>
            </w:r>
            <w:r>
              <w:rPr>
                <w:rFonts w:ascii="宋体" w:hAnsi="宋体" w:eastAsia="宋体" w:cs="宋体"/>
                <w:b w:val="0"/>
                <w:bCs w:val="0"/>
                <w:kern w:val="0"/>
                <w:sz w:val="14"/>
                <w:szCs w:val="14"/>
                <w:lang w:val="en-US" w:eastAsia="zh-CN" w:bidi="ar"/>
              </w:rPr>
              <w:t>章</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行政规范性文件</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2</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9</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gridSpan w:val="4"/>
            <w:tcBorders>
              <w:top w:val="nil"/>
              <w:left w:val="nil"/>
              <w:bottom w:val="single" w:color="000000" w:sz="4" w:space="0"/>
              <w:right w:val="single" w:color="000000" w:sz="4" w:space="0"/>
            </w:tcBorders>
            <w:shd w:val="clear" w:color="auto" w:fill="C9D9EF"/>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第二十条第（五）项</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信息内容</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本年处理决定数量</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行政许可</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9</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gridSpan w:val="4"/>
            <w:tcBorders>
              <w:top w:val="nil"/>
              <w:left w:val="nil"/>
              <w:bottom w:val="single" w:color="000000" w:sz="4" w:space="0"/>
              <w:right w:val="single" w:color="000000" w:sz="4" w:space="0"/>
            </w:tcBorders>
            <w:shd w:val="clear" w:color="auto" w:fill="C9D9EF"/>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第二十条第（六）项</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信息内容</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本年处理决定数量</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行政处罚</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default" w:eastAsiaTheme="minorEastAsia"/>
                <w:b w:val="0"/>
                <w:bCs w:val="0"/>
                <w:sz w:val="14"/>
                <w:szCs w:val="14"/>
                <w:lang w:val="en-US" w:eastAsia="zh-CN"/>
              </w:rPr>
            </w:pPr>
            <w:r>
              <w:rPr>
                <w:rFonts w:hint="eastAsia"/>
                <w:b w:val="0"/>
                <w:bCs w:val="0"/>
                <w:sz w:val="14"/>
                <w:szCs w:val="14"/>
                <w:lang w:val="en-US" w:eastAsia="zh-CN"/>
              </w:rPr>
              <w:t>38</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行政强制</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1</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gridSpan w:val="4"/>
            <w:tcBorders>
              <w:top w:val="nil"/>
              <w:left w:val="nil"/>
              <w:bottom w:val="single" w:color="000000" w:sz="4" w:space="0"/>
              <w:right w:val="single" w:color="000000" w:sz="4" w:space="0"/>
            </w:tcBorders>
            <w:shd w:val="clear" w:color="auto" w:fill="C9D9EF"/>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第二十条第（八）项</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信息内容</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本年收费金额（单位：万元，保留4位小数）</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行政事业性收费</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b/>
          <w:bCs/>
          <w:sz w:val="16"/>
          <w:szCs w:val="16"/>
        </w:rPr>
      </w:pPr>
      <w:r>
        <w:rPr>
          <w:b/>
          <w:bCs/>
          <w:i w:val="0"/>
          <w:iCs w:val="0"/>
          <w:caps w:val="0"/>
          <w:color w:val="000000"/>
          <w:spacing w:val="0"/>
          <w:sz w:val="16"/>
          <w:szCs w:val="16"/>
        </w:rPr>
        <w:t>三、收到和处理政府信息公开申请情况</w:t>
      </w:r>
    </w:p>
    <w:tbl>
      <w:tblPr>
        <w:tblStyle w:val="5"/>
        <w:tblW w:w="8300" w:type="dxa"/>
        <w:tblInd w:w="0" w:type="dxa"/>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7"/>
        <w:gridCol w:w="769"/>
        <w:gridCol w:w="3168"/>
        <w:gridCol w:w="498"/>
        <w:gridCol w:w="498"/>
        <w:gridCol w:w="498"/>
        <w:gridCol w:w="498"/>
        <w:gridCol w:w="498"/>
        <w:gridCol w:w="498"/>
        <w:gridCol w:w="498"/>
      </w:tblGrid>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trPr>
        <w:tc>
          <w:tcPr>
            <w:tcW w:w="0" w:type="auto"/>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color w:val="000000"/>
                <w:sz w:val="14"/>
                <w:szCs w:val="14"/>
              </w:rPr>
            </w:pPr>
            <w:r>
              <w:rPr>
                <w:rFonts w:ascii="宋体" w:hAnsi="宋体" w:eastAsia="宋体" w:cs="宋体"/>
                <w:b w:val="0"/>
                <w:bCs w:val="0"/>
                <w:color w:val="000000"/>
                <w:kern w:val="0"/>
                <w:sz w:val="14"/>
                <w:szCs w:val="14"/>
                <w:lang w:val="en-US" w:eastAsia="zh-CN" w:bidi="ar"/>
              </w:rPr>
              <w:t>（本列数据的勾稽关系为：第一项加第二项之和，等于第三项加第四项之和）</w:t>
            </w:r>
          </w:p>
        </w:tc>
        <w:tc>
          <w:tcPr>
            <w:tcW w:w="0" w:type="auto"/>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申请人情况</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color w:val="000000"/>
                <w:sz w:val="14"/>
                <w:szCs w:val="14"/>
              </w:rPr>
            </w:pPr>
          </w:p>
        </w:tc>
        <w:tc>
          <w:tcPr>
            <w:tcW w:w="49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自然人</w:t>
            </w:r>
          </w:p>
        </w:tc>
        <w:tc>
          <w:tcPr>
            <w:tcW w:w="249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法人或其他组织</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总计</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0" w:type="auto"/>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color w:val="000000"/>
                <w:sz w:val="14"/>
                <w:szCs w:val="14"/>
              </w:rPr>
            </w:pPr>
          </w:p>
        </w:tc>
        <w:tc>
          <w:tcPr>
            <w:tcW w:w="49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商业企业</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科研机构</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社会公益组织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法律服务机构</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其他</w:t>
            </w: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一、本年新收政府信息公开申请数量</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default"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二、上年结转政府信息公开申请数量</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三、本年度办理结果</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（一）予以公开</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（二）部分公开（区分处理的，只计这一情形，不计其他情形）</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（三）不予公开</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1.属于国家秘密</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2.其他法律行政法规禁止公开</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3.危及“三安全一稳定”</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4.保护第三方合法权益</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5.属于三类内部事务信息</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6.属于四类过程性信息</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7.属于行政执法案卷</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8.属于行政查询事项</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（四）无法提供</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1.本机关不掌握相关政府信息</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2.没有现成信息需要另行制作</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3.补正后申请内容仍不明确</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（五）不予处理</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1.信访举报投诉类申请</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2.重复申请</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3.要求提供公开出版物</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4.无正当理由大量反复申请</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5.要求行政机关确认或重新出具已获取信息</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（六）其他处理</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1.申请人无正当理由逾期不补正、行政机关不再处理其政府信息公开申请</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2.申请人逾期未按收费通知要求缴纳费用、行政机关不再处理其政府信息公开申请</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3.其他</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（七）总计</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四、结转下年度继续办理</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b/>
          <w:bCs/>
          <w:sz w:val="16"/>
          <w:szCs w:val="16"/>
        </w:rPr>
      </w:pPr>
      <w:r>
        <w:rPr>
          <w:b/>
          <w:bCs/>
          <w:i w:val="0"/>
          <w:iCs w:val="0"/>
          <w:caps w:val="0"/>
          <w:color w:val="000000"/>
          <w:spacing w:val="0"/>
          <w:sz w:val="16"/>
          <w:szCs w:val="16"/>
        </w:rPr>
        <w:t>四、政府信息公开行政复议、行政诉讼情况</w:t>
      </w:r>
    </w:p>
    <w:tbl>
      <w:tblPr>
        <w:tblStyle w:val="5"/>
        <w:tblW w:w="8379" w:type="dxa"/>
        <w:tblInd w:w="0" w:type="dxa"/>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4"/>
        <w:gridCol w:w="620"/>
        <w:gridCol w:w="620"/>
        <w:gridCol w:w="620"/>
        <w:gridCol w:w="315"/>
        <w:gridCol w:w="620"/>
        <w:gridCol w:w="620"/>
        <w:gridCol w:w="620"/>
        <w:gridCol w:w="620"/>
        <w:gridCol w:w="315"/>
        <w:gridCol w:w="620"/>
        <w:gridCol w:w="620"/>
        <w:gridCol w:w="620"/>
        <w:gridCol w:w="620"/>
        <w:gridCol w:w="315"/>
      </w:tblGrid>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 w:hRule="atLeast"/>
        </w:trPr>
        <w:tc>
          <w:tcPr>
            <w:tcW w:w="0" w:type="auto"/>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行政复议</w:t>
            </w:r>
          </w:p>
        </w:tc>
        <w:tc>
          <w:tcPr>
            <w:tcW w:w="0" w:type="auto"/>
            <w:gridSpan w:val="10"/>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行政诉讼</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结果维持</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结果纠正</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其他结果</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尚未审结</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总计</w:t>
            </w:r>
          </w:p>
        </w:tc>
        <w:tc>
          <w:tcPr>
            <w:tcW w:w="0" w:type="auto"/>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未经复议直接起诉</w:t>
            </w:r>
          </w:p>
        </w:tc>
        <w:tc>
          <w:tcPr>
            <w:tcW w:w="0" w:type="auto"/>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复议后起诉</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b w:val="0"/>
                <w:bCs w:val="0"/>
                <w:sz w:val="14"/>
                <w:szCs w:val="14"/>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结果维持</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结果纠正</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其他结果</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尚未审结</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总计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结果维持</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结果纠正</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其他结果</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尚未审结</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b w:val="0"/>
                <w:bCs w:val="0"/>
                <w:sz w:val="14"/>
                <w:szCs w:val="14"/>
              </w:rPr>
            </w:pPr>
            <w:r>
              <w:rPr>
                <w:rFonts w:ascii="宋体" w:hAnsi="宋体" w:eastAsia="宋体" w:cs="宋体"/>
                <w:b w:val="0"/>
                <w:bCs w:val="0"/>
                <w:kern w:val="0"/>
                <w:sz w:val="14"/>
                <w:szCs w:val="14"/>
                <w:lang w:val="en-US" w:eastAsia="zh-CN" w:bidi="ar"/>
              </w:rPr>
              <w:t>总计</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rPr>
                <w:rFonts w:hint="eastAsia" w:eastAsiaTheme="minorEastAsia"/>
                <w:b w:val="0"/>
                <w:bCs w:val="0"/>
                <w:sz w:val="14"/>
                <w:szCs w:val="14"/>
                <w:lang w:val="en-US" w:eastAsia="zh-CN"/>
              </w:rPr>
            </w:pPr>
            <w:r>
              <w:rPr>
                <w:rFonts w:hint="eastAsia"/>
                <w:b w:val="0"/>
                <w:bCs w:val="0"/>
                <w:sz w:val="14"/>
                <w:szCs w:val="1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b/>
          <w:bCs/>
          <w:sz w:val="16"/>
          <w:szCs w:val="16"/>
        </w:rPr>
      </w:pPr>
      <w:r>
        <w:rPr>
          <w:b/>
          <w:bCs/>
          <w:i w:val="0"/>
          <w:iCs w:val="0"/>
          <w:caps w:val="0"/>
          <w:color w:val="000000"/>
          <w:spacing w:val="0"/>
          <w:sz w:val="16"/>
          <w:szCs w:val="16"/>
        </w:rPr>
        <w:t>五、存在的主要问题及改进情况</w:t>
      </w:r>
    </w:p>
    <w:p>
      <w:pPr>
        <w:rPr>
          <w:rFonts w:hint="eastAsia" w:ascii="仿宋_GB2312" w:hAnsi="仿宋_GB2312" w:eastAsia="仿宋_GB2312" w:cs="仿宋_GB2312"/>
          <w:sz w:val="30"/>
          <w:szCs w:val="30"/>
        </w:rPr>
      </w:pPr>
      <w:r>
        <w:rPr>
          <w:rFonts w:hint="eastAsia"/>
          <w:b/>
          <w:bCs/>
          <w:i w:val="0"/>
          <w:iCs w:val="0"/>
          <w:caps w:val="0"/>
          <w:color w:val="000000"/>
          <w:spacing w:val="0"/>
          <w:sz w:val="16"/>
          <w:szCs w:val="16"/>
        </w:rPr>
        <w:t xml:space="preserve">  </w:t>
      </w:r>
      <w:r>
        <w:rPr>
          <w:rFonts w:hint="eastAsia"/>
        </w:rPr>
        <w:t xml:space="preserve"> </w:t>
      </w:r>
      <w:r>
        <w:rPr>
          <w:rFonts w:hint="eastAsia"/>
          <w:lang w:val="en-US"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2021年我局政务公开工作虽然取得了一定成绩，但对照新时期政务公开工作面临的新形势、新任务、新要求和人民群众期盼，仍存在一些薄弱环节和问题：一是有些政务公开的内容有待充实完善；二是部分网上信息更新还不够及时。</w:t>
      </w:r>
    </w:p>
    <w:p>
      <w:pPr>
        <w:ind w:firstLine="600" w:firstLineChars="200"/>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针对上述问题，我局将进一步贯彻落实《条例》要求，继续大力推进政务公开工作，重点做好以下几个方面的工作：一是不断提升政府透明度和政务服务水平。进一步加强以企业和百姓视角推进政务公开，提高信息发布的系统化、精准化。在巩固政府决策、管理、服务公开的成效基础上，探索完善政府执行、结果公开形式；加快推进市政府网站和政府信息公开平台的提升改造，完善栏目设置，明确栏目维护责任，充分发挥政务公开主平台作用，改进提升政务公开工作质量和实效。二是坚持以《条例》促规范，持续推动政务公开标准化规范化建设。继续推进新《条例》颁布实施后的学习宣传和贯彻落实，拓展新《条例》的学习宣传范围，在巩固政务公开业务人员能力培训的基础上，加大工作人员的学习培训力度，增进基层企业群众了解，增强全社会公开意识和氛围。进一步加强新《条例》和现行工作制度的衔接，及时完善相关配套措施，明确公开责任主体，加强部门联动，合力推动政务公开工作有序规范开展。三是坚持突出重点，推动政务公开取得实效。把握好公开的力度和节奏，稳步有序拓展决策、执行、管理、服务、结果等“五公开”范围，细化公开内容。完善政策部署、精准解读措施，通过对客观数据、具体案例进行立体式、多方位文字解读、图文配套等方式，真正让群众看得到、能理解。对群众关切和社会热点，主动快速引导、释放权威信号、正面回应疑虑，推动解决实际问题，提升政务公开实效，赢得群众理解和支持。</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b/>
          <w:bCs/>
          <w:i w:val="0"/>
          <w:iCs w:val="0"/>
          <w:caps w:val="0"/>
          <w:color w:val="000000"/>
          <w:spacing w:val="0"/>
          <w:sz w:val="16"/>
          <w:szCs w:val="16"/>
        </w:rPr>
      </w:pPr>
      <w:r>
        <w:rPr>
          <w:b/>
          <w:bCs/>
          <w:i w:val="0"/>
          <w:iCs w:val="0"/>
          <w:caps w:val="0"/>
          <w:color w:val="000000"/>
          <w:spacing w:val="0"/>
          <w:sz w:val="16"/>
          <w:szCs w:val="16"/>
        </w:rPr>
        <w:t>其他需要报告的事项</w:t>
      </w:r>
    </w:p>
    <w:p>
      <w:pPr>
        <w:ind w:firstLine="420" w:firstLineChars="200"/>
        <w:rPr>
          <w:rFonts w:hint="eastAsia"/>
          <w:lang w:eastAsia="zh-CN"/>
        </w:rPr>
      </w:pPr>
      <w:r>
        <w:rPr>
          <w:rFonts w:hint="eastAsia"/>
          <w:lang w:eastAsia="zh-CN"/>
        </w:rPr>
        <w:t>无</w:t>
      </w:r>
    </w:p>
    <w:p>
      <w:pPr>
        <w:rPr>
          <w:rFonts w:hint="eastAsia"/>
          <w:b/>
          <w:bCs/>
          <w:sz w:val="18"/>
          <w:szCs w:val="18"/>
          <w:lang w:eastAsia="zh-CN"/>
        </w:rPr>
      </w:pPr>
      <w:r>
        <w:rPr>
          <w:rFonts w:hint="eastAsia"/>
          <w:b/>
          <w:bCs/>
          <w:sz w:val="18"/>
          <w:szCs w:val="18"/>
          <w:lang w:eastAsia="zh-CN"/>
        </w:rPr>
        <w:t>七、附件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C3893"/>
    <w:multiLevelType w:val="singleLevel"/>
    <w:tmpl w:val="EEAC38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208FA"/>
    <w:rsid w:val="71FD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2022-01-10T06:47:00Z</dcterms:created>
  <dc:creator>zl20191024</dc:creator>
  <cp:lastModifiedBy>zl20191024</cp:lastModifiedBy>
  <cp:lastPrinted>2022-01-10T06:54:00Z</cp:lastPrinted>
  <dcterms:modified xsi:type="dcterms:W3CDTF">2022-01-10T08:06:48Z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0C3DA5E6C1954F648168821CA05E02DA</vt:lpwstr>
  </property>
</Properties>
</file>