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1" w:lineRule="auto"/>
        <w:rPr>
          <w:rFonts w:ascii="Arial"/>
          <w:sz w:val="21"/>
        </w:rPr>
      </w:pPr>
      <w:bookmarkStart w:id="19" w:name="_GoBack"/>
      <w:bookmarkEnd w:id="19"/>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92" w:line="1000" w:lineRule="exact"/>
        <w:jc w:val="center"/>
        <w:textAlignment w:val="baseline"/>
        <w:rPr>
          <w:rFonts w:hint="eastAsia" w:ascii="黑体" w:hAnsi="黑体" w:eastAsia="黑体" w:cs="黑体"/>
          <w:sz w:val="68"/>
          <w:szCs w:val="68"/>
        </w:rPr>
      </w:pPr>
      <w:r>
        <w:rPr>
          <w:rFonts w:hint="eastAsia" w:ascii="黑体" w:hAnsi="黑体" w:eastAsia="黑体" w:cs="黑体"/>
          <w:spacing w:val="36"/>
          <w:sz w:val="68"/>
          <w:szCs w:val="68"/>
          <w:lang w:val="en-US" w:eastAsia="zh-CN"/>
        </w:rPr>
        <w:t>新县</w:t>
      </w:r>
      <w:r>
        <w:rPr>
          <w:rFonts w:hint="eastAsia" w:ascii="黑体" w:hAnsi="黑体" w:eastAsia="黑体" w:cs="黑体"/>
          <w:spacing w:val="36"/>
          <w:sz w:val="68"/>
          <w:szCs w:val="68"/>
        </w:rPr>
        <w:t>县域商业体系建设</w:t>
      </w:r>
    </w:p>
    <w:p>
      <w:pPr>
        <w:keepNext w:val="0"/>
        <w:keepLines w:val="0"/>
        <w:pageBreakBefore w:val="0"/>
        <w:widowControl/>
        <w:kinsoku w:val="0"/>
        <w:wordWrap/>
        <w:overflowPunct/>
        <w:topLinePunct w:val="0"/>
        <w:autoSpaceDE w:val="0"/>
        <w:autoSpaceDN w:val="0"/>
        <w:bidi w:val="0"/>
        <w:adjustRightInd w:val="0"/>
        <w:snapToGrid w:val="0"/>
        <w:spacing w:before="4" w:line="1000" w:lineRule="exact"/>
        <w:jc w:val="center"/>
        <w:textAlignment w:val="baseline"/>
        <w:rPr>
          <w:rFonts w:hint="eastAsia" w:ascii="黑体" w:hAnsi="黑体" w:eastAsia="黑体" w:cs="黑体"/>
          <w:sz w:val="68"/>
          <w:szCs w:val="68"/>
        </w:rPr>
      </w:pPr>
      <w:r>
        <w:rPr>
          <w:rFonts w:hint="eastAsia" w:ascii="黑体" w:hAnsi="黑体" w:eastAsia="黑体" w:cs="黑体"/>
          <w:spacing w:val="31"/>
          <w:sz w:val="68"/>
          <w:szCs w:val="68"/>
        </w:rPr>
        <w:t>管</w:t>
      </w:r>
      <w:r>
        <w:rPr>
          <w:rFonts w:hint="eastAsia" w:ascii="黑体" w:hAnsi="黑体" w:eastAsia="黑体" w:cs="黑体"/>
          <w:spacing w:val="30"/>
          <w:sz w:val="68"/>
          <w:szCs w:val="68"/>
        </w:rPr>
        <w:t>理办法汇编</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67" w:line="198" w:lineRule="auto"/>
        <w:ind w:left="2986"/>
        <w:rPr>
          <w:rFonts w:hint="eastAsia" w:ascii="黑体" w:hAnsi="黑体" w:eastAsia="黑体" w:cs="黑体"/>
          <w:sz w:val="39"/>
          <w:szCs w:val="39"/>
        </w:rPr>
      </w:pPr>
      <w:r>
        <w:rPr>
          <w:rFonts w:hint="eastAsia" w:ascii="宋体" w:hAnsi="宋体" w:eastAsia="宋体" w:cs="宋体"/>
          <w:b w:val="0"/>
          <w:bCs w:val="0"/>
          <w:snapToGrid/>
          <w:color w:val="000000"/>
          <w:spacing w:val="0"/>
          <w:w w:val="100"/>
          <w:kern w:val="0"/>
          <w:position w:val="0"/>
          <w:sz w:val="42"/>
          <w:szCs w:val="42"/>
          <w:u w:val="none"/>
          <w:shd w:val="clear" w:color="auto" w:fill="auto"/>
          <w:lang w:val="en-US" w:eastAsia="zh-CN" w:bidi="zh-TW"/>
        </w:rPr>
        <w:t>2022</w:t>
      </w:r>
      <w:r>
        <w:rPr>
          <w:rFonts w:hint="eastAsia" w:ascii="黑体" w:hAnsi="黑体" w:eastAsia="黑体" w:cs="黑体"/>
          <w:b w:val="0"/>
          <w:bCs w:val="0"/>
          <w:snapToGrid/>
          <w:color w:val="000000"/>
          <w:spacing w:val="0"/>
          <w:w w:val="100"/>
          <w:kern w:val="0"/>
          <w:position w:val="0"/>
          <w:sz w:val="42"/>
          <w:szCs w:val="42"/>
          <w:u w:val="none"/>
          <w:shd w:val="clear" w:color="auto" w:fill="auto"/>
          <w:lang w:val="en-US" w:eastAsia="zh-CN" w:bidi="zh-TW"/>
        </w:rPr>
        <w:t>年</w:t>
      </w:r>
      <w:r>
        <w:rPr>
          <w:rFonts w:hint="eastAsia" w:ascii="宋体" w:hAnsi="宋体" w:eastAsia="宋体" w:cs="宋体"/>
          <w:b w:val="0"/>
          <w:bCs w:val="0"/>
          <w:snapToGrid/>
          <w:color w:val="000000"/>
          <w:spacing w:val="0"/>
          <w:w w:val="100"/>
          <w:kern w:val="0"/>
          <w:position w:val="0"/>
          <w:sz w:val="42"/>
          <w:szCs w:val="42"/>
          <w:u w:val="none"/>
          <w:shd w:val="clear" w:color="auto" w:fill="auto"/>
          <w:lang w:val="en-US" w:eastAsia="zh-CN" w:bidi="zh-TW"/>
        </w:rPr>
        <w:t>12</w:t>
      </w:r>
      <w:r>
        <w:rPr>
          <w:rFonts w:hint="eastAsia" w:ascii="黑体" w:hAnsi="黑体" w:eastAsia="黑体" w:cs="黑体"/>
          <w:b w:val="0"/>
          <w:bCs w:val="0"/>
          <w:snapToGrid/>
          <w:color w:val="000000"/>
          <w:spacing w:val="0"/>
          <w:w w:val="100"/>
          <w:kern w:val="0"/>
          <w:position w:val="0"/>
          <w:sz w:val="42"/>
          <w:szCs w:val="42"/>
          <w:u w:val="none"/>
          <w:shd w:val="clear" w:color="auto" w:fill="auto"/>
          <w:lang w:val="en-US" w:eastAsia="zh-CN" w:bidi="zh-TW"/>
        </w:rPr>
        <w:t>月</w:t>
      </w:r>
    </w:p>
    <w:p>
      <w:pPr>
        <w:sectPr>
          <w:footerReference r:id="rId5" w:type="default"/>
          <w:pgSz w:w="11906" w:h="16838"/>
          <w:pgMar w:top="1431" w:right="1785" w:bottom="1760" w:left="1785" w:header="0" w:footer="1431" w:gutter="0"/>
          <w:pgNumType w:fmt="numberInDash"/>
          <w:cols w:space="720" w:num="1"/>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方正小标宋简体" w:hAnsi="方正小标宋简体" w:eastAsia="方正小标宋简体" w:cs="方正小标宋简体"/>
          <w:sz w:val="44"/>
          <w:szCs w:val="44"/>
          <w:lang w:val="en-US" w:eastAsia="zh-CN"/>
        </w:rPr>
      </w:pPr>
    </w:p>
    <w:p>
      <w:pPr>
        <w:pStyle w:val="8"/>
        <w:keepNext w:val="0"/>
        <w:keepLines w:val="0"/>
        <w:widowControl w:val="0"/>
        <w:numPr>
          <w:ilvl w:val="0"/>
          <w:numId w:val="0"/>
        </w:numPr>
        <w:shd w:val="clear" w:color="auto" w:fill="auto"/>
        <w:tabs>
          <w:tab w:val="left" w:pos="397"/>
        </w:tabs>
        <w:bidi w:val="0"/>
        <w:spacing w:before="0" w:line="240" w:lineRule="auto"/>
        <w:ind w:leftChars="0" w:right="0" w:rightChars="0" w:firstLine="600" w:firstLineChars="200"/>
        <w:jc w:val="left"/>
      </w:pPr>
      <w:r>
        <w:rPr>
          <w:rFonts w:hint="eastAsia"/>
          <w:color w:val="000000"/>
          <w:spacing w:val="0"/>
          <w:w w:val="100"/>
          <w:position w:val="0"/>
          <w:lang w:val="en-US" w:eastAsia="zh-CN"/>
        </w:rPr>
        <w:t>1.新县</w:t>
      </w:r>
      <w:r>
        <w:rPr>
          <w:color w:val="000000"/>
          <w:spacing w:val="0"/>
          <w:w w:val="100"/>
          <w:position w:val="0"/>
        </w:rPr>
        <w:t>县域商业体系建设专项资金管理</w:t>
      </w:r>
      <w:r>
        <w:rPr>
          <w:rFonts w:hint="eastAsia"/>
          <w:color w:val="000000"/>
          <w:spacing w:val="0"/>
          <w:w w:val="100"/>
          <w:position w:val="0"/>
          <w:lang w:val="en-US" w:eastAsia="zh-CN"/>
        </w:rPr>
        <w:t>细则</w:t>
      </w:r>
      <w:r>
        <w:rPr>
          <w:color w:val="000000"/>
          <w:spacing w:val="0"/>
          <w:w w:val="100"/>
          <w:position w:val="0"/>
        </w:rPr>
        <w:t>（试行）</w:t>
      </w:r>
    </w:p>
    <w:p>
      <w:pPr>
        <w:pStyle w:val="9"/>
        <w:keepNext/>
        <w:keepLines/>
        <w:widowControl w:val="0"/>
        <w:shd w:val="clear" w:color="auto" w:fill="auto"/>
        <w:tabs>
          <w:tab w:val="left" w:leader="dot" w:pos="7611"/>
        </w:tabs>
        <w:bidi w:val="0"/>
        <w:spacing w:before="0" w:line="240" w:lineRule="auto"/>
        <w:ind w:left="0" w:right="0" w:firstLine="899" w:firstLineChars="351"/>
        <w:jc w:val="left"/>
        <w:rPr>
          <w:rFonts w:hint="default"/>
          <w:lang w:val="en-US"/>
        </w:rPr>
      </w:pPr>
      <w:bookmarkStart w:id="0" w:name="bookmark11"/>
      <w:bookmarkStart w:id="1" w:name="bookmark10"/>
      <w:bookmarkStart w:id="2" w:name="bookmark12"/>
      <w:r>
        <w:rPr>
          <w:rFonts w:ascii="Times New Roman" w:hAnsi="Times New Roman" w:eastAsia="Times New Roman" w:cs="Times New Roman"/>
          <w:color w:val="000000"/>
          <w:spacing w:val="0"/>
          <w:position w:val="0"/>
          <w:lang w:val="en-US" w:eastAsia="en-US" w:bidi="en-US"/>
        </w:rPr>
        <w:tab/>
      </w:r>
      <w:r>
        <w:rPr>
          <w:rFonts w:hint="eastAsia" w:eastAsia="宋体" w:cs="Times New Roman"/>
          <w:color w:val="000000"/>
          <w:spacing w:val="0"/>
          <w:position w:val="0"/>
          <w:lang w:val="en-US" w:eastAsia="zh-CN" w:bidi="en-US"/>
        </w:rPr>
        <w:t>....</w:t>
      </w:r>
      <w:bookmarkEnd w:id="0"/>
      <w:bookmarkEnd w:id="1"/>
      <w:bookmarkEnd w:id="2"/>
      <w:r>
        <w:rPr>
          <w:rFonts w:hint="eastAsia" w:ascii="仿宋" w:hAnsi="仿宋" w:eastAsia="仿宋" w:cs="仿宋"/>
          <w:b w:val="0"/>
          <w:bCs w:val="0"/>
          <w:color w:val="000000"/>
          <w:spacing w:val="0"/>
          <w:position w:val="0"/>
          <w:lang w:val="en-US" w:eastAsia="zh-CN"/>
        </w:rPr>
        <w:t>3</w:t>
      </w:r>
    </w:p>
    <w:p>
      <w:pPr>
        <w:pStyle w:val="8"/>
        <w:keepNext w:val="0"/>
        <w:keepLines w:val="0"/>
        <w:widowControl w:val="0"/>
        <w:numPr>
          <w:ilvl w:val="0"/>
          <w:numId w:val="0"/>
        </w:numPr>
        <w:shd w:val="clear" w:color="auto" w:fill="auto"/>
        <w:tabs>
          <w:tab w:val="left" w:pos="397"/>
        </w:tabs>
        <w:bidi w:val="0"/>
        <w:spacing w:before="0" w:line="240" w:lineRule="auto"/>
        <w:ind w:leftChars="0" w:right="0" w:rightChars="0" w:firstLine="600" w:firstLineChars="200"/>
        <w:jc w:val="left"/>
      </w:pPr>
      <w:bookmarkStart w:id="3" w:name="bookmark13"/>
      <w:bookmarkEnd w:id="3"/>
      <w:r>
        <w:rPr>
          <w:rFonts w:hint="eastAsia"/>
          <w:color w:val="000000"/>
          <w:spacing w:val="0"/>
          <w:w w:val="100"/>
          <w:position w:val="0"/>
          <w:lang w:val="en-US" w:eastAsia="zh-CN"/>
        </w:rPr>
        <w:t>2.新县</w:t>
      </w:r>
      <w:r>
        <w:rPr>
          <w:color w:val="000000"/>
          <w:spacing w:val="0"/>
          <w:w w:val="100"/>
          <w:position w:val="0"/>
        </w:rPr>
        <w:t>县域商业体系建设项目管理办法（试行）</w:t>
      </w:r>
    </w:p>
    <w:p>
      <w:pPr>
        <w:pStyle w:val="9"/>
        <w:keepNext/>
        <w:keepLines/>
        <w:widowControl w:val="0"/>
        <w:shd w:val="clear" w:color="auto" w:fill="auto"/>
        <w:tabs>
          <w:tab w:val="right" w:leader="dot" w:pos="8073"/>
        </w:tabs>
        <w:bidi w:val="0"/>
        <w:spacing w:before="0" w:line="240" w:lineRule="auto"/>
        <w:ind w:left="0" w:right="0" w:firstLine="899" w:firstLineChars="351"/>
        <w:jc w:val="left"/>
        <w:rPr>
          <w:rFonts w:hint="eastAsia" w:eastAsia="宋体"/>
          <w:lang w:val="en-US" w:eastAsia="zh-CN"/>
        </w:rPr>
      </w:pPr>
      <w:bookmarkStart w:id="4" w:name="bookmark16"/>
      <w:bookmarkStart w:id="5" w:name="bookmark14"/>
      <w:bookmarkStart w:id="6" w:name="bookmark15"/>
      <w:r>
        <w:rPr>
          <w:rFonts w:ascii="Times New Roman" w:hAnsi="Times New Roman" w:eastAsia="Times New Roman" w:cs="Times New Roman"/>
          <w:color w:val="000000"/>
          <w:spacing w:val="0"/>
          <w:position w:val="0"/>
          <w:lang w:val="en-US" w:eastAsia="en-US" w:bidi="en-US"/>
        </w:rPr>
        <w:tab/>
      </w:r>
      <w:bookmarkEnd w:id="4"/>
      <w:bookmarkEnd w:id="5"/>
      <w:bookmarkEnd w:id="6"/>
      <w:r>
        <w:rPr>
          <w:rFonts w:hint="eastAsia" w:ascii="仿宋" w:hAnsi="仿宋" w:eastAsia="仿宋" w:cs="仿宋"/>
          <w:b w:val="0"/>
          <w:bCs w:val="0"/>
          <w:color w:val="000000"/>
          <w:spacing w:val="0"/>
          <w:position w:val="0"/>
          <w:lang w:val="en-US" w:eastAsia="zh-CN"/>
        </w:rPr>
        <w:t>7</w:t>
      </w:r>
    </w:p>
    <w:p>
      <w:pPr>
        <w:pStyle w:val="8"/>
        <w:keepNext w:val="0"/>
        <w:keepLines w:val="0"/>
        <w:widowControl w:val="0"/>
        <w:numPr>
          <w:ilvl w:val="0"/>
          <w:numId w:val="0"/>
        </w:numPr>
        <w:shd w:val="clear" w:color="auto" w:fill="auto"/>
        <w:tabs>
          <w:tab w:val="left" w:pos="397"/>
        </w:tabs>
        <w:bidi w:val="0"/>
        <w:spacing w:before="0" w:line="240" w:lineRule="auto"/>
        <w:ind w:leftChars="0" w:right="0" w:rightChars="0" w:firstLine="600" w:firstLineChars="200"/>
        <w:jc w:val="left"/>
      </w:pPr>
      <w:bookmarkStart w:id="7" w:name="bookmark17"/>
      <w:bookmarkEnd w:id="7"/>
      <w:r>
        <w:rPr>
          <w:rFonts w:hint="eastAsia"/>
          <w:color w:val="000000"/>
          <w:spacing w:val="0"/>
          <w:w w:val="100"/>
          <w:position w:val="0"/>
          <w:lang w:val="en-US" w:eastAsia="zh-CN"/>
        </w:rPr>
        <w:t>3.新县</w:t>
      </w:r>
      <w:r>
        <w:rPr>
          <w:color w:val="000000"/>
          <w:spacing w:val="0"/>
          <w:w w:val="100"/>
          <w:position w:val="0"/>
        </w:rPr>
        <w:t>县域商业体系建设日常监督管理办法（试行）</w:t>
      </w:r>
    </w:p>
    <w:p>
      <w:pPr>
        <w:pStyle w:val="9"/>
        <w:keepNext/>
        <w:keepLines/>
        <w:widowControl w:val="0"/>
        <w:shd w:val="clear" w:color="auto" w:fill="auto"/>
        <w:tabs>
          <w:tab w:val="right" w:leader="dot" w:pos="8073"/>
        </w:tabs>
        <w:bidi w:val="0"/>
        <w:spacing w:before="0" w:line="240" w:lineRule="auto"/>
        <w:ind w:left="0" w:right="0" w:firstLine="899" w:firstLineChars="351"/>
        <w:jc w:val="left"/>
        <w:rPr>
          <w:rFonts w:hint="default" w:eastAsia="宋体"/>
          <w:lang w:val="en-US" w:eastAsia="zh-CN"/>
        </w:rPr>
      </w:pPr>
      <w:bookmarkStart w:id="8" w:name="bookmark19"/>
      <w:bookmarkStart w:id="9" w:name="bookmark18"/>
      <w:bookmarkStart w:id="10" w:name="bookmark20"/>
      <w:r>
        <w:rPr>
          <w:rFonts w:ascii="Times New Roman" w:hAnsi="Times New Roman" w:eastAsia="Times New Roman" w:cs="Times New Roman"/>
          <w:color w:val="000000"/>
          <w:spacing w:val="0"/>
          <w:position w:val="0"/>
          <w:lang w:val="en-US" w:eastAsia="en-US" w:bidi="en-US"/>
        </w:rPr>
        <w:tab/>
      </w:r>
      <w:bookmarkEnd w:id="8"/>
      <w:bookmarkEnd w:id="9"/>
      <w:bookmarkEnd w:id="10"/>
      <w:r>
        <w:rPr>
          <w:rFonts w:hint="eastAsia" w:ascii="仿宋" w:hAnsi="仿宋" w:eastAsia="仿宋" w:cs="仿宋"/>
          <w:b w:val="0"/>
          <w:bCs w:val="0"/>
          <w:color w:val="000000"/>
          <w:spacing w:val="0"/>
          <w:position w:val="0"/>
          <w:lang w:val="en-US" w:eastAsia="zh-CN"/>
        </w:rPr>
        <w:t>11</w:t>
      </w:r>
    </w:p>
    <w:p>
      <w:pPr>
        <w:pStyle w:val="8"/>
        <w:keepNext w:val="0"/>
        <w:keepLines w:val="0"/>
        <w:widowControl w:val="0"/>
        <w:numPr>
          <w:ilvl w:val="0"/>
          <w:numId w:val="0"/>
        </w:numPr>
        <w:shd w:val="clear" w:color="auto" w:fill="auto"/>
        <w:tabs>
          <w:tab w:val="left" w:pos="411"/>
        </w:tabs>
        <w:bidi w:val="0"/>
        <w:spacing w:before="0" w:line="240" w:lineRule="auto"/>
        <w:ind w:leftChars="0" w:right="0" w:rightChars="0" w:firstLine="600" w:firstLineChars="200"/>
        <w:jc w:val="left"/>
      </w:pPr>
      <w:bookmarkStart w:id="11" w:name="bookmark21"/>
      <w:bookmarkEnd w:id="11"/>
      <w:r>
        <w:rPr>
          <w:rFonts w:hint="eastAsia"/>
          <w:color w:val="000000"/>
          <w:spacing w:val="0"/>
          <w:w w:val="100"/>
          <w:position w:val="0"/>
          <w:lang w:val="en-US" w:eastAsia="zh-CN"/>
        </w:rPr>
        <w:t>4.新县</w:t>
      </w:r>
      <w:r>
        <w:rPr>
          <w:color w:val="000000"/>
          <w:spacing w:val="0"/>
          <w:w w:val="100"/>
          <w:position w:val="0"/>
        </w:rPr>
        <w:t>县域商业体系建设类型划分标准（试行）</w:t>
      </w:r>
    </w:p>
    <w:p>
      <w:pPr>
        <w:pStyle w:val="9"/>
        <w:keepNext/>
        <w:keepLines/>
        <w:widowControl w:val="0"/>
        <w:shd w:val="clear" w:color="auto" w:fill="auto"/>
        <w:tabs>
          <w:tab w:val="right" w:leader="dot" w:pos="8073"/>
        </w:tabs>
        <w:bidi w:val="0"/>
        <w:spacing w:before="0" w:line="240" w:lineRule="auto"/>
        <w:ind w:left="0" w:right="0" w:firstLine="899" w:firstLineChars="351"/>
        <w:jc w:val="left"/>
        <w:rPr>
          <w:rFonts w:hint="eastAsia" w:eastAsia="仿宋"/>
          <w:lang w:val="en-US" w:eastAsia="zh-CN"/>
        </w:rPr>
      </w:pPr>
      <w:bookmarkStart w:id="12" w:name="bookmark24"/>
      <w:bookmarkStart w:id="13" w:name="bookmark22"/>
      <w:bookmarkStart w:id="14" w:name="bookmark23"/>
      <w:r>
        <w:rPr>
          <w:rFonts w:ascii="Times New Roman" w:hAnsi="Times New Roman" w:eastAsia="Times New Roman" w:cs="Times New Roman"/>
          <w:color w:val="000000"/>
          <w:spacing w:val="0"/>
          <w:position w:val="0"/>
          <w:lang w:val="en-US" w:eastAsia="en-US" w:bidi="en-US"/>
        </w:rPr>
        <w:tab/>
      </w:r>
      <w:r>
        <w:rPr>
          <w:rFonts w:hint="eastAsia" w:ascii="仿宋" w:hAnsi="仿宋" w:eastAsia="仿宋" w:cs="仿宋"/>
          <w:b w:val="0"/>
          <w:bCs w:val="0"/>
          <w:color w:val="000000"/>
          <w:spacing w:val="0"/>
          <w:position w:val="0"/>
        </w:rPr>
        <w:t>1</w:t>
      </w:r>
      <w:bookmarkEnd w:id="12"/>
      <w:bookmarkEnd w:id="13"/>
      <w:bookmarkEnd w:id="14"/>
      <w:r>
        <w:rPr>
          <w:rFonts w:hint="eastAsia" w:ascii="仿宋" w:hAnsi="仿宋" w:eastAsia="仿宋" w:cs="仿宋"/>
          <w:b w:val="0"/>
          <w:bCs w:val="0"/>
          <w:color w:val="000000"/>
          <w:spacing w:val="0"/>
          <w:position w:val="0"/>
          <w:lang w:val="en-US" w:eastAsia="zh-CN"/>
        </w:rPr>
        <w:t>4</w:t>
      </w:r>
    </w:p>
    <w:p>
      <w:pPr>
        <w:pStyle w:val="8"/>
        <w:keepNext w:val="0"/>
        <w:keepLines w:val="0"/>
        <w:widowControl w:val="0"/>
        <w:numPr>
          <w:ilvl w:val="0"/>
          <w:numId w:val="0"/>
        </w:numPr>
        <w:shd w:val="clear" w:color="auto" w:fill="auto"/>
        <w:tabs>
          <w:tab w:val="left" w:pos="411"/>
        </w:tabs>
        <w:bidi w:val="0"/>
        <w:spacing w:before="0" w:line="240" w:lineRule="auto"/>
        <w:ind w:leftChars="0" w:right="0" w:rightChars="0" w:firstLine="600" w:firstLineChars="200"/>
        <w:jc w:val="left"/>
      </w:pPr>
      <w:bookmarkStart w:id="15" w:name="bookmark25"/>
      <w:bookmarkEnd w:id="15"/>
      <w:r>
        <w:rPr>
          <w:rFonts w:hint="eastAsia"/>
          <w:color w:val="000000"/>
          <w:spacing w:val="0"/>
          <w:w w:val="100"/>
          <w:position w:val="0"/>
          <w:lang w:val="en-US" w:eastAsia="zh-CN"/>
        </w:rPr>
        <w:t>5.新县</w:t>
      </w:r>
      <w:r>
        <w:rPr>
          <w:color w:val="000000"/>
          <w:spacing w:val="0"/>
          <w:w w:val="100"/>
          <w:position w:val="0"/>
        </w:rPr>
        <w:t>县域商业体系建设年度分解目标任务</w:t>
      </w:r>
    </w:p>
    <w:p>
      <w:pPr>
        <w:pStyle w:val="9"/>
        <w:keepNext/>
        <w:keepLines/>
        <w:widowControl w:val="0"/>
        <w:shd w:val="clear" w:color="auto" w:fill="auto"/>
        <w:tabs>
          <w:tab w:val="right" w:leader="dot" w:pos="8073"/>
        </w:tabs>
        <w:bidi w:val="0"/>
        <w:spacing w:before="0" w:line="240" w:lineRule="auto"/>
        <w:ind w:left="0" w:right="0" w:firstLine="899" w:firstLineChars="351"/>
        <w:jc w:val="left"/>
        <w:rPr>
          <w:rFonts w:hint="default" w:eastAsia="宋体"/>
          <w:b w:val="0"/>
          <w:bCs w:val="0"/>
          <w:lang w:val="en-US" w:eastAsia="zh-CN"/>
        </w:rPr>
      </w:pPr>
      <w:bookmarkStart w:id="16" w:name="bookmark28"/>
      <w:bookmarkStart w:id="17" w:name="bookmark27"/>
      <w:bookmarkStart w:id="18" w:name="bookmark26"/>
      <w:r>
        <w:rPr>
          <w:rFonts w:ascii="Times New Roman" w:hAnsi="Times New Roman" w:eastAsia="Times New Roman" w:cs="Times New Roman"/>
          <w:color w:val="000000"/>
          <w:spacing w:val="0"/>
          <w:position w:val="0"/>
          <w:lang w:val="en-US" w:eastAsia="en-US" w:bidi="en-US"/>
        </w:rPr>
        <w:tab/>
      </w:r>
      <w:bookmarkEnd w:id="16"/>
      <w:bookmarkEnd w:id="17"/>
      <w:bookmarkEnd w:id="18"/>
      <w:r>
        <w:rPr>
          <w:rFonts w:hint="eastAsia" w:ascii="仿宋" w:hAnsi="仿宋" w:eastAsia="仿宋" w:cs="仿宋"/>
          <w:b w:val="0"/>
          <w:bCs w:val="0"/>
          <w:color w:val="000000"/>
          <w:spacing w:val="0"/>
          <w:position w:val="0"/>
          <w:lang w:val="en-US" w:eastAsia="zh-CN"/>
        </w:rPr>
        <w:t>18</w:t>
      </w:r>
    </w:p>
    <w:p>
      <w:pPr>
        <w:spacing w:line="269" w:lineRule="auto"/>
        <w:rPr>
          <w:rFonts w:ascii="Arial"/>
          <w:sz w:val="21"/>
        </w:rPr>
      </w:pPr>
    </w:p>
    <w:p>
      <w:pPr>
        <w:spacing w:line="269" w:lineRule="auto"/>
        <w:rPr>
          <w:rFonts w:ascii="Arial"/>
          <w:sz w:val="21"/>
        </w:rPr>
      </w:pPr>
    </w:p>
    <w:p>
      <w:pPr>
        <w:sectPr>
          <w:footerReference r:id="rId6" w:type="default"/>
          <w:pgSz w:w="11906" w:h="16838"/>
          <w:pgMar w:top="1431" w:right="1553" w:bottom="1763" w:left="1549" w:header="0" w:footer="1428" w:gutter="0"/>
          <w:pgNumType w:fmt="numberInDash"/>
          <w:cols w:space="720" w:num="1"/>
        </w:sect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167" w:line="214"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6"/>
          <w:sz w:val="44"/>
          <w:szCs w:val="44"/>
          <w:lang w:val="en-US" w:eastAsia="zh-CN"/>
        </w:rPr>
        <w:t>新县</w:t>
      </w:r>
      <w:r>
        <w:rPr>
          <w:rFonts w:hint="eastAsia" w:ascii="方正小标宋简体" w:hAnsi="方正小标宋简体" w:eastAsia="方正小标宋简体" w:cs="方正小标宋简体"/>
          <w:spacing w:val="26"/>
          <w:sz w:val="44"/>
          <w:szCs w:val="44"/>
        </w:rPr>
        <w:t>县域商业体系建设</w:t>
      </w:r>
    </w:p>
    <w:p>
      <w:pPr>
        <w:spacing w:before="84" w:line="213"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8"/>
          <w:sz w:val="44"/>
          <w:szCs w:val="44"/>
        </w:rPr>
        <w:t>专</w:t>
      </w:r>
      <w:r>
        <w:rPr>
          <w:rFonts w:hint="eastAsia" w:ascii="方正小标宋简体" w:hAnsi="方正小标宋简体" w:eastAsia="方正小标宋简体" w:cs="方正小标宋简体"/>
          <w:spacing w:val="25"/>
          <w:sz w:val="44"/>
          <w:szCs w:val="44"/>
        </w:rPr>
        <w:t>项资金管理细则</w:t>
      </w:r>
    </w:p>
    <w:p>
      <w:pPr>
        <w:spacing w:before="266" w:line="195" w:lineRule="auto"/>
        <w:jc w:val="center"/>
        <w:rPr>
          <w:rFonts w:ascii="微软雅黑" w:hAnsi="微软雅黑" w:eastAsia="微软雅黑" w:cs="微软雅黑"/>
          <w:sz w:val="29"/>
          <w:szCs w:val="29"/>
        </w:rPr>
      </w:pPr>
      <w:r>
        <w:rPr>
          <w:rFonts w:hint="eastAsia" w:ascii="楷体" w:hAnsi="楷体" w:eastAsia="楷体" w:cs="楷体"/>
          <w:spacing w:val="12"/>
          <w:sz w:val="29"/>
          <w:szCs w:val="29"/>
        </w:rPr>
        <w:t>(试       行)</w:t>
      </w:r>
    </w:p>
    <w:p>
      <w:pPr>
        <w:spacing w:line="326" w:lineRule="auto"/>
        <w:rPr>
          <w:rFonts w:ascii="Arial"/>
          <w:sz w:val="21"/>
        </w:rPr>
      </w:pPr>
    </w:p>
    <w:p>
      <w:pPr>
        <w:spacing w:before="94" w:line="209" w:lineRule="auto"/>
        <w:jc w:val="center"/>
        <w:rPr>
          <w:rFonts w:ascii="黑体" w:hAnsi="黑体" w:eastAsia="黑体" w:cs="黑体"/>
          <w:sz w:val="32"/>
          <w:szCs w:val="32"/>
        </w:rPr>
      </w:pPr>
      <w:r>
        <w:rPr>
          <w:rFonts w:ascii="黑体" w:hAnsi="黑体" w:eastAsia="黑体" w:cs="黑体"/>
          <w:spacing w:val="16"/>
          <w:sz w:val="32"/>
          <w:szCs w:val="32"/>
        </w:rPr>
        <w:t>第</w:t>
      </w:r>
      <w:r>
        <w:rPr>
          <w:rFonts w:ascii="黑体" w:hAnsi="黑体" w:eastAsia="黑体" w:cs="黑体"/>
          <w:spacing w:val="15"/>
          <w:sz w:val="32"/>
          <w:szCs w:val="32"/>
        </w:rPr>
        <w:t>一章  总    则</w:t>
      </w:r>
    </w:p>
    <w:p>
      <w:pPr>
        <w:spacing w:line="27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0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zh-TW" w:eastAsia="zh-TW" w:bidi="zh-TW"/>
        </w:rPr>
      </w:pPr>
      <w:r>
        <w:rPr>
          <w:rFonts w:hint="eastAsia" w:ascii="黑体" w:hAnsi="黑体" w:eastAsia="黑体" w:cs="黑体"/>
          <w:color w:val="000000"/>
          <w:spacing w:val="0"/>
          <w:w w:val="100"/>
          <w:kern w:val="0"/>
          <w:position w:val="0"/>
          <w:sz w:val="30"/>
          <w:szCs w:val="30"/>
          <w:u w:val="none"/>
          <w:shd w:val="clear" w:color="auto" w:fill="auto"/>
          <w:lang w:val="zh-TW" w:eastAsia="zh-TW" w:bidi="zh-TW"/>
        </w:rPr>
        <w:t>第一条</w:t>
      </w:r>
      <w:r>
        <w:rPr>
          <w:rFonts w:hint="eastAsia" w:ascii="黑体" w:hAnsi="黑体" w:eastAsia="黑体" w:cs="黑体"/>
          <w:color w:val="000000"/>
          <w:spacing w:val="0"/>
          <w:w w:val="100"/>
          <w:kern w:val="0"/>
          <w:position w:val="0"/>
          <w:sz w:val="30"/>
          <w:szCs w:val="30"/>
          <w:u w:val="none"/>
          <w:shd w:val="clear" w:color="auto" w:fill="auto"/>
          <w:lang w:val="en-US" w:eastAsia="zh-CN" w:bidi="zh-TW"/>
        </w:rPr>
        <w:t xml:space="preserve">  </w:t>
      </w:r>
      <w:r>
        <w:rPr>
          <w:rFonts w:hint="eastAsia" w:ascii="仿宋" w:hAnsi="仿宋" w:eastAsia="仿宋" w:cs="仿宋"/>
          <w:color w:val="000000"/>
          <w:spacing w:val="0"/>
          <w:w w:val="100"/>
          <w:kern w:val="0"/>
          <w:position w:val="0"/>
          <w:sz w:val="32"/>
          <w:szCs w:val="32"/>
          <w:u w:val="none"/>
          <w:shd w:val="clear" w:color="auto" w:fill="auto"/>
          <w:lang w:val="zh-TW" w:eastAsia="zh-TW" w:bidi="zh-TW"/>
        </w:rPr>
        <w:t>为进一步规范我</w:t>
      </w:r>
      <w:r>
        <w:rPr>
          <w:rFonts w:hint="eastAsia" w:ascii="仿宋" w:hAnsi="仿宋" w:eastAsia="仿宋" w:cs="仿宋"/>
          <w:color w:val="000000"/>
          <w:spacing w:val="0"/>
          <w:w w:val="100"/>
          <w:kern w:val="0"/>
          <w:position w:val="0"/>
          <w:sz w:val="32"/>
          <w:szCs w:val="32"/>
          <w:u w:val="none"/>
          <w:shd w:val="clear" w:color="auto" w:fill="auto"/>
          <w:lang w:val="en-US" w:eastAsia="zh-CN" w:bidi="zh-TW"/>
        </w:rPr>
        <w:t>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县域商业体系建设专项资金使用</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提高资金使用效益</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根据财政部办公厅</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 xml:space="preserve">商务部办公厅和国家乡村振兴局综合司《关于支持实施县域商业体系建设行动的通知》(财办建〔2022〕18号) </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财政部《关于印发&lt;服务业发展资金管理办法&gt; 的通知》(财建〔2019〕50号)和《河南省省级服务业发展专项资金管理办法》(豫财贸〔2020〕121号) 等有关规定,结合我</w:t>
      </w:r>
      <w:r>
        <w:rPr>
          <w:rFonts w:hint="eastAsia" w:ascii="仿宋" w:hAnsi="仿宋" w:eastAsia="仿宋" w:cs="仿宋"/>
          <w:color w:val="000000"/>
          <w:spacing w:val="0"/>
          <w:w w:val="100"/>
          <w:kern w:val="0"/>
          <w:position w:val="0"/>
          <w:sz w:val="32"/>
          <w:szCs w:val="32"/>
          <w:u w:val="none"/>
          <w:shd w:val="clear" w:color="auto" w:fill="auto"/>
          <w:lang w:val="en-US" w:eastAsia="zh-CN" w:bidi="zh-TW"/>
        </w:rPr>
        <w:t>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实际情况,制订本细则。</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00" w:firstLineChars="200"/>
        <w:textAlignment w:val="baseline"/>
        <w:rPr>
          <w:rFonts w:hint="eastAsia" w:ascii="仿宋" w:hAnsi="仿宋" w:eastAsia="仿宋" w:cs="仿宋"/>
          <w:color w:val="000000"/>
          <w:spacing w:val="0"/>
          <w:w w:val="100"/>
          <w:kern w:val="0"/>
          <w:position w:val="0"/>
          <w:sz w:val="30"/>
          <w:szCs w:val="30"/>
          <w:u w:val="none"/>
          <w:shd w:val="clear" w:color="auto" w:fill="auto"/>
          <w:lang w:val="zh-TW" w:eastAsia="zh-TW" w:bidi="zh-TW"/>
        </w:rPr>
      </w:pPr>
      <w:r>
        <w:rPr>
          <w:rFonts w:hint="eastAsia" w:ascii="黑体" w:hAnsi="黑体" w:eastAsia="黑体" w:cs="黑体"/>
          <w:color w:val="000000"/>
          <w:spacing w:val="0"/>
          <w:w w:val="100"/>
          <w:kern w:val="0"/>
          <w:position w:val="0"/>
          <w:sz w:val="30"/>
          <w:szCs w:val="30"/>
          <w:u w:val="none"/>
          <w:shd w:val="clear" w:color="auto" w:fill="auto"/>
          <w:lang w:val="zh-TW" w:eastAsia="zh-TW" w:bidi="zh-TW"/>
        </w:rPr>
        <w:t>第二条</w:t>
      </w:r>
      <w:r>
        <w:rPr>
          <w:rFonts w:hint="eastAsia" w:ascii="仿宋" w:hAnsi="仿宋" w:eastAsia="仿宋" w:cs="仿宋"/>
          <w:color w:val="000000"/>
          <w:spacing w:val="0"/>
          <w:w w:val="100"/>
          <w:kern w:val="0"/>
          <w:position w:val="0"/>
          <w:sz w:val="30"/>
          <w:szCs w:val="30"/>
          <w:u w:val="none"/>
          <w:shd w:val="clear" w:color="auto" w:fill="auto"/>
          <w:lang w:val="en-US" w:eastAsia="zh-CN" w:bidi="zh-TW"/>
        </w:rPr>
        <w:t xml:space="preserve">  </w:t>
      </w:r>
      <w:r>
        <w:rPr>
          <w:rFonts w:hint="eastAsia" w:ascii="仿宋" w:hAnsi="仿宋" w:eastAsia="仿宋" w:cs="仿宋"/>
          <w:color w:val="000000"/>
          <w:spacing w:val="0"/>
          <w:w w:val="100"/>
          <w:kern w:val="0"/>
          <w:position w:val="0"/>
          <w:sz w:val="32"/>
          <w:szCs w:val="32"/>
          <w:u w:val="none"/>
          <w:shd w:val="clear" w:color="auto" w:fill="auto"/>
          <w:lang w:val="zh-TW" w:eastAsia="zh-TW" w:bidi="zh-TW"/>
        </w:rPr>
        <w:t>本细则所称</w:t>
      </w:r>
      <w:r>
        <w:rPr>
          <w:rFonts w:hint="eastAsia" w:ascii="仿宋" w:hAnsi="仿宋" w:eastAsia="仿宋" w:cs="仿宋"/>
          <w:color w:val="000000"/>
          <w:spacing w:val="0"/>
          <w:w w:val="100"/>
          <w:kern w:val="0"/>
          <w:position w:val="0"/>
          <w:sz w:val="32"/>
          <w:szCs w:val="32"/>
          <w:u w:val="none"/>
          <w:shd w:val="clear" w:color="auto" w:fill="auto"/>
          <w:lang w:val="en-US" w:eastAsia="zh-CN" w:bidi="zh-TW"/>
        </w:rPr>
        <w:t>新县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县域商业体系建设专项资金(以下简称“专项资金”)</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是指</w:t>
      </w:r>
      <w:r>
        <w:rPr>
          <w:rFonts w:hint="eastAsia" w:ascii="仿宋" w:hAnsi="仿宋" w:eastAsia="仿宋" w:cs="仿宋"/>
          <w:color w:val="000000"/>
          <w:spacing w:val="0"/>
          <w:w w:val="100"/>
          <w:kern w:val="0"/>
          <w:position w:val="0"/>
          <w:sz w:val="32"/>
          <w:szCs w:val="32"/>
          <w:u w:val="none"/>
          <w:shd w:val="clear" w:color="auto" w:fill="auto"/>
          <w:lang w:val="en-US" w:eastAsia="zh-CN" w:bidi="zh-TW"/>
        </w:rPr>
        <w:t>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级财政统筹用于全</w:t>
      </w:r>
      <w:r>
        <w:rPr>
          <w:rFonts w:hint="eastAsia" w:ascii="仿宋" w:hAnsi="仿宋" w:eastAsia="仿宋" w:cs="仿宋"/>
          <w:color w:val="000000"/>
          <w:spacing w:val="0"/>
          <w:w w:val="100"/>
          <w:kern w:val="0"/>
          <w:position w:val="0"/>
          <w:sz w:val="32"/>
          <w:szCs w:val="32"/>
          <w:u w:val="none"/>
          <w:shd w:val="clear" w:color="auto" w:fill="auto"/>
          <w:lang w:val="en-US" w:eastAsia="zh-CN" w:bidi="zh-TW"/>
        </w:rPr>
        <w:t>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县域商业体系建设的中央服务业发展资金和省级服务业发展资金。</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0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zh-TW" w:eastAsia="zh-TW" w:bidi="zh-TW"/>
        </w:rPr>
      </w:pPr>
      <w:r>
        <w:rPr>
          <w:rFonts w:hint="eastAsia" w:ascii="黑体" w:hAnsi="黑体" w:eastAsia="黑体" w:cs="黑体"/>
          <w:color w:val="000000"/>
          <w:spacing w:val="0"/>
          <w:w w:val="100"/>
          <w:kern w:val="0"/>
          <w:position w:val="0"/>
          <w:sz w:val="30"/>
          <w:szCs w:val="30"/>
          <w:u w:val="none"/>
          <w:shd w:val="clear" w:color="auto" w:fill="auto"/>
          <w:lang w:val="zh-TW" w:eastAsia="zh-TW" w:bidi="zh-TW"/>
        </w:rPr>
        <w:t>第三条</w:t>
      </w:r>
      <w:r>
        <w:rPr>
          <w:rFonts w:hint="eastAsia" w:ascii="仿宋" w:hAnsi="仿宋" w:eastAsia="仿宋" w:cs="仿宋"/>
          <w:color w:val="000000"/>
          <w:spacing w:val="0"/>
          <w:w w:val="100"/>
          <w:kern w:val="0"/>
          <w:position w:val="0"/>
          <w:sz w:val="30"/>
          <w:szCs w:val="30"/>
          <w:u w:val="none"/>
          <w:shd w:val="clear" w:color="auto" w:fill="auto"/>
          <w:lang w:val="en-US" w:eastAsia="zh-CN" w:bidi="zh-TW"/>
        </w:rPr>
        <w:t xml:space="preserve">  </w:t>
      </w:r>
      <w:r>
        <w:rPr>
          <w:rFonts w:hint="eastAsia" w:ascii="仿宋" w:hAnsi="仿宋" w:eastAsia="仿宋" w:cs="仿宋"/>
          <w:color w:val="000000"/>
          <w:spacing w:val="0"/>
          <w:w w:val="100"/>
          <w:kern w:val="0"/>
          <w:position w:val="0"/>
          <w:sz w:val="32"/>
          <w:szCs w:val="32"/>
          <w:u w:val="none"/>
          <w:shd w:val="clear" w:color="auto" w:fill="auto"/>
          <w:lang w:val="zh-TW" w:eastAsia="zh-TW" w:bidi="zh-TW"/>
        </w:rPr>
        <w:t>专项资金实施期限为2022年至2025年。</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0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zh-TW" w:eastAsia="zh-TW" w:bidi="zh-TW"/>
        </w:rPr>
      </w:pPr>
      <w:r>
        <w:rPr>
          <w:rFonts w:hint="eastAsia" w:ascii="黑体" w:hAnsi="黑体" w:eastAsia="黑体" w:cs="黑体"/>
          <w:color w:val="000000"/>
          <w:spacing w:val="0"/>
          <w:w w:val="100"/>
          <w:kern w:val="0"/>
          <w:position w:val="0"/>
          <w:sz w:val="30"/>
          <w:szCs w:val="30"/>
          <w:u w:val="none"/>
          <w:shd w:val="clear" w:color="auto" w:fill="auto"/>
          <w:lang w:val="zh-TW" w:eastAsia="zh-TW" w:bidi="zh-TW"/>
        </w:rPr>
        <w:t>第四条</w:t>
      </w:r>
      <w:r>
        <w:rPr>
          <w:rFonts w:hint="eastAsia" w:ascii="仿宋" w:hAnsi="仿宋" w:eastAsia="仿宋" w:cs="仿宋"/>
          <w:color w:val="000000"/>
          <w:spacing w:val="0"/>
          <w:w w:val="100"/>
          <w:kern w:val="0"/>
          <w:position w:val="0"/>
          <w:sz w:val="30"/>
          <w:szCs w:val="30"/>
          <w:u w:val="none"/>
          <w:shd w:val="clear" w:color="auto" w:fill="auto"/>
          <w:lang w:val="en-US" w:eastAsia="zh-CN" w:bidi="zh-TW"/>
        </w:rPr>
        <w:t xml:space="preserve">  </w:t>
      </w:r>
      <w:r>
        <w:rPr>
          <w:rFonts w:hint="eastAsia" w:ascii="仿宋" w:hAnsi="仿宋" w:eastAsia="仿宋" w:cs="仿宋"/>
          <w:color w:val="000000"/>
          <w:spacing w:val="0"/>
          <w:w w:val="100"/>
          <w:kern w:val="0"/>
          <w:position w:val="0"/>
          <w:sz w:val="32"/>
          <w:szCs w:val="32"/>
          <w:u w:val="none"/>
          <w:shd w:val="clear" w:color="auto" w:fill="auto"/>
          <w:lang w:val="zh-TW" w:eastAsia="zh-TW" w:bidi="zh-TW"/>
        </w:rPr>
        <w:t>专项资金管理遵循公开透明、突出重点</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规范运作、注重绩效的原则</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确保专项资金安全</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规范</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高效使用。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00" w:firstLineChars="200"/>
        <w:textAlignment w:val="baseline"/>
        <w:rPr>
          <w:rFonts w:hint="eastAsia" w:ascii="仿宋" w:hAnsi="仿宋" w:eastAsia="仿宋" w:cs="仿宋"/>
          <w:color w:val="000000"/>
          <w:spacing w:val="0"/>
          <w:w w:val="100"/>
          <w:kern w:val="0"/>
          <w:position w:val="0"/>
          <w:sz w:val="30"/>
          <w:szCs w:val="30"/>
          <w:u w:val="none"/>
          <w:shd w:val="clear" w:color="auto" w:fill="auto"/>
          <w:lang w:val="zh-TW" w:eastAsia="zh-TW" w:bidi="zh-TW"/>
        </w:rPr>
      </w:pPr>
      <w:r>
        <w:rPr>
          <w:rFonts w:hint="eastAsia" w:ascii="黑体" w:hAnsi="黑体" w:eastAsia="黑体" w:cs="黑体"/>
          <w:color w:val="000000"/>
          <w:spacing w:val="0"/>
          <w:w w:val="100"/>
          <w:kern w:val="0"/>
          <w:position w:val="0"/>
          <w:sz w:val="30"/>
          <w:szCs w:val="30"/>
          <w:u w:val="none"/>
          <w:shd w:val="clear" w:color="auto" w:fill="auto"/>
          <w:lang w:val="zh-TW" w:eastAsia="zh-TW" w:bidi="zh-TW"/>
        </w:rPr>
        <w:t>第五条</w:t>
      </w:r>
      <w:r>
        <w:rPr>
          <w:rFonts w:hint="eastAsia" w:ascii="仿宋" w:hAnsi="仿宋" w:eastAsia="仿宋" w:cs="仿宋"/>
          <w:color w:val="000000"/>
          <w:spacing w:val="0"/>
          <w:w w:val="100"/>
          <w:kern w:val="0"/>
          <w:position w:val="0"/>
          <w:sz w:val="30"/>
          <w:szCs w:val="30"/>
          <w:u w:val="none"/>
          <w:shd w:val="clear" w:color="auto" w:fill="auto"/>
          <w:lang w:val="en-US" w:eastAsia="zh-CN" w:bidi="zh-TW"/>
        </w:rPr>
        <w:t xml:space="preserve">  </w:t>
      </w:r>
      <w:r>
        <w:rPr>
          <w:rFonts w:hint="eastAsia" w:ascii="仿宋" w:hAnsi="仿宋" w:eastAsia="仿宋" w:cs="仿宋"/>
          <w:color w:val="000000"/>
          <w:spacing w:val="0"/>
          <w:w w:val="100"/>
          <w:kern w:val="0"/>
          <w:position w:val="0"/>
          <w:sz w:val="32"/>
          <w:szCs w:val="32"/>
          <w:u w:val="none"/>
          <w:shd w:val="clear" w:color="auto" w:fill="auto"/>
          <w:lang w:val="zh-TW" w:eastAsia="zh-TW" w:bidi="zh-TW"/>
        </w:rPr>
        <w:t>专项资金由</w:t>
      </w:r>
      <w:r>
        <w:rPr>
          <w:rFonts w:hint="eastAsia" w:ascii="仿宋" w:hAnsi="仿宋" w:eastAsia="仿宋" w:cs="仿宋"/>
          <w:color w:val="000000"/>
          <w:spacing w:val="0"/>
          <w:w w:val="100"/>
          <w:kern w:val="0"/>
          <w:position w:val="0"/>
          <w:sz w:val="32"/>
          <w:szCs w:val="32"/>
          <w:u w:val="none"/>
          <w:shd w:val="clear" w:color="auto" w:fill="auto"/>
          <w:lang w:val="en-US" w:eastAsia="zh-CN" w:bidi="zh-TW"/>
        </w:rPr>
        <w:t>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财政</w:t>
      </w:r>
      <w:r>
        <w:rPr>
          <w:rFonts w:hint="eastAsia" w:ascii="仿宋" w:hAnsi="仿宋" w:eastAsia="仿宋" w:cs="仿宋"/>
          <w:color w:val="000000"/>
          <w:spacing w:val="0"/>
          <w:w w:val="100"/>
          <w:kern w:val="0"/>
          <w:position w:val="0"/>
          <w:sz w:val="32"/>
          <w:szCs w:val="32"/>
          <w:u w:val="none"/>
          <w:shd w:val="clear" w:color="auto" w:fill="auto"/>
          <w:lang w:val="en-US" w:eastAsia="zh-CN" w:bidi="zh-TW"/>
        </w:rPr>
        <w:t>局</w:t>
      </w:r>
      <w:r>
        <w:rPr>
          <w:rFonts w:hint="eastAsia" w:ascii="仿宋" w:hAnsi="仿宋" w:eastAsia="仿宋" w:cs="仿宋"/>
          <w:color w:val="000000"/>
          <w:spacing w:val="0"/>
          <w:w w:val="100"/>
          <w:kern w:val="0"/>
          <w:position w:val="0"/>
          <w:sz w:val="32"/>
          <w:szCs w:val="32"/>
          <w:u w:val="none"/>
          <w:shd w:val="clear" w:color="auto" w:fill="auto"/>
          <w:lang w:val="zh-TW" w:eastAsia="zh-TW" w:bidi="zh-TW"/>
        </w:rPr>
        <w:t>会同</w:t>
      </w:r>
      <w:r>
        <w:rPr>
          <w:rFonts w:hint="eastAsia" w:ascii="仿宋" w:hAnsi="仿宋" w:eastAsia="仿宋" w:cs="仿宋"/>
          <w:color w:val="000000"/>
          <w:spacing w:val="0"/>
          <w:w w:val="100"/>
          <w:kern w:val="0"/>
          <w:position w:val="0"/>
          <w:sz w:val="32"/>
          <w:szCs w:val="32"/>
          <w:u w:val="none"/>
          <w:shd w:val="clear" w:color="auto" w:fill="auto"/>
          <w:lang w:val="en-US" w:eastAsia="zh-CN" w:bidi="zh-TW"/>
        </w:rPr>
        <w:t>县电子商务服务中心、</w:t>
      </w:r>
      <w:r>
        <w:rPr>
          <w:rFonts w:hint="eastAsia" w:ascii="仿宋" w:hAnsi="仿宋" w:eastAsia="仿宋" w:cs="仿宋"/>
          <w:color w:val="000000"/>
          <w:spacing w:val="0"/>
          <w:w w:val="100"/>
          <w:kern w:val="0"/>
          <w:position w:val="0"/>
          <w:sz w:val="32"/>
          <w:szCs w:val="32"/>
          <w:u w:val="none"/>
          <w:shd w:val="clear" w:color="auto" w:fill="auto"/>
          <w:lang w:val="zh-TW" w:eastAsia="zh-TW" w:bidi="zh-TW"/>
        </w:rPr>
        <w:t>乡村振兴局(以下简称“业务主管部门”)共同管理</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专款专用。</w:t>
      </w:r>
    </w:p>
    <w:p>
      <w:pPr>
        <w:spacing w:line="47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财政</w:t>
      </w:r>
      <w:r>
        <w:rPr>
          <w:rFonts w:hint="eastAsia" w:ascii="仿宋" w:hAnsi="仿宋" w:eastAsia="仿宋" w:cs="仿宋"/>
          <w:color w:val="000000"/>
          <w:spacing w:val="0"/>
          <w:w w:val="100"/>
          <w:kern w:val="0"/>
          <w:position w:val="0"/>
          <w:sz w:val="32"/>
          <w:szCs w:val="32"/>
          <w:u w:val="none"/>
          <w:shd w:val="clear" w:color="auto" w:fill="auto"/>
          <w:lang w:val="en-US" w:eastAsia="zh-CN" w:bidi="zh-TW"/>
        </w:rPr>
        <w:t>局负责专项资金的预算管理。会同业务主管部门制定专项资金管理细则；审核业务主管部门提出的具体工作方案、绩效目标；审核下达财政补助资金；指导业务主管部门做好专项资金预算绩效管理工作；对资金使用情况进行重点核查和财政重点绩效评价。</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业务主管部门负责专项资金的项目管理。根据我县县域商业体系建设工作需要，制定年度工作方案，提出专项资金的支持重点和资金额度；会同县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财政</w:t>
      </w:r>
      <w:r>
        <w:rPr>
          <w:rFonts w:hint="eastAsia" w:ascii="仿宋" w:hAnsi="仿宋" w:eastAsia="仿宋" w:cs="仿宋"/>
          <w:color w:val="000000"/>
          <w:spacing w:val="0"/>
          <w:w w:val="100"/>
          <w:kern w:val="0"/>
          <w:position w:val="0"/>
          <w:sz w:val="32"/>
          <w:szCs w:val="32"/>
          <w:u w:val="none"/>
          <w:shd w:val="clear" w:color="auto" w:fill="auto"/>
          <w:lang w:val="en-US" w:eastAsia="zh-CN" w:bidi="zh-TW"/>
        </w:rPr>
        <w:t>局组织示范县申报和评审，提出示范县和县级统筹资金安排意见；制定专项资金整体绩效目标和年度分解目标，具体承担专项资金预算绩效管理工作；对项目实施情况进行监督检查。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jc w:val="center"/>
        <w:textAlignment w:val="baseline"/>
        <w:rPr>
          <w:rFonts w:hint="eastAsia" w:ascii="黑体" w:hAnsi="黑体" w:eastAsia="黑体" w:cs="黑体"/>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第二章 支持范围和资金分配</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第六条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专项资金包括县级统筹资金、示范县奖补资金两部分、使用范围分别是：</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(一)  示范县奖补资金，由县统筹对符合条件的企业和单位予以奖补。重点支持补齐县域商业基础设施短板、完善县乡村三级物流配送体系、改善优化县域消费渠道、增强农村产品上行动能、提高生活服务供给质量等五个方向。</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sectPr>
          <w:footerReference r:id="rId7" w:type="default"/>
          <w:pgSz w:w="11906" w:h="16838"/>
          <w:pgMar w:top="1431" w:right="1429" w:bottom="1763" w:left="1554" w:header="0" w:footer="1431" w:gutter="0"/>
          <w:pgNumType w:fmt="numberInDash"/>
          <w:cols w:space="720" w:num="1"/>
        </w:sect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(二)  县级统筹资金，主要用于支持大中型流通企业下沉供应链，跨县域布局一批前置仓、连锁店和加盟店；支持建设具备联合采购和统计功能的平台。</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第七条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专项资金采取项目法分配。其中：</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(一)  示范县奖补资金，采取示范项目法分配，财政部门对验收合格的县域商业体系建设示范县项目给予一定数额的补助资金，后期根据绩效评价结果再确定持续扶持资金。</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(二)  县级统筹资金,采取项目法分配。其中，下沉供应链 项目采取县业务主管部门组织专家评审认定，县财政予以适当补助；平台项目采取公开招标或竞争性谈判等方式确定承办单位，县财政予以资金支持。</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第八条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w:t>
      </w:r>
      <w:r>
        <w:rPr>
          <w:rFonts w:hint="eastAsia" w:ascii="仿宋" w:hAnsi="仿宋" w:eastAsia="仿宋" w:cs="仿宋"/>
          <w:color w:val="000000"/>
          <w:spacing w:val="0"/>
          <w:w w:val="100"/>
          <w:kern w:val="0"/>
          <w:position w:val="0"/>
          <w:sz w:val="32"/>
          <w:szCs w:val="32"/>
          <w:u w:val="none"/>
          <w:shd w:val="clear" w:color="auto" w:fill="auto"/>
          <w:lang w:val="zh-TW" w:eastAsia="zh-TW" w:bidi="zh-TW"/>
        </w:rPr>
        <w:t>财政</w:t>
      </w:r>
      <w:r>
        <w:rPr>
          <w:rFonts w:hint="eastAsia" w:ascii="仿宋" w:hAnsi="仿宋" w:eastAsia="仿宋" w:cs="仿宋"/>
          <w:color w:val="000000"/>
          <w:spacing w:val="0"/>
          <w:w w:val="100"/>
          <w:kern w:val="0"/>
          <w:position w:val="0"/>
          <w:sz w:val="32"/>
          <w:szCs w:val="32"/>
          <w:u w:val="none"/>
          <w:shd w:val="clear" w:color="auto" w:fill="auto"/>
          <w:lang w:val="en-US" w:eastAsia="zh-CN" w:bidi="zh-TW"/>
        </w:rPr>
        <w:t>局、业务主管部门根据我县服务业发展形势变化与实际工作需要,适时调整支持重点。</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00" w:firstLineChars="200"/>
        <w:textAlignment w:val="baseline"/>
        <w:rPr>
          <w:rFonts w:hint="eastAsia" w:ascii="仿宋" w:hAnsi="仿宋" w:eastAsia="仿宋" w:cs="仿宋"/>
          <w:color w:val="000000"/>
          <w:spacing w:val="0"/>
          <w:w w:val="100"/>
          <w:kern w:val="0"/>
          <w:position w:val="0"/>
          <w:sz w:val="30"/>
          <w:szCs w:val="30"/>
          <w:u w:val="none"/>
          <w:shd w:val="clear" w:color="auto" w:fill="auto"/>
          <w:lang w:val="en-US" w:eastAsia="zh-CN"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黑体" w:hAnsi="黑体" w:eastAsia="黑体" w:cs="黑体"/>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第三章  资金申请、下达和使用管理</w:t>
      </w: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第九条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申请专项资金的企业(单位)应当符合以下条件；</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(一)  在我省境内依法登记注册，具有独立法人资格。</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(二)  按照有关规定已取得开展相关业务资格或已进行核准或备案。</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(三)  项目申请单位必须与资金使用单位一致，具有健全的内部财务管理制度。</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(四)  近3年来没有受到县级以上财政、审计等部门处理处罚；没有被列入失信人名单。</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sectPr>
          <w:footerReference r:id="rId8" w:type="default"/>
          <w:pgSz w:w="11906" w:h="16838"/>
          <w:pgMar w:top="1431" w:right="1540" w:bottom="1763" w:left="1554" w:header="0" w:footer="1428" w:gutter="0"/>
          <w:pgNumType w:fmt="numberInDash"/>
          <w:cols w:space="720" w:num="1"/>
        </w:sectPr>
      </w:pPr>
      <w:r>
        <w:rPr>
          <w:rFonts w:hint="eastAsia" w:ascii="仿宋" w:hAnsi="仿宋" w:eastAsia="仿宋" w:cs="仿宋"/>
          <w:color w:val="000000"/>
          <w:spacing w:val="0"/>
          <w:w w:val="100"/>
          <w:kern w:val="0"/>
          <w:position w:val="0"/>
          <w:sz w:val="32"/>
          <w:szCs w:val="32"/>
          <w:u w:val="none"/>
          <w:shd w:val="clear" w:color="auto" w:fill="auto"/>
          <w:lang w:val="en-US" w:eastAsia="zh-CN" w:bidi="zh-TW"/>
        </w:rPr>
        <w:t>(五)  其他按规定应具备的条件。</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业务主管部门根据逐级申报、专家评审确定的示范县、下沉供应链项目和平台项目数量，以及上年度示范县专项资金绩效评价结果，及时向县财政局提出年度专项资金分配建议。</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第十一条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县财政局审核业务主管部门的资金分配建议，于30日内将专项资金下达到各乡镇财政部门、下沉供应链项目 和平台项目单位。</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第十二条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示范县要发挥财政引导、市场主导作用，结合项目特点，因地制宜采取贷款贴息、购买服务、以奖代补等支持方式，对符合要求的项目予以支持。以奖代补类项目支持比例不超过项目总投资额的30%，单个项目补贴额不超过500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第十三条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专项资金优先支持县域内万村千乡市场工程承办企业、连锁商贸企业、电子商务进农村综合示范企业等，要充分发挥邮政、供销等渠道作用，统筹利用好现有设施设备，优先支持改造升级项目，增强工作的连续性，避免浪费和分散投入。</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第十四条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示范县要设立专账，确保资金支付程序规范、  手续齐备、票账物相符。补助资金不得用于征地拆迁，不得用于支付罚款、捐款、赞助、投资、偿还债务以及财政补助单位人员经费和工作经费；不支持县城综合商贸服务中心、村级便民商店项目。对于已获得财政资金支持的项目，不得重复支持。</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第十五条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对专项资金的结余资金和连续两年未用完的结转资金，按照结余结转资金有关规定执行。</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sectPr>
          <w:footerReference r:id="rId9" w:type="default"/>
          <w:pgSz w:w="11906" w:h="16838"/>
          <w:pgMar w:top="1431" w:right="1540" w:bottom="1766" w:left="1553" w:header="0" w:footer="1431"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黑体" w:hAnsi="黑体" w:eastAsia="黑体" w:cs="黑体"/>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第四章  绩效管理和监督</w:t>
      </w: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黑体" w:hAnsi="黑体" w:eastAsia="黑体" w:cs="黑体"/>
          <w:color w:val="000000"/>
          <w:spacing w:val="0"/>
          <w:w w:val="100"/>
          <w:kern w:val="0"/>
          <w:position w:val="0"/>
          <w:sz w:val="32"/>
          <w:szCs w:val="32"/>
          <w:u w:val="none"/>
          <w:shd w:val="clear" w:color="auto" w:fill="auto"/>
          <w:lang w:val="en-US" w:eastAsia="zh-CN"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第十六条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实施全过程绩效管理。县级业务主管部门制定整体绩效目标和年度绩效目标，地方业务主管部门制定区域绩效目标。年度预算执行中，业务主管部门应对专项资金绩效目标实现程度和预算执行进度实行“双监控”，发现问题应分析原因并及时纠正，确保绩效目标如期保质保量实现。对存在严重问题的项目，财政部门应暂缓或停止预算拨款。</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第十七条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示范县、下沉供应链和平台项目单位应在年度预算执行结束后针对专项资金使用管理情况开展绩效自评，向县级业务主管部门报送自评结果；每年2月份，县级业务主管部门应依据年度绩效目标对上年度专项资金使用及项目建设情况进行总体绩效评价，形成评价报告。根据工作需要， 县财政局在部门绩效评价基础上适时开展财政重点绩效评价。评价结果作为政策调整、预算安排的重要依据。业务主管部门按要求公开专项资金绩效目标、绩效评价结果等信息，接受社会公众和人大监督。</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第十八条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加强对绩效评价结果运用。评价结果与后续资金安排及示范县项目评定挂钩。对于日常监管和年度绩效评价中发现的问题，示范项目按要求及时整改。对资金拨付进度严重滞后影响任务完成的、未按要求整改的，由县财政局收回资金，后续资金不再支持，同时取消其示范县项目资格。</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sectPr>
          <w:footerReference r:id="rId10" w:type="default"/>
          <w:pgSz w:w="11906" w:h="16838"/>
          <w:pgMar w:top="1431" w:right="1540" w:bottom="1761" w:left="1553" w:header="0" w:footer="1431" w:gutter="0"/>
          <w:pgNumType w:fmt="numberInDash"/>
          <w:cols w:space="720" w:num="1"/>
        </w:sectPr>
      </w:pPr>
    </w:p>
    <w:p>
      <w:pPr>
        <w:spacing w:line="47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第十九条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获得专项资金支持的企业、单位收到资金后,  应当按照国家有关财务制度规定进行管理和使用，按照国家统 一的会计制度进行会计核算，配合业务主管部门统计报送业务数据，并自觉接受相关财政、审计、有关业务主管部门的监督检查。</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第二十条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县财政局和业务主管部门对专项资金具体管理使用情况进行不定期抽查。</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 xml:space="preserve">第二十一条  </w:t>
      </w:r>
      <w:r>
        <w:rPr>
          <w:rFonts w:hint="eastAsia" w:ascii="仿宋" w:hAnsi="仿宋" w:eastAsia="仿宋" w:cs="仿宋"/>
          <w:color w:val="000000"/>
          <w:spacing w:val="0"/>
          <w:w w:val="100"/>
          <w:kern w:val="0"/>
          <w:position w:val="0"/>
          <w:sz w:val="32"/>
          <w:szCs w:val="32"/>
          <w:u w:val="none"/>
          <w:shd w:val="clear" w:color="auto" w:fill="auto"/>
          <w:lang w:val="en-US" w:eastAsia="zh-CN" w:bidi="zh-TW"/>
        </w:rPr>
        <w:t>对于截留、挤占、挪用、骗取补助资金等违法行为，一经查实，收回已安排的资金，并按照有关法律法规追究法律责任。涉嫌犯罪的，移送司法机关处理。</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黑体" w:hAnsi="黑体" w:eastAsia="黑体" w:cs="黑体"/>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第四章  附    则</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color w:val="000000"/>
          <w:spacing w:val="0"/>
          <w:w w:val="100"/>
          <w:kern w:val="0"/>
          <w:position w:val="0"/>
          <w:sz w:val="32"/>
          <w:szCs w:val="32"/>
          <w:u w:val="none"/>
          <w:shd w:val="clear" w:color="auto" w:fill="auto"/>
          <w:lang w:val="zh-TW" w:eastAsia="zh-TW" w:bidi="zh-TW"/>
        </w:rPr>
      </w:pPr>
      <w:r>
        <w:rPr>
          <w:rFonts w:hint="eastAsia" w:ascii="黑体" w:hAnsi="黑体" w:eastAsia="黑体" w:cs="黑体"/>
          <w:color w:val="000000"/>
          <w:spacing w:val="0"/>
          <w:w w:val="100"/>
          <w:kern w:val="0"/>
          <w:position w:val="0"/>
          <w:sz w:val="32"/>
          <w:szCs w:val="32"/>
          <w:u w:val="none"/>
          <w:shd w:val="clear" w:color="auto" w:fill="auto"/>
          <w:lang w:val="zh-TW" w:eastAsia="zh-TW" w:bidi="zh-TW"/>
        </w:rPr>
        <w:t>第二十二条</w:t>
      </w:r>
      <w:r>
        <w:rPr>
          <w:rFonts w:hint="eastAsia" w:ascii="黑体" w:hAnsi="黑体" w:eastAsia="黑体" w:cs="黑体"/>
          <w:color w:val="000000"/>
          <w:spacing w:val="0"/>
          <w:w w:val="100"/>
          <w:kern w:val="0"/>
          <w:position w:val="0"/>
          <w:sz w:val="32"/>
          <w:szCs w:val="32"/>
          <w:u w:val="none"/>
          <w:shd w:val="clear" w:color="auto" w:fill="auto"/>
          <w:lang w:val="en-US" w:eastAsia="zh-CN" w:bidi="zh-TW"/>
        </w:rPr>
        <w:t xml:space="preserve">  </w:t>
      </w:r>
      <w:r>
        <w:rPr>
          <w:rFonts w:hint="eastAsia" w:ascii="仿宋" w:hAnsi="仿宋" w:eastAsia="仿宋" w:cs="仿宋"/>
          <w:color w:val="000000"/>
          <w:spacing w:val="0"/>
          <w:w w:val="100"/>
          <w:kern w:val="0"/>
          <w:position w:val="0"/>
          <w:sz w:val="32"/>
          <w:szCs w:val="32"/>
          <w:u w:val="none"/>
          <w:shd w:val="clear" w:color="auto" w:fill="auto"/>
          <w:lang w:val="zh-TW" w:eastAsia="zh-TW" w:bidi="zh-TW"/>
        </w:rPr>
        <w:t>本细则由</w:t>
      </w:r>
      <w:r>
        <w:rPr>
          <w:rFonts w:hint="eastAsia" w:ascii="仿宋" w:hAnsi="仿宋" w:eastAsia="仿宋" w:cs="仿宋"/>
          <w:color w:val="000000"/>
          <w:spacing w:val="0"/>
          <w:w w:val="100"/>
          <w:kern w:val="0"/>
          <w:position w:val="0"/>
          <w:sz w:val="32"/>
          <w:szCs w:val="32"/>
          <w:u w:val="none"/>
          <w:shd w:val="clear" w:color="auto" w:fill="auto"/>
          <w:lang w:val="en-US" w:eastAsia="zh-CN" w:bidi="zh-TW"/>
        </w:rPr>
        <w:t>县财政局</w:t>
      </w:r>
      <w:r>
        <w:rPr>
          <w:rFonts w:hint="eastAsia" w:ascii="仿宋" w:hAnsi="仿宋" w:eastAsia="仿宋" w:cs="仿宋"/>
          <w:color w:val="000000"/>
          <w:spacing w:val="0"/>
          <w:w w:val="100"/>
          <w:kern w:val="0"/>
          <w:position w:val="0"/>
          <w:sz w:val="32"/>
          <w:szCs w:val="32"/>
          <w:u w:val="none"/>
          <w:shd w:val="clear" w:color="auto" w:fill="auto"/>
          <w:lang w:val="zh-TW" w:eastAsia="zh-TW" w:bidi="zh-TW"/>
        </w:rPr>
        <w:t>会同</w:t>
      </w:r>
      <w:r>
        <w:rPr>
          <w:rFonts w:hint="eastAsia" w:ascii="仿宋" w:hAnsi="仿宋" w:eastAsia="仿宋" w:cs="仿宋"/>
          <w:color w:val="000000"/>
          <w:spacing w:val="0"/>
          <w:w w:val="100"/>
          <w:kern w:val="0"/>
          <w:position w:val="0"/>
          <w:sz w:val="32"/>
          <w:szCs w:val="32"/>
          <w:u w:val="none"/>
          <w:shd w:val="clear" w:color="auto" w:fill="auto"/>
          <w:lang w:val="en-US" w:eastAsia="zh-CN" w:bidi="zh-TW"/>
        </w:rPr>
        <w:t>县电子商务服务中心</w:t>
      </w:r>
      <w:r>
        <w:rPr>
          <w:rFonts w:hint="eastAsia" w:ascii="仿宋" w:hAnsi="仿宋" w:eastAsia="仿宋" w:cs="仿宋"/>
          <w:color w:val="000000"/>
          <w:spacing w:val="0"/>
          <w:w w:val="100"/>
          <w:kern w:val="0"/>
          <w:position w:val="0"/>
          <w:sz w:val="32"/>
          <w:szCs w:val="32"/>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u w:val="none"/>
          <w:shd w:val="clear" w:color="auto" w:fill="auto"/>
          <w:lang w:val="zh-TW" w:eastAsia="zh-TW" w:bidi="zh-TW"/>
        </w:rPr>
        <w:t>乡村振兴局负责解释。</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zh-TW" w:eastAsia="zh-TW" w:bidi="zh-TW"/>
        </w:rPr>
      </w:pPr>
      <w:r>
        <w:rPr>
          <w:rFonts w:hint="eastAsia" w:ascii="黑体" w:hAnsi="黑体" w:eastAsia="黑体" w:cs="黑体"/>
          <w:color w:val="000000"/>
          <w:spacing w:val="0"/>
          <w:w w:val="100"/>
          <w:kern w:val="0"/>
          <w:position w:val="0"/>
          <w:sz w:val="32"/>
          <w:szCs w:val="32"/>
          <w:u w:val="none"/>
          <w:shd w:val="clear" w:color="auto" w:fill="auto"/>
          <w:lang w:val="zh-TW" w:eastAsia="zh-TW" w:bidi="zh-TW"/>
        </w:rPr>
        <w:t>第二十三条</w:t>
      </w:r>
      <w:r>
        <w:rPr>
          <w:rFonts w:hint="eastAsia" w:ascii="黑体" w:hAnsi="黑体" w:eastAsia="黑体" w:cs="黑体"/>
          <w:color w:val="000000"/>
          <w:spacing w:val="0"/>
          <w:w w:val="100"/>
          <w:kern w:val="0"/>
          <w:position w:val="0"/>
          <w:sz w:val="32"/>
          <w:szCs w:val="32"/>
          <w:u w:val="none"/>
          <w:shd w:val="clear" w:color="auto" w:fill="auto"/>
          <w:lang w:val="en-US" w:eastAsia="zh-CN" w:bidi="zh-TW"/>
        </w:rPr>
        <w:t xml:space="preserve">  </w:t>
      </w:r>
      <w:r>
        <w:rPr>
          <w:rFonts w:hint="eastAsia" w:ascii="仿宋" w:hAnsi="仿宋" w:eastAsia="仿宋" w:cs="仿宋"/>
          <w:color w:val="000000"/>
          <w:spacing w:val="0"/>
          <w:w w:val="100"/>
          <w:kern w:val="0"/>
          <w:position w:val="0"/>
          <w:sz w:val="32"/>
          <w:szCs w:val="32"/>
          <w:u w:val="none"/>
          <w:shd w:val="clear" w:color="auto" w:fill="auto"/>
          <w:lang w:val="zh-TW" w:eastAsia="zh-TW" w:bidi="zh-TW"/>
        </w:rPr>
        <w:t>本细则自印发之日起施行。</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color w:val="000000"/>
          <w:spacing w:val="0"/>
          <w:w w:val="100"/>
          <w:kern w:val="0"/>
          <w:position w:val="0"/>
          <w:sz w:val="32"/>
          <w:szCs w:val="32"/>
          <w:u w:val="none"/>
          <w:shd w:val="clear" w:color="auto" w:fill="auto"/>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color w:val="000000"/>
          <w:spacing w:val="0"/>
          <w:w w:val="100"/>
          <w:kern w:val="0"/>
          <w:position w:val="0"/>
          <w:sz w:val="32"/>
          <w:szCs w:val="32"/>
          <w:u w:val="none"/>
          <w:shd w:val="clear" w:color="auto" w:fill="auto"/>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color w:val="000000"/>
          <w:spacing w:val="0"/>
          <w:w w:val="100"/>
          <w:kern w:val="0"/>
          <w:position w:val="0"/>
          <w:sz w:val="32"/>
          <w:szCs w:val="32"/>
          <w:u w:val="none"/>
          <w:shd w:val="clear" w:color="auto" w:fill="auto"/>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color w:val="000000"/>
          <w:spacing w:val="0"/>
          <w:w w:val="100"/>
          <w:kern w:val="0"/>
          <w:position w:val="0"/>
          <w:sz w:val="32"/>
          <w:szCs w:val="32"/>
          <w:u w:val="none"/>
          <w:shd w:val="clear" w:color="auto" w:fill="auto"/>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default" w:ascii="黑体" w:hAnsi="黑体" w:eastAsia="黑体" w:cs="黑体"/>
          <w:color w:val="000000"/>
          <w:spacing w:val="0"/>
          <w:w w:val="100"/>
          <w:kern w:val="0"/>
          <w:position w:val="0"/>
          <w:sz w:val="32"/>
          <w:szCs w:val="32"/>
          <w:u w:val="none"/>
          <w:shd w:val="clear" w:color="auto" w:fill="auto"/>
          <w:lang w:val="en-US" w:eastAsia="zh-CN" w:bidi="zh-TW"/>
        </w:rPr>
        <w:sectPr>
          <w:footerReference r:id="rId11" w:type="default"/>
          <w:pgSz w:w="11906" w:h="16838"/>
          <w:pgMar w:top="1431" w:right="1532" w:bottom="1766" w:left="1556" w:header="0" w:footer="1534" w:gutter="0"/>
          <w:pgNumType w:fmt="numberInDash"/>
          <w:cols w:equalWidth="0" w:num="1">
            <w:col w:w="8817"/>
          </w:cols>
        </w:sectPr>
      </w:pPr>
    </w:p>
    <w:p>
      <w:pPr>
        <w:spacing w:line="268" w:lineRule="auto"/>
        <w:rPr>
          <w:rFonts w:ascii="Arial"/>
          <w:sz w:val="21"/>
        </w:rPr>
      </w:pPr>
    </w:p>
    <w:p>
      <w:pPr>
        <w:spacing w:line="26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en-US" w:eastAsia="zh-CN" w:bidi="zh-TW"/>
        </w:rPr>
      </w:pPr>
      <w:r>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en-US" w:eastAsia="zh-CN" w:bidi="zh-TW"/>
        </w:rPr>
        <w:t>新县县域商业体系建设项目管理办法</w:t>
      </w: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方正小标宋简体" w:hAnsi="方正小标宋简体" w:eastAsia="方正小标宋简体" w:cs="方正小标宋简体"/>
          <w:color w:val="000000"/>
          <w:spacing w:val="0"/>
          <w:w w:val="100"/>
          <w:kern w:val="0"/>
          <w:position w:val="0"/>
          <w:sz w:val="44"/>
          <w:szCs w:val="44"/>
          <w:u w:val="none"/>
          <w:shd w:val="clear" w:color="auto" w:fill="auto"/>
          <w:lang w:val="en-US" w:eastAsia="zh-CN"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楷体" w:hAnsi="楷体" w:eastAsia="楷体" w:cs="楷体"/>
          <w:color w:val="000000"/>
          <w:spacing w:val="0"/>
          <w:w w:val="100"/>
          <w:kern w:val="0"/>
          <w:position w:val="0"/>
          <w:sz w:val="32"/>
          <w:szCs w:val="32"/>
          <w:u w:val="none"/>
          <w:shd w:val="clear" w:color="auto" w:fill="auto"/>
          <w:lang w:val="en-US" w:eastAsia="zh-CN" w:bidi="zh-TW"/>
        </w:rPr>
      </w:pPr>
      <w:r>
        <w:rPr>
          <w:rFonts w:hint="eastAsia" w:ascii="楷体" w:hAnsi="楷体" w:eastAsia="楷体" w:cs="楷体"/>
          <w:color w:val="000000"/>
          <w:spacing w:val="0"/>
          <w:w w:val="100"/>
          <w:kern w:val="0"/>
          <w:position w:val="0"/>
          <w:sz w:val="32"/>
          <w:szCs w:val="32"/>
          <w:u w:val="none"/>
          <w:shd w:val="clear" w:color="auto" w:fill="auto"/>
          <w:lang w:val="en-US" w:eastAsia="zh-CN" w:bidi="zh-TW"/>
        </w:rPr>
        <w:t>(试       行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第一条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为规范我县县域商业体系建设项目管理工作，根据国家、省、市相关文件要求，制定本办法。</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第二条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县域商业体系建设项目是指符合河南省县域商业体系建设专项资金支持方向和范围的项目。</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第三条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电子商务服务中心、财政、乡村振兴部门(以下简称“县业务主管部门”)是县域商业体系建设项目的第一责任主体，负责所辖示范县项目的日常监管和全面验收。示范县商务、财政、乡村振兴部门(以下简称“县业务主管部门”) 是县域商业体系建设项目的直接责任主体，负责示范项目具体实施。</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第四条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业务主管部门在安排项目时，应与国家发展改革委具体安排的中央基建投资事项、农业农村部具体安排的产地冷链设施、中央财政农产品供应链体系建设等相关项目加强衔接，避免重复建设。应充分利用万村千乡市场工程、电子商务进农村综合示范等现有的设施设备，增强工作的连续性，避免浪费。</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第五条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业务主管部门应督促所辖示范县项目建立企业目录、项目清单和储备项目库，选择有实力、信誉好的企业纳入重点企业目录，在符合规定的前提下优先支持；不得选择有严重违规记录、纳入警示或失信名单的企业。严禁承办企业中标后对项目进行分包或转包。</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第六条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业务主管部门根据国家和省级有关要求，结合本地实际，设置可量化、可操作的项目建设标准、运营标准和考核标准。要建立项目档案和台账，做到资料详实、手续齐备。要建立项目公开公示制度，在政府门户网站公开工作方案、项目内容、决策过程和项目建设情况等，并设立监督电话 和举报窗口，主动接受社会监督。</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第七条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县业务主管部门应建立信息报送制度，督促示范县与项目承办主体签订协议，对不能履行协议的，由示范县取消其承办单位资格。要加强项目动态管理，按时报送相关信息。</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第八条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县业务主管部门应建立项目管理制度，可引入审计、监理咨询等独立第三方规范决策过程，加强项目审核,及时防范和化解风险。要常态化跟踪项目完成情况，对未按时完成的项目要强化问效和督促整改。</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color w:val="000000"/>
          <w:spacing w:val="0"/>
          <w:w w:val="100"/>
          <w:kern w:val="0"/>
          <w:position w:val="0"/>
          <w:sz w:val="32"/>
          <w:szCs w:val="32"/>
          <w:u w:val="none"/>
          <w:shd w:val="clear" w:color="auto" w:fill="auto"/>
          <w:lang w:val="en-US" w:eastAsia="zh-CN" w:bidi="zh-TW"/>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第九条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县业务主管部门应健全长效管理机制，充分发挥电商、邮政、供销及骨干流通企业作用，统筹推进项目建设和运营，增强可持续性。要建立资产管理制度，做好资产产权归属登记和管理使用工作。</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仿宋" w:hAnsi="仿宋" w:eastAsia="仿宋" w:cs="仿宋"/>
          <w:spacing w:val="0"/>
          <w:position w:val="0"/>
          <w:sz w:val="32"/>
          <w:szCs w:val="32"/>
        </w:rPr>
      </w:pPr>
      <w:r>
        <w:rPr>
          <w:rFonts w:hint="eastAsia" w:ascii="黑体" w:hAnsi="黑体" w:eastAsia="黑体" w:cs="黑体"/>
          <w:color w:val="000000"/>
          <w:spacing w:val="0"/>
          <w:w w:val="100"/>
          <w:kern w:val="0"/>
          <w:position w:val="0"/>
          <w:sz w:val="32"/>
          <w:szCs w:val="32"/>
          <w:u w:val="none"/>
          <w:shd w:val="clear" w:color="auto" w:fill="auto"/>
          <w:lang w:val="en-US" w:eastAsia="zh-CN" w:bidi="zh-TW"/>
        </w:rPr>
        <w:t>第十条</w:t>
      </w:r>
      <w:r>
        <w:rPr>
          <w:rFonts w:hint="eastAsia" w:ascii="仿宋" w:hAnsi="仿宋" w:eastAsia="仿宋" w:cs="仿宋"/>
          <w:color w:val="000000"/>
          <w:spacing w:val="0"/>
          <w:w w:val="100"/>
          <w:kern w:val="0"/>
          <w:position w:val="0"/>
          <w:sz w:val="32"/>
          <w:szCs w:val="32"/>
          <w:u w:val="none"/>
          <w:shd w:val="clear" w:color="auto" w:fill="auto"/>
          <w:lang w:val="en-US" w:eastAsia="zh-CN" w:bidi="zh-TW"/>
        </w:rPr>
        <w:t xml:space="preserve">  示范县项目原则上应在两年内竣工。 项目竣工后，县业务主管部门委托审计、监理咨询等独立第三方按照项目建设标准进行验收。对项目验收过程中发现的问</w:t>
      </w:r>
      <w:r>
        <w:rPr>
          <w:rFonts w:hint="eastAsia" w:ascii="仿宋" w:hAnsi="仿宋" w:eastAsia="仿宋" w:cs="仿宋"/>
          <w:spacing w:val="0"/>
          <w:position w:val="0"/>
          <w:sz w:val="32"/>
          <w:szCs w:val="32"/>
        </w:rPr>
        <w:t>题</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应及时整改</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整改情况及时报</w:t>
      </w:r>
      <w:r>
        <w:rPr>
          <w:rFonts w:hint="eastAsia" w:ascii="仿宋" w:hAnsi="仿宋" w:eastAsia="仿宋" w:cs="仿宋"/>
          <w:spacing w:val="0"/>
          <w:position w:val="0"/>
          <w:sz w:val="32"/>
          <w:szCs w:val="32"/>
          <w:lang w:val="en-US" w:eastAsia="zh-CN"/>
        </w:rPr>
        <w:t>县</w:t>
      </w:r>
      <w:r>
        <w:rPr>
          <w:rFonts w:hint="eastAsia" w:ascii="仿宋" w:hAnsi="仿宋" w:eastAsia="仿宋" w:cs="仿宋"/>
          <w:spacing w:val="0"/>
          <w:position w:val="0"/>
          <w:sz w:val="32"/>
          <w:szCs w:val="32"/>
        </w:rPr>
        <w:t>业务主管部门备案。</w:t>
      </w:r>
    </w:p>
    <w:p>
      <w:pPr>
        <w:keepNext w:val="0"/>
        <w:keepLines w:val="0"/>
        <w:pageBreakBefore w:val="0"/>
        <w:widowControl/>
        <w:kinsoku w:val="0"/>
        <w:wordWrap/>
        <w:overflowPunct/>
        <w:topLinePunct w:val="0"/>
        <w:autoSpaceDE w:val="0"/>
        <w:autoSpaceDN w:val="0"/>
        <w:bidi w:val="0"/>
        <w:adjustRightInd w:val="0"/>
        <w:snapToGrid w:val="0"/>
        <w:spacing w:before="165" w:line="576" w:lineRule="atLeast"/>
        <w:ind w:firstLine="628"/>
        <w:textAlignment w:val="baseline"/>
        <w:rPr>
          <w:rFonts w:hint="eastAsia" w:ascii="仿宋" w:hAnsi="仿宋" w:eastAsia="仿宋" w:cs="仿宋"/>
          <w:spacing w:val="0"/>
          <w:position w:val="0"/>
          <w:sz w:val="32"/>
          <w:szCs w:val="32"/>
        </w:rPr>
      </w:pPr>
      <w:r>
        <w:rPr>
          <w:rFonts w:hint="eastAsia" w:ascii="黑体" w:hAnsi="黑体" w:eastAsia="黑体" w:cs="黑体"/>
          <w:spacing w:val="0"/>
          <w:position w:val="0"/>
          <w:sz w:val="32"/>
          <w:szCs w:val="32"/>
        </w:rPr>
        <w:t>第十一条</w:t>
      </w:r>
      <w:r>
        <w:rPr>
          <w:rFonts w:hint="eastAsia" w:ascii="仿宋" w:hAnsi="仿宋" w:eastAsia="仿宋" w:cs="仿宋"/>
          <w:spacing w:val="0"/>
          <w:position w:val="0"/>
          <w:sz w:val="32"/>
          <w:szCs w:val="32"/>
        </w:rPr>
        <w:t xml:space="preserve">  县业务主管部门应于次年一</w:t>
      </w:r>
      <w:r>
        <w:rPr>
          <w:rFonts w:hint="eastAsia" w:ascii="仿宋" w:hAnsi="仿宋" w:eastAsia="仿宋" w:cs="仿宋"/>
          <w:spacing w:val="0"/>
          <w:position w:val="0"/>
          <w:sz w:val="32"/>
          <w:szCs w:val="32"/>
          <w:lang w:val="en-US" w:eastAsia="zh-CN"/>
        </w:rPr>
        <w:t>季</w:t>
      </w:r>
      <w:r>
        <w:rPr>
          <w:rFonts w:hint="eastAsia" w:ascii="仿宋" w:hAnsi="仿宋" w:eastAsia="仿宋" w:cs="仿宋"/>
          <w:spacing w:val="0"/>
          <w:position w:val="0"/>
          <w:sz w:val="32"/>
          <w:szCs w:val="32"/>
        </w:rPr>
        <w:t>度前对上年度项目进展情况进行自评</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自评报告于3月底前逐级上报业务主管部 门。</w:t>
      </w:r>
    </w:p>
    <w:p>
      <w:pPr>
        <w:keepNext w:val="0"/>
        <w:keepLines w:val="0"/>
        <w:pageBreakBefore w:val="0"/>
        <w:widowControl/>
        <w:kinsoku w:val="0"/>
        <w:wordWrap/>
        <w:overflowPunct/>
        <w:topLinePunct w:val="0"/>
        <w:autoSpaceDE w:val="0"/>
        <w:autoSpaceDN w:val="0"/>
        <w:bidi w:val="0"/>
        <w:adjustRightInd w:val="0"/>
        <w:snapToGrid w:val="0"/>
        <w:spacing w:before="3" w:line="576" w:lineRule="atLeast"/>
        <w:ind w:left="1" w:firstLine="627"/>
        <w:textAlignment w:val="baseline"/>
        <w:rPr>
          <w:rFonts w:hint="eastAsia" w:ascii="仿宋" w:hAnsi="仿宋" w:eastAsia="仿宋" w:cs="仿宋"/>
          <w:spacing w:val="0"/>
          <w:sz w:val="32"/>
          <w:szCs w:val="32"/>
        </w:rPr>
      </w:pPr>
      <w:r>
        <w:rPr>
          <w:rFonts w:hint="eastAsia" w:ascii="黑体" w:hAnsi="黑体" w:eastAsia="黑体" w:cs="黑体"/>
          <w:spacing w:val="0"/>
          <w:sz w:val="32"/>
          <w:szCs w:val="32"/>
        </w:rPr>
        <w:t>第十二条</w:t>
      </w:r>
      <w:r>
        <w:rPr>
          <w:rFonts w:hint="eastAsia" w:ascii="仿宋" w:hAnsi="仿宋" w:eastAsia="仿宋" w:cs="仿宋"/>
          <w:spacing w:val="0"/>
          <w:sz w:val="32"/>
          <w:szCs w:val="32"/>
        </w:rPr>
        <w:t xml:space="preserve">  本办法由</w:t>
      </w:r>
      <w:r>
        <w:rPr>
          <w:rFonts w:hint="eastAsia" w:ascii="仿宋" w:hAnsi="仿宋" w:eastAsia="仿宋" w:cs="仿宋"/>
          <w:spacing w:val="0"/>
          <w:sz w:val="32"/>
          <w:szCs w:val="32"/>
          <w:lang w:val="en-US" w:eastAsia="zh-CN"/>
        </w:rPr>
        <w:t>新县电子商务服务中心、县</w:t>
      </w:r>
      <w:r>
        <w:rPr>
          <w:rFonts w:hint="eastAsia" w:ascii="仿宋" w:hAnsi="仿宋" w:eastAsia="仿宋" w:cs="仿宋"/>
          <w:spacing w:val="0"/>
          <w:sz w:val="32"/>
          <w:szCs w:val="32"/>
        </w:rPr>
        <w:t>财政</w:t>
      </w:r>
      <w:r>
        <w:rPr>
          <w:rFonts w:hint="eastAsia" w:ascii="仿宋" w:hAnsi="仿宋" w:eastAsia="仿宋" w:cs="仿宋"/>
          <w:spacing w:val="0"/>
          <w:sz w:val="32"/>
          <w:szCs w:val="32"/>
          <w:lang w:val="en-US" w:eastAsia="zh-CN"/>
        </w:rPr>
        <w:t>局</w:t>
      </w:r>
      <w:r>
        <w:rPr>
          <w:rFonts w:hint="eastAsia" w:ascii="仿宋" w:hAnsi="仿宋" w:eastAsia="仿宋" w:cs="仿宋"/>
          <w:spacing w:val="0"/>
          <w:sz w:val="32"/>
          <w:szCs w:val="32"/>
        </w:rPr>
        <w:t>、   乡村振兴局负责解释</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自印发之日起施行 。</w:t>
      </w:r>
    </w:p>
    <w:p>
      <w:pPr>
        <w:rPr>
          <w:rFonts w:hint="eastAsia" w:ascii="仿宋" w:hAnsi="仿宋" w:eastAsia="仿宋" w:cs="仿宋"/>
          <w:spacing w:val="0"/>
          <w:sz w:val="32"/>
          <w:szCs w:val="32"/>
        </w:rPr>
        <w:sectPr>
          <w:footerReference r:id="rId12" w:type="default"/>
          <w:pgSz w:w="11906" w:h="16838"/>
          <w:pgMar w:top="1431" w:right="1540" w:bottom="1766" w:left="1555" w:header="0" w:footer="1534" w:gutter="0"/>
          <w:pgNumType w:fmt="numberInDash"/>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167" w:line="214" w:lineRule="auto"/>
        <w:jc w:val="center"/>
        <w:rPr>
          <w:rFonts w:hint="eastAsia" w:ascii="黑体" w:hAnsi="黑体" w:eastAsia="黑体" w:cs="黑体"/>
          <w:sz w:val="44"/>
          <w:szCs w:val="44"/>
        </w:rPr>
      </w:pPr>
      <w:r>
        <w:rPr>
          <w:rFonts w:hint="eastAsia" w:ascii="黑体" w:hAnsi="黑体" w:eastAsia="黑体" w:cs="黑体"/>
          <w:spacing w:val="34"/>
          <w:sz w:val="44"/>
          <w:szCs w:val="44"/>
          <w:lang w:eastAsia="zh-CN"/>
        </w:rPr>
        <w:t>新县</w:t>
      </w:r>
      <w:r>
        <w:rPr>
          <w:rFonts w:hint="eastAsia" w:ascii="黑体" w:hAnsi="黑体" w:eastAsia="黑体" w:cs="黑体"/>
          <w:spacing w:val="26"/>
          <w:sz w:val="44"/>
          <w:szCs w:val="44"/>
        </w:rPr>
        <w:t>县域商业体系建设</w:t>
      </w:r>
      <w:r>
        <w:rPr>
          <w:rFonts w:hint="eastAsia" w:ascii="黑体" w:hAnsi="黑体" w:eastAsia="黑体" w:cs="黑体"/>
          <w:spacing w:val="23"/>
          <w:sz w:val="44"/>
          <w:szCs w:val="44"/>
        </w:rPr>
        <w:t>日</w:t>
      </w:r>
      <w:r>
        <w:rPr>
          <w:rFonts w:hint="eastAsia" w:ascii="黑体" w:hAnsi="黑体" w:eastAsia="黑体" w:cs="黑体"/>
          <w:spacing w:val="17"/>
          <w:sz w:val="44"/>
          <w:szCs w:val="44"/>
        </w:rPr>
        <w:t>常监督管理办法</w:t>
      </w:r>
    </w:p>
    <w:p>
      <w:pPr>
        <w:spacing w:before="282" w:line="195" w:lineRule="auto"/>
        <w:ind w:left="3654"/>
        <w:rPr>
          <w:rFonts w:hint="eastAsia" w:ascii="黑体" w:hAnsi="黑体" w:eastAsia="黑体" w:cs="黑体"/>
          <w:sz w:val="32"/>
          <w:szCs w:val="32"/>
        </w:rPr>
      </w:pPr>
      <w:r>
        <w:rPr>
          <w:rFonts w:hint="eastAsia" w:ascii="黑体" w:hAnsi="黑体" w:eastAsia="黑体" w:cs="黑体"/>
          <w:spacing w:val="4"/>
          <w:sz w:val="32"/>
          <w:szCs w:val="32"/>
        </w:rPr>
        <w:t xml:space="preserve">(试       行 </w:t>
      </w:r>
      <w:r>
        <w:rPr>
          <w:rFonts w:hint="eastAsia" w:ascii="黑体" w:hAnsi="黑体" w:eastAsia="黑体" w:cs="黑体"/>
          <w:spacing w:val="2"/>
          <w:sz w:val="32"/>
          <w:szCs w:val="32"/>
        </w:rPr>
        <w:t>)</w:t>
      </w:r>
    </w:p>
    <w:p>
      <w:pPr>
        <w:spacing w:line="29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24" w:line="576" w:lineRule="atLeast"/>
        <w:ind w:left="2" w:right="116" w:firstLine="627"/>
        <w:textAlignment w:val="baseline"/>
        <w:rPr>
          <w:rFonts w:hint="eastAsia" w:ascii="仿宋" w:hAnsi="仿宋" w:eastAsia="仿宋" w:cs="仿宋"/>
          <w:spacing w:val="0"/>
          <w:sz w:val="32"/>
          <w:szCs w:val="32"/>
        </w:rPr>
      </w:pPr>
      <w:r>
        <w:rPr>
          <w:rFonts w:hint="eastAsia" w:ascii="黑体" w:hAnsi="黑体" w:eastAsia="黑体" w:cs="黑体"/>
          <w:spacing w:val="0"/>
          <w:sz w:val="32"/>
          <w:szCs w:val="32"/>
        </w:rPr>
        <w:t>第一条</w:t>
      </w:r>
      <w:r>
        <w:rPr>
          <w:rFonts w:hint="eastAsia" w:ascii="仿宋" w:hAnsi="仿宋" w:eastAsia="仿宋" w:cs="仿宋"/>
          <w:spacing w:val="0"/>
          <w:sz w:val="32"/>
          <w:szCs w:val="32"/>
        </w:rPr>
        <w:t xml:space="preserve">  为加强全省县域商业体系建设工作</w:t>
      </w:r>
      <w:r>
        <w:rPr>
          <w:rFonts w:hint="eastAsia" w:ascii="仿宋" w:hAnsi="仿宋" w:eastAsia="仿宋" w:cs="仿宋"/>
          <w:spacing w:val="0"/>
          <w:sz w:val="32"/>
          <w:szCs w:val="32"/>
          <w:lang w:val="en-US" w:eastAsia="zh-CN"/>
        </w:rPr>
        <w:t>日</w:t>
      </w:r>
      <w:r>
        <w:rPr>
          <w:rFonts w:hint="eastAsia" w:ascii="仿宋" w:hAnsi="仿宋" w:eastAsia="仿宋" w:cs="仿宋"/>
          <w:spacing w:val="0"/>
          <w:sz w:val="32"/>
          <w:szCs w:val="32"/>
        </w:rPr>
        <w:t>常监管,制定本办法 。</w:t>
      </w:r>
    </w:p>
    <w:p>
      <w:pPr>
        <w:keepNext w:val="0"/>
        <w:keepLines w:val="0"/>
        <w:pageBreakBefore w:val="0"/>
        <w:widowControl/>
        <w:kinsoku w:val="0"/>
        <w:wordWrap/>
        <w:overflowPunct/>
        <w:topLinePunct w:val="0"/>
        <w:autoSpaceDE w:val="0"/>
        <w:autoSpaceDN w:val="0"/>
        <w:bidi w:val="0"/>
        <w:adjustRightInd w:val="0"/>
        <w:snapToGrid w:val="0"/>
        <w:spacing w:before="5" w:line="576" w:lineRule="atLeast"/>
        <w:ind w:firstLine="629"/>
        <w:textAlignment w:val="baseline"/>
        <w:rPr>
          <w:rFonts w:hint="eastAsia" w:ascii="仿宋" w:hAnsi="仿宋" w:eastAsia="仿宋" w:cs="仿宋"/>
          <w:spacing w:val="0"/>
          <w:sz w:val="32"/>
          <w:szCs w:val="32"/>
        </w:rPr>
      </w:pPr>
      <w:r>
        <w:rPr>
          <w:rFonts w:hint="eastAsia" w:ascii="黑体" w:hAnsi="黑体" w:eastAsia="黑体" w:cs="黑体"/>
          <w:spacing w:val="0"/>
          <w:sz w:val="32"/>
          <w:szCs w:val="32"/>
        </w:rPr>
        <w:t>第二条</w:t>
      </w:r>
      <w:r>
        <w:rPr>
          <w:rFonts w:hint="eastAsia" w:ascii="仿宋" w:hAnsi="仿宋" w:eastAsia="仿宋" w:cs="仿宋"/>
          <w:spacing w:val="0"/>
          <w:sz w:val="32"/>
          <w:szCs w:val="32"/>
        </w:rPr>
        <w:t xml:space="preserve">  本办法所称日常监管</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是指</w:t>
      </w:r>
      <w:r>
        <w:rPr>
          <w:rFonts w:hint="eastAsia" w:ascii="仿宋" w:hAnsi="仿宋" w:eastAsia="仿宋" w:cs="仿宋"/>
          <w:spacing w:val="0"/>
          <w:sz w:val="32"/>
          <w:szCs w:val="32"/>
          <w:lang w:val="en-US" w:eastAsia="zh-CN"/>
        </w:rPr>
        <w:t>电子商务服务中心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财政</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乡村振兴部门(以下简称“业务主管部门 ”)对本辖区县域商业体系建设工作开展的监督检查活动 。</w:t>
      </w:r>
    </w:p>
    <w:p>
      <w:pPr>
        <w:keepNext w:val="0"/>
        <w:keepLines w:val="0"/>
        <w:pageBreakBefore w:val="0"/>
        <w:widowControl/>
        <w:kinsoku w:val="0"/>
        <w:wordWrap/>
        <w:overflowPunct/>
        <w:topLinePunct w:val="0"/>
        <w:autoSpaceDE w:val="0"/>
        <w:autoSpaceDN w:val="0"/>
        <w:bidi w:val="0"/>
        <w:adjustRightInd w:val="0"/>
        <w:snapToGrid w:val="0"/>
        <w:spacing w:line="576" w:lineRule="atLeast"/>
        <w:ind w:left="3" w:firstLine="626"/>
        <w:textAlignment w:val="baseline"/>
        <w:rPr>
          <w:rFonts w:hint="eastAsia" w:ascii="仿宋" w:hAnsi="仿宋" w:eastAsia="仿宋" w:cs="仿宋"/>
          <w:spacing w:val="0"/>
          <w:sz w:val="32"/>
          <w:szCs w:val="32"/>
        </w:rPr>
      </w:pPr>
      <w:r>
        <w:rPr>
          <w:rFonts w:hint="eastAsia" w:ascii="黑体" w:hAnsi="黑体" w:eastAsia="黑体" w:cs="黑体"/>
          <w:spacing w:val="0"/>
          <w:sz w:val="32"/>
          <w:szCs w:val="32"/>
        </w:rPr>
        <w:t>第三条</w:t>
      </w:r>
      <w:r>
        <w:rPr>
          <w:rFonts w:hint="eastAsia" w:ascii="仿宋" w:hAnsi="仿宋" w:eastAsia="仿宋" w:cs="仿宋"/>
          <w:spacing w:val="0"/>
          <w:sz w:val="32"/>
          <w:szCs w:val="32"/>
        </w:rPr>
        <w:t xml:space="preserve">  日常监管严格落实“中央统筹</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省负总责</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市县抓落实”机制要求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坚持权责对等</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“谁使用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谁负责”“谁推荐</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谁负责”“花钱必问效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无效必问责”原则</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强化体系建设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能力建设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责任落实</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规范监管行为。</w:t>
      </w:r>
    </w:p>
    <w:p>
      <w:pPr>
        <w:keepNext w:val="0"/>
        <w:keepLines w:val="0"/>
        <w:pageBreakBefore w:val="0"/>
        <w:widowControl/>
        <w:kinsoku w:val="0"/>
        <w:wordWrap/>
        <w:overflowPunct/>
        <w:topLinePunct w:val="0"/>
        <w:autoSpaceDE w:val="0"/>
        <w:autoSpaceDN w:val="0"/>
        <w:bidi w:val="0"/>
        <w:adjustRightInd w:val="0"/>
        <w:snapToGrid w:val="0"/>
        <w:spacing w:line="576" w:lineRule="atLeast"/>
        <w:ind w:left="3" w:firstLine="626"/>
        <w:textAlignment w:val="baseline"/>
        <w:rPr>
          <w:rFonts w:hint="eastAsia" w:ascii="仿宋" w:hAnsi="仿宋" w:eastAsia="仿宋" w:cs="仿宋"/>
          <w:spacing w:val="0"/>
          <w:sz w:val="32"/>
          <w:szCs w:val="32"/>
        </w:rPr>
      </w:pPr>
      <w:r>
        <w:rPr>
          <w:rFonts w:hint="eastAsia" w:ascii="黑体" w:hAnsi="黑体" w:eastAsia="黑体" w:cs="黑体"/>
          <w:spacing w:val="0"/>
          <w:sz w:val="32"/>
          <w:szCs w:val="32"/>
          <w:lang w:val="en-US" w:eastAsia="zh-CN"/>
        </w:rPr>
        <w:t>第四条</w:t>
      </w:r>
      <w:r>
        <w:rPr>
          <w:rFonts w:hint="eastAsia" w:ascii="仿宋" w:hAnsi="仿宋" w:eastAsia="仿宋" w:cs="仿宋"/>
          <w:spacing w:val="0"/>
          <w:sz w:val="32"/>
          <w:szCs w:val="32"/>
          <w:lang w:val="en-US" w:eastAsia="zh-CN"/>
        </w:rPr>
        <w:t xml:space="preserve">  县</w:t>
      </w:r>
      <w:r>
        <w:rPr>
          <w:rFonts w:hint="eastAsia" w:ascii="仿宋" w:hAnsi="仿宋" w:eastAsia="仿宋" w:cs="仿宋"/>
          <w:spacing w:val="0"/>
          <w:sz w:val="32"/>
          <w:szCs w:val="32"/>
        </w:rPr>
        <w:t>业务主管部门统筹指导全</w:t>
      </w:r>
      <w:r>
        <w:rPr>
          <w:rFonts w:hint="eastAsia" w:ascii="仿宋" w:hAnsi="仿宋" w:eastAsia="仿宋" w:cs="仿宋"/>
          <w:spacing w:val="0"/>
          <w:sz w:val="32"/>
          <w:szCs w:val="32"/>
          <w:lang w:val="en-US" w:eastAsia="zh-CN"/>
        </w:rPr>
        <w:t>县</w:t>
      </w:r>
      <w:r>
        <w:rPr>
          <w:rFonts w:hint="eastAsia" w:ascii="仿宋" w:hAnsi="仿宋" w:eastAsia="仿宋" w:cs="仿宋"/>
          <w:spacing w:val="0"/>
          <w:sz w:val="32"/>
          <w:szCs w:val="32"/>
        </w:rPr>
        <w:t>县域商业体系建设工作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委托第三方机构开展日常监管。</w:t>
      </w:r>
    </w:p>
    <w:p>
      <w:pPr>
        <w:keepNext w:val="0"/>
        <w:keepLines w:val="0"/>
        <w:pageBreakBefore w:val="0"/>
        <w:widowControl/>
        <w:kinsoku w:val="0"/>
        <w:wordWrap/>
        <w:overflowPunct/>
        <w:topLinePunct w:val="0"/>
        <w:autoSpaceDE w:val="0"/>
        <w:autoSpaceDN w:val="0"/>
        <w:bidi w:val="0"/>
        <w:adjustRightInd w:val="0"/>
        <w:snapToGrid w:val="0"/>
        <w:spacing w:before="124" w:line="576" w:lineRule="atLeast"/>
        <w:ind w:left="2" w:firstLine="626"/>
        <w:textAlignment w:val="baseline"/>
        <w:rPr>
          <w:rFonts w:hint="eastAsia" w:ascii="仿宋" w:hAnsi="仿宋" w:eastAsia="仿宋" w:cs="仿宋"/>
          <w:spacing w:val="0"/>
          <w:sz w:val="32"/>
          <w:szCs w:val="32"/>
          <w:lang w:eastAsia="zh-CN"/>
        </w:rPr>
      </w:pPr>
      <w:r>
        <w:rPr>
          <w:rFonts w:hint="eastAsia" w:ascii="黑体" w:hAnsi="黑体" w:eastAsia="黑体" w:cs="黑体"/>
          <w:spacing w:val="0"/>
          <w:sz w:val="32"/>
          <w:szCs w:val="32"/>
        </w:rPr>
        <w:t>第五条</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县</w:t>
      </w:r>
      <w:r>
        <w:rPr>
          <w:rFonts w:hint="eastAsia" w:ascii="仿宋" w:hAnsi="仿宋" w:eastAsia="仿宋" w:cs="仿宋"/>
          <w:spacing w:val="0"/>
          <w:sz w:val="32"/>
          <w:szCs w:val="32"/>
        </w:rPr>
        <w:t>业务主管部门负责制定日常监管工作方案</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,做好绩效评价</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问题整改</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明察暗访等日常监管工作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对发现的问题开展经常性“回头看”</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督促整改落实</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加强结果应用 ,  完善奖惩措施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强化奖优罚劣导向</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原则上每</w:t>
      </w:r>
      <w:r>
        <w:rPr>
          <w:rFonts w:hint="eastAsia" w:ascii="仿宋" w:hAnsi="仿宋" w:eastAsia="仿宋" w:cs="仿宋"/>
          <w:spacing w:val="0"/>
          <w:sz w:val="32"/>
          <w:szCs w:val="32"/>
          <w:lang w:val="en-US" w:eastAsia="zh-CN"/>
        </w:rPr>
        <w:t>月</w:t>
      </w:r>
      <w:r>
        <w:rPr>
          <w:rFonts w:hint="eastAsia" w:ascii="仿宋" w:hAnsi="仿宋" w:eastAsia="仿宋" w:cs="仿宋"/>
          <w:spacing w:val="0"/>
          <w:sz w:val="32"/>
          <w:szCs w:val="32"/>
        </w:rPr>
        <w:t>对所辖示范</w:t>
      </w:r>
      <w:r>
        <w:rPr>
          <w:rFonts w:hint="eastAsia" w:ascii="仿宋" w:hAnsi="仿宋" w:eastAsia="仿宋" w:cs="仿宋"/>
          <w:spacing w:val="0"/>
          <w:sz w:val="32"/>
          <w:szCs w:val="32"/>
          <w:lang w:val="en-US" w:eastAsia="zh-CN"/>
        </w:rPr>
        <w:t>项目</w:t>
      </w:r>
      <w:r>
        <w:rPr>
          <w:rFonts w:hint="eastAsia" w:ascii="仿宋" w:hAnsi="仿宋" w:eastAsia="仿宋" w:cs="仿宋"/>
          <w:spacing w:val="0"/>
          <w:sz w:val="32"/>
          <w:szCs w:val="32"/>
        </w:rPr>
        <w:t xml:space="preserve">实地检查不得少于 一 次 </w:t>
      </w:r>
      <w:r>
        <w:rPr>
          <w:rFonts w:hint="eastAsia" w:ascii="仿宋" w:hAnsi="仿宋" w:eastAsia="仿宋" w:cs="仿宋"/>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24" w:line="576" w:lineRule="atLeast"/>
        <w:ind w:left="2" w:firstLine="626"/>
        <w:textAlignment w:val="baseline"/>
        <w:rPr>
          <w:rFonts w:hint="eastAsia" w:ascii="仿宋" w:hAnsi="仿宋" w:eastAsia="仿宋" w:cs="仿宋"/>
          <w:spacing w:val="0"/>
          <w:sz w:val="32"/>
          <w:szCs w:val="32"/>
        </w:rPr>
      </w:pPr>
      <w:r>
        <w:rPr>
          <w:rFonts w:hint="eastAsia" w:ascii="黑体" w:hAnsi="黑体" w:eastAsia="黑体" w:cs="黑体"/>
          <w:spacing w:val="0"/>
          <w:sz w:val="32"/>
          <w:szCs w:val="32"/>
        </w:rPr>
        <w:t>第六条</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新县人民政府</w:t>
      </w:r>
      <w:r>
        <w:rPr>
          <w:rFonts w:hint="eastAsia" w:ascii="仿宋" w:hAnsi="仿宋" w:eastAsia="仿宋" w:cs="仿宋"/>
          <w:spacing w:val="0"/>
          <w:sz w:val="32"/>
          <w:szCs w:val="32"/>
        </w:rPr>
        <w:t>负责县域商业体系建设日常监管工作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制定日常监管方案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明确日常监管责任人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建立工作台账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主动引入第三方机构参与日常监管</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定期开展现场监督检查</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加强项目资产监督管理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提出整改要求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对发现的问题及时整改。</w:t>
      </w:r>
    </w:p>
    <w:p>
      <w:pPr>
        <w:keepNext w:val="0"/>
        <w:keepLines w:val="0"/>
        <w:pageBreakBefore w:val="0"/>
        <w:widowControl/>
        <w:kinsoku w:val="0"/>
        <w:wordWrap/>
        <w:overflowPunct/>
        <w:topLinePunct w:val="0"/>
        <w:autoSpaceDE w:val="0"/>
        <w:autoSpaceDN w:val="0"/>
        <w:bidi w:val="0"/>
        <w:adjustRightInd w:val="0"/>
        <w:snapToGrid w:val="0"/>
        <w:spacing w:before="5" w:line="576" w:lineRule="atLeast"/>
        <w:ind w:right="111" w:firstLine="628"/>
        <w:textAlignment w:val="baseline"/>
        <w:rPr>
          <w:rFonts w:hint="eastAsia" w:ascii="仿宋" w:hAnsi="仿宋" w:eastAsia="仿宋" w:cs="仿宋"/>
          <w:spacing w:val="0"/>
          <w:sz w:val="32"/>
          <w:szCs w:val="32"/>
        </w:rPr>
      </w:pPr>
      <w:r>
        <w:rPr>
          <w:rFonts w:hint="eastAsia" w:ascii="黑体" w:hAnsi="黑体" w:eastAsia="黑体" w:cs="黑体"/>
          <w:spacing w:val="0"/>
          <w:sz w:val="32"/>
          <w:szCs w:val="32"/>
        </w:rPr>
        <w:t>第七条</w:t>
      </w:r>
      <w:r>
        <w:rPr>
          <w:rFonts w:hint="eastAsia" w:ascii="仿宋" w:hAnsi="仿宋" w:eastAsia="仿宋" w:cs="仿宋"/>
          <w:spacing w:val="0"/>
          <w:sz w:val="32"/>
          <w:szCs w:val="32"/>
        </w:rPr>
        <w:t xml:space="preserve">  县</w:t>
      </w:r>
      <w:r>
        <w:rPr>
          <w:rFonts w:hint="eastAsia" w:ascii="仿宋" w:hAnsi="仿宋" w:eastAsia="仿宋" w:cs="仿宋"/>
          <w:spacing w:val="0"/>
          <w:sz w:val="32"/>
          <w:szCs w:val="32"/>
          <w:lang w:val="en-US" w:eastAsia="zh-CN"/>
        </w:rPr>
        <w:t>电子商务服务中心</w:t>
      </w:r>
      <w:r>
        <w:rPr>
          <w:rFonts w:hint="eastAsia" w:ascii="仿宋" w:hAnsi="仿宋" w:eastAsia="仿宋" w:cs="仿宋"/>
          <w:spacing w:val="0"/>
          <w:sz w:val="32"/>
          <w:szCs w:val="32"/>
        </w:rPr>
        <w:t>按要求实施项目完成情况统计调查</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逐级审核上报统计数据</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并加强汇总分析</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新县电子商务服务中心</w:t>
      </w:r>
      <w:r>
        <w:rPr>
          <w:rFonts w:hint="eastAsia" w:ascii="仿宋" w:hAnsi="仿宋" w:eastAsia="仿宋" w:cs="仿宋"/>
          <w:spacing w:val="0"/>
          <w:sz w:val="32"/>
          <w:szCs w:val="32"/>
        </w:rPr>
        <w:t>负责全</w:t>
      </w:r>
      <w:r>
        <w:rPr>
          <w:rFonts w:hint="eastAsia" w:ascii="仿宋" w:hAnsi="仿宋" w:eastAsia="仿宋" w:cs="仿宋"/>
          <w:spacing w:val="0"/>
          <w:sz w:val="32"/>
          <w:szCs w:val="32"/>
          <w:lang w:val="en-US" w:eastAsia="zh-CN"/>
        </w:rPr>
        <w:t>县</w:t>
      </w:r>
      <w:r>
        <w:rPr>
          <w:rFonts w:hint="eastAsia" w:ascii="仿宋" w:hAnsi="仿宋" w:eastAsia="仿宋" w:cs="仿宋"/>
          <w:spacing w:val="0"/>
          <w:sz w:val="32"/>
          <w:szCs w:val="32"/>
        </w:rPr>
        <w:t>数据的收集汇总与统计分析</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示范县信息报送的时效性和准确性纳入年度绩效考核。</w:t>
      </w:r>
    </w:p>
    <w:p>
      <w:pPr>
        <w:keepNext w:val="0"/>
        <w:keepLines w:val="0"/>
        <w:pageBreakBefore w:val="0"/>
        <w:widowControl/>
        <w:kinsoku w:val="0"/>
        <w:wordWrap/>
        <w:overflowPunct/>
        <w:topLinePunct w:val="0"/>
        <w:autoSpaceDE w:val="0"/>
        <w:autoSpaceDN w:val="0"/>
        <w:bidi w:val="0"/>
        <w:adjustRightInd w:val="0"/>
        <w:snapToGrid w:val="0"/>
        <w:spacing w:before="3" w:line="576" w:lineRule="atLeast"/>
        <w:ind w:left="1" w:right="111" w:firstLine="627"/>
        <w:textAlignment w:val="baseline"/>
        <w:rPr>
          <w:rFonts w:hint="eastAsia" w:ascii="仿宋" w:hAnsi="仿宋" w:eastAsia="仿宋" w:cs="仿宋"/>
          <w:spacing w:val="0"/>
          <w:sz w:val="32"/>
          <w:szCs w:val="32"/>
        </w:rPr>
      </w:pPr>
      <w:r>
        <w:rPr>
          <w:rFonts w:hint="eastAsia" w:ascii="黑体" w:hAnsi="黑体" w:eastAsia="黑体" w:cs="黑体"/>
          <w:spacing w:val="0"/>
          <w:sz w:val="32"/>
          <w:szCs w:val="32"/>
        </w:rPr>
        <w:t>第八条</w:t>
      </w:r>
      <w:r>
        <w:rPr>
          <w:rFonts w:hint="eastAsia" w:ascii="仿宋" w:hAnsi="仿宋" w:eastAsia="仿宋" w:cs="仿宋"/>
          <w:spacing w:val="0"/>
          <w:sz w:val="32"/>
          <w:szCs w:val="32"/>
        </w:rPr>
        <w:t xml:space="preserve">  县</w:t>
      </w:r>
      <w:r>
        <w:rPr>
          <w:rFonts w:hint="eastAsia" w:ascii="仿宋" w:hAnsi="仿宋" w:eastAsia="仿宋" w:cs="仿宋"/>
          <w:spacing w:val="0"/>
          <w:sz w:val="32"/>
          <w:szCs w:val="32"/>
          <w:lang w:val="en-US" w:eastAsia="zh-CN"/>
        </w:rPr>
        <w:t>电子商务服务中心</w:t>
      </w:r>
      <w:r>
        <w:rPr>
          <w:rFonts w:hint="eastAsia" w:ascii="仿宋" w:hAnsi="仿宋" w:eastAsia="仿宋" w:cs="仿宋"/>
          <w:spacing w:val="0"/>
          <w:sz w:val="32"/>
          <w:szCs w:val="32"/>
        </w:rPr>
        <w:t>建立辖区内县域商业体系建设日常监督档案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档案应包括被检查对象基本情况</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监督检查记录</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检查处理结果等信息 。</w:t>
      </w:r>
    </w:p>
    <w:p>
      <w:pPr>
        <w:keepNext w:val="0"/>
        <w:keepLines w:val="0"/>
        <w:pageBreakBefore w:val="0"/>
        <w:widowControl/>
        <w:kinsoku w:val="0"/>
        <w:wordWrap/>
        <w:overflowPunct/>
        <w:topLinePunct w:val="0"/>
        <w:autoSpaceDE w:val="0"/>
        <w:autoSpaceDN w:val="0"/>
        <w:bidi w:val="0"/>
        <w:adjustRightInd w:val="0"/>
        <w:snapToGrid w:val="0"/>
        <w:spacing w:before="2" w:line="576" w:lineRule="atLeast"/>
        <w:ind w:left="1" w:right="111" w:firstLine="627"/>
        <w:textAlignment w:val="baseline"/>
        <w:rPr>
          <w:rFonts w:hint="eastAsia" w:ascii="仿宋" w:hAnsi="仿宋" w:eastAsia="仿宋" w:cs="仿宋"/>
          <w:spacing w:val="0"/>
          <w:sz w:val="32"/>
          <w:szCs w:val="32"/>
        </w:rPr>
      </w:pPr>
      <w:r>
        <w:rPr>
          <w:rFonts w:hint="eastAsia" w:ascii="黑体" w:hAnsi="黑体" w:eastAsia="黑体" w:cs="黑体"/>
          <w:spacing w:val="0"/>
          <w:sz w:val="32"/>
          <w:szCs w:val="32"/>
        </w:rPr>
        <w:t>第九条</w:t>
      </w:r>
      <w:r>
        <w:rPr>
          <w:rFonts w:hint="eastAsia" w:ascii="仿宋" w:hAnsi="仿宋" w:eastAsia="仿宋" w:cs="仿宋"/>
          <w:spacing w:val="0"/>
          <w:sz w:val="32"/>
          <w:szCs w:val="32"/>
        </w:rPr>
        <w:t xml:space="preserve">  监督检查中发现弄虚作假等重大问题的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依法依规处理。</w:t>
      </w:r>
    </w:p>
    <w:p>
      <w:pPr>
        <w:keepNext w:val="0"/>
        <w:keepLines w:val="0"/>
        <w:pageBreakBefore w:val="0"/>
        <w:widowControl/>
        <w:kinsoku w:val="0"/>
        <w:wordWrap/>
        <w:overflowPunct/>
        <w:topLinePunct w:val="0"/>
        <w:autoSpaceDE w:val="0"/>
        <w:autoSpaceDN w:val="0"/>
        <w:bidi w:val="0"/>
        <w:adjustRightInd w:val="0"/>
        <w:snapToGrid w:val="0"/>
        <w:spacing w:before="3" w:line="576" w:lineRule="atLeast"/>
        <w:ind w:left="1" w:right="111" w:firstLine="627"/>
        <w:textAlignment w:val="baseline"/>
        <w:rPr>
          <w:rFonts w:hint="eastAsia" w:ascii="仿宋" w:hAnsi="仿宋" w:eastAsia="仿宋" w:cs="仿宋"/>
          <w:spacing w:val="0"/>
          <w:sz w:val="32"/>
          <w:szCs w:val="32"/>
        </w:rPr>
        <w:sectPr>
          <w:footerReference r:id="rId13" w:type="default"/>
          <w:pgSz w:w="11906" w:h="16838"/>
          <w:pgMar w:top="1431" w:right="1429" w:bottom="1766" w:left="1555" w:header="0" w:footer="1534" w:gutter="0"/>
          <w:pgNumType w:fmt="numberInDash"/>
          <w:cols w:space="720" w:num="1"/>
        </w:sectPr>
      </w:pPr>
      <w:r>
        <w:rPr>
          <w:rFonts w:hint="eastAsia" w:ascii="黑体" w:hAnsi="黑体" w:eastAsia="黑体" w:cs="黑体"/>
          <w:spacing w:val="0"/>
          <w:sz w:val="32"/>
          <w:szCs w:val="32"/>
        </w:rPr>
        <w:t>第十条</w:t>
      </w:r>
      <w:r>
        <w:rPr>
          <w:rFonts w:hint="eastAsia" w:ascii="仿宋" w:hAnsi="仿宋" w:eastAsia="仿宋" w:cs="仿宋"/>
          <w:spacing w:val="0"/>
          <w:sz w:val="32"/>
          <w:szCs w:val="32"/>
        </w:rPr>
        <w:t xml:space="preserve">  本办法由</w:t>
      </w:r>
      <w:r>
        <w:rPr>
          <w:rFonts w:hint="eastAsia" w:ascii="仿宋" w:hAnsi="仿宋" w:eastAsia="仿宋" w:cs="仿宋"/>
          <w:spacing w:val="0"/>
          <w:sz w:val="32"/>
          <w:szCs w:val="32"/>
          <w:lang w:val="en-US" w:eastAsia="zh-CN"/>
        </w:rPr>
        <w:t>新县电子商务服务中心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县</w:t>
      </w:r>
      <w:r>
        <w:rPr>
          <w:rFonts w:hint="eastAsia" w:ascii="仿宋" w:hAnsi="仿宋" w:eastAsia="仿宋" w:cs="仿宋"/>
          <w:spacing w:val="0"/>
          <w:sz w:val="32"/>
          <w:szCs w:val="32"/>
        </w:rPr>
        <w:t>财政</w:t>
      </w:r>
      <w:r>
        <w:rPr>
          <w:rFonts w:hint="eastAsia" w:ascii="仿宋" w:hAnsi="仿宋" w:eastAsia="仿宋" w:cs="仿宋"/>
          <w:spacing w:val="0"/>
          <w:sz w:val="32"/>
          <w:szCs w:val="32"/>
          <w:lang w:val="en-US" w:eastAsia="zh-CN"/>
        </w:rPr>
        <w:t>局、</w:t>
      </w:r>
      <w:r>
        <w:rPr>
          <w:rFonts w:hint="eastAsia" w:ascii="仿宋" w:hAnsi="仿宋" w:eastAsia="仿宋" w:cs="仿宋"/>
          <w:spacing w:val="0"/>
          <w:sz w:val="32"/>
          <w:szCs w:val="32"/>
        </w:rPr>
        <w:t>乡村振兴局负责解释</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自印发之日起施行。</w:t>
      </w:r>
    </w:p>
    <w:p>
      <w:pPr>
        <w:spacing w:line="268" w:lineRule="auto"/>
        <w:rPr>
          <w:rFonts w:ascii="Arial"/>
          <w:sz w:val="21"/>
        </w:rPr>
      </w:pPr>
    </w:p>
    <w:p>
      <w:pPr>
        <w:spacing w:before="167" w:line="214" w:lineRule="auto"/>
        <w:ind w:left="848"/>
        <w:jc w:val="center"/>
        <w:rPr>
          <w:rFonts w:ascii="微软雅黑" w:hAnsi="微软雅黑" w:eastAsia="微软雅黑" w:cs="微软雅黑"/>
          <w:sz w:val="39"/>
          <w:szCs w:val="39"/>
        </w:rPr>
      </w:pPr>
      <w:r>
        <w:rPr>
          <w:rFonts w:hint="eastAsia" w:ascii="微软雅黑" w:hAnsi="微软雅黑" w:eastAsia="微软雅黑" w:cs="微软雅黑"/>
          <w:spacing w:val="27"/>
          <w:sz w:val="39"/>
          <w:szCs w:val="39"/>
          <w:lang w:eastAsia="zh-CN"/>
        </w:rPr>
        <w:t>新县</w:t>
      </w:r>
      <w:r>
        <w:rPr>
          <w:rFonts w:ascii="微软雅黑" w:hAnsi="微软雅黑" w:eastAsia="微软雅黑" w:cs="微软雅黑"/>
          <w:spacing w:val="27"/>
          <w:sz w:val="39"/>
          <w:szCs w:val="39"/>
        </w:rPr>
        <w:t>县域商业体系建设类型划分标准</w:t>
      </w:r>
    </w:p>
    <w:p>
      <w:pPr>
        <w:spacing w:before="299" w:line="195" w:lineRule="auto"/>
        <w:ind w:left="3654"/>
        <w:rPr>
          <w:rFonts w:hint="eastAsia" w:ascii="黑体" w:hAnsi="黑体" w:eastAsia="黑体" w:cs="黑体"/>
          <w:sz w:val="32"/>
          <w:szCs w:val="32"/>
        </w:rPr>
      </w:pPr>
      <w:r>
        <w:rPr>
          <w:rFonts w:hint="eastAsia" w:ascii="黑体" w:hAnsi="黑体" w:eastAsia="黑体" w:cs="黑体"/>
          <w:spacing w:val="12"/>
          <w:sz w:val="32"/>
          <w:szCs w:val="32"/>
        </w:rPr>
        <w:t>(试       行)</w:t>
      </w:r>
    </w:p>
    <w:p>
      <w:pPr>
        <w:spacing w:line="30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24" w:line="576" w:lineRule="atLeast"/>
        <w:ind w:left="5" w:right="116" w:firstLine="63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对照《县域商业体系建设指南》,以县乡村商业网络体系和农村物流配送“三点一线 ”为重点</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综合县域商业网点设施</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功能业态</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市场主体</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消费环境</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安全水平等因素, 结合我省实际,制定参考标准如下 :</w:t>
      </w:r>
    </w:p>
    <w:p>
      <w:pPr>
        <w:keepNext w:val="0"/>
        <w:keepLines w:val="0"/>
        <w:pageBreakBefore w:val="0"/>
        <w:widowControl/>
        <w:kinsoku w:val="0"/>
        <w:wordWrap/>
        <w:overflowPunct/>
        <w:topLinePunct w:val="0"/>
        <w:autoSpaceDE w:val="0"/>
        <w:autoSpaceDN w:val="0"/>
        <w:bidi w:val="0"/>
        <w:adjustRightInd w:val="0"/>
        <w:snapToGrid w:val="0"/>
        <w:spacing w:line="576" w:lineRule="atLeast"/>
        <w:ind w:left="634"/>
        <w:jc w:val="both"/>
        <w:textAlignment w:val="baseline"/>
        <w:rPr>
          <w:rFonts w:hint="eastAsia" w:ascii="仿宋" w:hAnsi="仿宋" w:eastAsia="仿宋" w:cs="仿宋"/>
          <w:spacing w:val="0"/>
          <w:position w:val="0"/>
          <w:sz w:val="32"/>
          <w:szCs w:val="32"/>
        </w:rPr>
      </w:pPr>
      <w:r>
        <w:rPr>
          <w:rFonts w:hint="eastAsia" w:ascii="黑体" w:hAnsi="黑体" w:eastAsia="黑体" w:cs="黑体"/>
          <w:spacing w:val="0"/>
          <w:position w:val="0"/>
          <w:sz w:val="32"/>
          <w:szCs w:val="32"/>
        </w:rPr>
        <w:t>一、基本型</w:t>
      </w:r>
    </w:p>
    <w:p>
      <w:pPr>
        <w:keepNext w:val="0"/>
        <w:keepLines w:val="0"/>
        <w:pageBreakBefore w:val="0"/>
        <w:widowControl/>
        <w:kinsoku w:val="0"/>
        <w:wordWrap/>
        <w:overflowPunct/>
        <w:topLinePunct w:val="0"/>
        <w:autoSpaceDE w:val="0"/>
        <w:autoSpaceDN w:val="0"/>
        <w:bidi w:val="0"/>
        <w:adjustRightInd w:val="0"/>
        <w:snapToGrid w:val="0"/>
        <w:spacing w:before="175" w:line="576" w:lineRule="atLeast"/>
        <w:ind w:right="116" w:firstLine="647"/>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w:t>
      </w:r>
      <w:r>
        <w:rPr>
          <w:rFonts w:hint="eastAsia" w:ascii="仿宋" w:hAnsi="仿宋" w:eastAsia="仿宋" w:cs="仿宋"/>
          <w:spacing w:val="0"/>
          <w:position w:val="0"/>
          <w:sz w:val="32"/>
          <w:szCs w:val="32"/>
          <w:lang w:val="en-US" w:eastAsia="zh-CN"/>
        </w:rPr>
        <w:t>一</w:t>
      </w:r>
      <w:r>
        <w:rPr>
          <w:rFonts w:hint="eastAsia" w:ascii="仿宋" w:hAnsi="仿宋" w:eastAsia="仿宋" w:cs="仿宋"/>
          <w:spacing w:val="0"/>
          <w:position w:val="0"/>
          <w:sz w:val="32"/>
          <w:szCs w:val="32"/>
        </w:rPr>
        <w:t>)</w:t>
      </w:r>
      <w:r>
        <w:rPr>
          <w:rFonts w:hint="eastAsia" w:ascii="仿宋" w:hAnsi="仿宋" w:eastAsia="仿宋" w:cs="仿宋"/>
          <w:spacing w:val="0"/>
          <w:position w:val="0"/>
          <w:sz w:val="32"/>
          <w:szCs w:val="32"/>
          <w:lang w:val="en-US" w:eastAsia="zh-CN"/>
        </w:rPr>
        <w:t xml:space="preserve">  </w:t>
      </w:r>
      <w:r>
        <w:rPr>
          <w:rFonts w:hint="eastAsia" w:ascii="仿宋" w:hAnsi="仿宋" w:eastAsia="仿宋" w:cs="仿宋"/>
          <w:spacing w:val="0"/>
          <w:position w:val="0"/>
          <w:sz w:val="32"/>
          <w:szCs w:val="32"/>
        </w:rPr>
        <w:t>县域商业网点设施布局基本合理,县城</w:t>
      </w:r>
      <w:r>
        <w:rPr>
          <w:rFonts w:hint="eastAsia" w:ascii="仿宋" w:hAnsi="仿宋" w:eastAsia="仿宋" w:cs="仿宋"/>
          <w:spacing w:val="0"/>
          <w:position w:val="0"/>
          <w:sz w:val="32"/>
          <w:szCs w:val="32"/>
          <w:lang w:eastAsia="zh-CN"/>
        </w:rPr>
        <w:t>至少有1个基本型</w:t>
      </w:r>
      <w:r>
        <w:rPr>
          <w:rFonts w:hint="eastAsia" w:ascii="仿宋" w:hAnsi="仿宋" w:eastAsia="仿宋" w:cs="仿宋"/>
          <w:spacing w:val="0"/>
          <w:position w:val="0"/>
          <w:sz w:val="32"/>
          <w:szCs w:val="32"/>
        </w:rPr>
        <w:t>综合商贸服务中心、90%以上(含)乡镇有基本型及以上商贸中心</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60%以上(含)的行政村有基本型及以上便民商店;</w:t>
      </w:r>
    </w:p>
    <w:p>
      <w:pPr>
        <w:keepNext w:val="0"/>
        <w:keepLines w:val="0"/>
        <w:pageBreakBefore w:val="0"/>
        <w:widowControl/>
        <w:kinsoku w:val="0"/>
        <w:wordWrap/>
        <w:overflowPunct/>
        <w:topLinePunct w:val="0"/>
        <w:autoSpaceDE w:val="0"/>
        <w:autoSpaceDN w:val="0"/>
        <w:bidi w:val="0"/>
        <w:adjustRightInd w:val="0"/>
        <w:snapToGrid w:val="0"/>
        <w:spacing w:before="2" w:line="576" w:lineRule="atLeast"/>
        <w:ind w:left="17" w:firstLine="63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  县乡村商业设施功能业态基本完善,能提供米面粮油</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日用百货、农资等商品零售</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以及餐饮维修</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美容美发等基本生活服务需求;</w:t>
      </w:r>
    </w:p>
    <w:p>
      <w:pPr>
        <w:keepNext w:val="0"/>
        <w:keepLines w:val="0"/>
        <w:pageBreakBefore w:val="0"/>
        <w:widowControl/>
        <w:kinsoku w:val="0"/>
        <w:wordWrap/>
        <w:overflowPunct/>
        <w:topLinePunct w:val="0"/>
        <w:autoSpaceDE w:val="0"/>
        <w:autoSpaceDN w:val="0"/>
        <w:bidi w:val="0"/>
        <w:adjustRightInd w:val="0"/>
        <w:snapToGrid w:val="0"/>
        <w:spacing w:before="4" w:line="576" w:lineRule="atLeast"/>
        <w:ind w:left="13" w:right="108" w:firstLine="635"/>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(三)</w:t>
      </w:r>
      <w:r>
        <w:rPr>
          <w:rFonts w:hint="eastAsia" w:ascii="仿宋" w:hAnsi="仿宋" w:eastAsia="仿宋" w:cs="仿宋"/>
          <w:spacing w:val="0"/>
          <w:position w:val="0"/>
          <w:sz w:val="32"/>
          <w:szCs w:val="32"/>
          <w:lang w:val="en-US" w:eastAsia="zh-CN"/>
        </w:rPr>
        <w:t xml:space="preserve">  </w:t>
      </w:r>
      <w:r>
        <w:rPr>
          <w:rFonts w:hint="eastAsia" w:ascii="仿宋" w:hAnsi="仿宋" w:eastAsia="仿宋" w:cs="仿宋"/>
          <w:spacing w:val="0"/>
          <w:position w:val="0"/>
          <w:sz w:val="32"/>
          <w:szCs w:val="32"/>
        </w:rPr>
        <w:t>农村物流设施基本健全</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县城</w:t>
      </w:r>
      <w:r>
        <w:rPr>
          <w:rFonts w:hint="eastAsia" w:ascii="仿宋" w:hAnsi="仿宋" w:eastAsia="仿宋" w:cs="仿宋"/>
          <w:spacing w:val="0"/>
          <w:position w:val="0"/>
          <w:sz w:val="32"/>
          <w:szCs w:val="32"/>
          <w:lang w:eastAsia="zh-CN"/>
        </w:rPr>
        <w:t>至少有1个基本型</w:t>
      </w:r>
      <w:r>
        <w:rPr>
          <w:rFonts w:hint="eastAsia" w:ascii="仿宋" w:hAnsi="仿宋" w:eastAsia="仿宋" w:cs="仿宋"/>
          <w:spacing w:val="0"/>
          <w:position w:val="0"/>
          <w:sz w:val="32"/>
          <w:szCs w:val="32"/>
        </w:rPr>
        <w:t>物流配送中心,100%乡镇有寄递物流综合服务站,村村有服务;</w:t>
      </w:r>
    </w:p>
    <w:p>
      <w:pPr>
        <w:keepNext w:val="0"/>
        <w:keepLines w:val="0"/>
        <w:pageBreakBefore w:val="0"/>
        <w:widowControl/>
        <w:kinsoku w:val="0"/>
        <w:wordWrap/>
        <w:overflowPunct/>
        <w:topLinePunct w:val="0"/>
        <w:autoSpaceDE w:val="0"/>
        <w:autoSpaceDN w:val="0"/>
        <w:bidi w:val="0"/>
        <w:adjustRightInd w:val="0"/>
        <w:snapToGrid w:val="0"/>
        <w:spacing w:before="124" w:line="576" w:lineRule="atLeast"/>
        <w:ind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w:t>
      </w:r>
      <w:r>
        <w:rPr>
          <w:rFonts w:hint="eastAsia" w:ascii="仿宋" w:hAnsi="仿宋" w:eastAsia="仿宋" w:cs="仿宋"/>
          <w:spacing w:val="0"/>
          <w:position w:val="0"/>
          <w:sz w:val="32"/>
          <w:szCs w:val="32"/>
          <w:lang w:val="en-US" w:eastAsia="zh-CN"/>
        </w:rPr>
        <w:t>四</w:t>
      </w:r>
      <w:r>
        <w:rPr>
          <w:rFonts w:hint="eastAsia" w:ascii="仿宋" w:hAnsi="仿宋" w:eastAsia="仿宋" w:cs="仿宋"/>
          <w:spacing w:val="0"/>
          <w:position w:val="0"/>
          <w:sz w:val="32"/>
          <w:szCs w:val="32"/>
        </w:rPr>
        <w:t>)</w:t>
      </w:r>
      <w:r>
        <w:rPr>
          <w:rFonts w:hint="eastAsia" w:ascii="仿宋" w:hAnsi="仿宋" w:eastAsia="仿宋" w:cs="仿宋"/>
          <w:spacing w:val="0"/>
          <w:position w:val="0"/>
          <w:sz w:val="32"/>
          <w:szCs w:val="32"/>
          <w:lang w:val="en-US" w:eastAsia="zh-CN"/>
        </w:rPr>
        <w:t xml:space="preserve">  </w:t>
      </w:r>
      <w:r>
        <w:rPr>
          <w:rFonts w:hint="eastAsia" w:ascii="仿宋" w:hAnsi="仿宋" w:eastAsia="仿宋" w:cs="仿宋"/>
          <w:spacing w:val="0"/>
          <w:position w:val="0"/>
          <w:sz w:val="32"/>
          <w:szCs w:val="32"/>
        </w:rPr>
        <w:t>基本建成县乡村三级物流配送体系,开展日用消费 品、农资下乡和农产品进城等寄递服务,全县具备条件乡镇、村30%以上的物流快递实现商贸物流</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电商快递</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农产品上行等同类物流标准商品的统仓共配;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65" w:line="576" w:lineRule="atLeast"/>
        <w:ind w:left="3" w:right="116" w:firstLine="646"/>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lang w:val="en-US" w:eastAsia="zh-CN"/>
        </w:rPr>
        <w:t xml:space="preserve"> </w:t>
      </w:r>
      <w:r>
        <w:rPr>
          <w:rFonts w:hint="eastAsia" w:ascii="仿宋" w:hAnsi="仿宋" w:eastAsia="仿宋" w:cs="仿宋"/>
          <w:spacing w:val="0"/>
          <w:position w:val="0"/>
          <w:sz w:val="32"/>
          <w:szCs w:val="32"/>
        </w:rPr>
        <w:t>农产品流通设施基本健全</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拥有基本型农产品产地集配中心</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主要农产品产区产地仓储保鲜冷链物流</w:t>
      </w:r>
      <w:r>
        <w:rPr>
          <w:rFonts w:hint="eastAsia" w:ascii="仿宋" w:hAnsi="仿宋" w:eastAsia="仿宋" w:cs="仿宋"/>
          <w:spacing w:val="0"/>
          <w:position w:val="0"/>
          <w:sz w:val="32"/>
          <w:szCs w:val="32"/>
          <w:lang w:val="en-US" w:eastAsia="zh-CN"/>
        </w:rPr>
        <w:t>设</w:t>
      </w:r>
      <w:r>
        <w:rPr>
          <w:rFonts w:hint="eastAsia" w:ascii="仿宋" w:hAnsi="仿宋" w:eastAsia="仿宋" w:cs="仿宋"/>
          <w:spacing w:val="0"/>
          <w:position w:val="0"/>
          <w:sz w:val="32"/>
          <w:szCs w:val="32"/>
        </w:rPr>
        <w:t>施基本满足需求</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具备条件的县实现农产品市场公益性改造,农产品产销对接机制基本健全</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农产品销售保持较快增长;</w:t>
      </w:r>
    </w:p>
    <w:p>
      <w:pPr>
        <w:keepNext w:val="0"/>
        <w:keepLines w:val="0"/>
        <w:pageBreakBefore w:val="0"/>
        <w:widowControl/>
        <w:kinsoku w:val="0"/>
        <w:wordWrap/>
        <w:overflowPunct/>
        <w:topLinePunct w:val="0"/>
        <w:autoSpaceDE w:val="0"/>
        <w:autoSpaceDN w:val="0"/>
        <w:bidi w:val="0"/>
        <w:adjustRightInd w:val="0"/>
        <w:snapToGrid w:val="0"/>
        <w:spacing w:before="10" w:line="576" w:lineRule="atLeast"/>
        <w:ind w:left="5" w:firstLine="644"/>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(六)  现有电商服务体系效能有效发挥,县域电商</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快递、交通运输</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商贸物流等资源整合集聚,基本实现村邮站</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电商服务站点、快递站点、便民商店等站点共建共享,实现多站合一、一点多能</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一网多用; 农村电商产品开发、数据</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营销</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品牌等服务能力有效提升</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农村电商服务覆盖90%的行政村,农村产品网络零售额保持较快增长;</w:t>
      </w:r>
    </w:p>
    <w:p>
      <w:pPr>
        <w:keepNext w:val="0"/>
        <w:keepLines w:val="0"/>
        <w:pageBreakBefore w:val="0"/>
        <w:widowControl/>
        <w:kinsoku w:val="0"/>
        <w:wordWrap/>
        <w:overflowPunct/>
        <w:topLinePunct w:val="0"/>
        <w:autoSpaceDE w:val="0"/>
        <w:autoSpaceDN w:val="0"/>
        <w:bidi w:val="0"/>
        <w:adjustRightInd w:val="0"/>
        <w:snapToGrid w:val="0"/>
        <w:spacing w:before="5" w:line="576" w:lineRule="atLeast"/>
        <w:ind w:right="116" w:firstLine="65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(七)  建立较为完善的县域消费品零售额</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网络零售额</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规模以上商贸流通企业统计监测;建立大宗农产品流通</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农产品网络零售等统计指标。</w:t>
      </w:r>
    </w:p>
    <w:p>
      <w:pPr>
        <w:keepNext w:val="0"/>
        <w:keepLines w:val="0"/>
        <w:pageBreakBefore w:val="0"/>
        <w:widowControl/>
        <w:kinsoku w:val="0"/>
        <w:wordWrap/>
        <w:overflowPunct/>
        <w:topLinePunct w:val="0"/>
        <w:autoSpaceDE w:val="0"/>
        <w:autoSpaceDN w:val="0"/>
        <w:bidi w:val="0"/>
        <w:adjustRightInd w:val="0"/>
        <w:snapToGrid w:val="0"/>
        <w:spacing w:before="2" w:line="576" w:lineRule="atLeast"/>
        <w:ind w:left="634"/>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二、增强型</w:t>
      </w:r>
    </w:p>
    <w:p>
      <w:pPr>
        <w:keepNext w:val="0"/>
        <w:keepLines w:val="0"/>
        <w:pageBreakBefore w:val="0"/>
        <w:widowControl/>
        <w:kinsoku w:val="0"/>
        <w:wordWrap/>
        <w:overflowPunct/>
        <w:topLinePunct w:val="0"/>
        <w:autoSpaceDE w:val="0"/>
        <w:autoSpaceDN w:val="0"/>
        <w:bidi w:val="0"/>
        <w:adjustRightInd w:val="0"/>
        <w:snapToGrid w:val="0"/>
        <w:spacing w:before="205" w:line="576" w:lineRule="atLeast"/>
        <w:ind w:left="5" w:right="108" w:firstLine="644"/>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w:t>
      </w:r>
      <w:r>
        <w:rPr>
          <w:rFonts w:hint="eastAsia" w:ascii="仿宋" w:hAnsi="仿宋" w:eastAsia="仿宋" w:cs="仿宋"/>
          <w:spacing w:val="0"/>
          <w:position w:val="0"/>
          <w:sz w:val="32"/>
          <w:szCs w:val="32"/>
          <w:lang w:val="en-US" w:eastAsia="zh-CN"/>
        </w:rPr>
        <w:t>一</w:t>
      </w:r>
      <w:r>
        <w:rPr>
          <w:rFonts w:hint="eastAsia" w:ascii="仿宋" w:hAnsi="仿宋" w:eastAsia="仿宋" w:cs="仿宋"/>
          <w:spacing w:val="0"/>
          <w:position w:val="0"/>
          <w:sz w:val="32"/>
          <w:szCs w:val="32"/>
        </w:rPr>
        <w:t>)  县域商业网点设施布局比较合理</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县城</w:t>
      </w:r>
      <w:r>
        <w:rPr>
          <w:rFonts w:hint="eastAsia" w:ascii="仿宋" w:hAnsi="仿宋" w:eastAsia="仿宋" w:cs="仿宋"/>
          <w:spacing w:val="0"/>
          <w:position w:val="0"/>
          <w:sz w:val="32"/>
          <w:szCs w:val="32"/>
          <w:lang w:eastAsia="zh-CN"/>
        </w:rPr>
        <w:t>至少有1个增强型</w:t>
      </w:r>
      <w:r>
        <w:rPr>
          <w:rFonts w:hint="eastAsia" w:ascii="仿宋" w:hAnsi="仿宋" w:eastAsia="仿宋" w:cs="仿宋"/>
          <w:spacing w:val="0"/>
          <w:position w:val="0"/>
          <w:sz w:val="32"/>
          <w:szCs w:val="32"/>
        </w:rPr>
        <w:t>综合商贸服务中心</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30%以上(含)的乡镇有增强型及以上商贸中心、其他乡镇有基本型商贸中心</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50%以上(含)的行政村有增强型及以上便民商店,其他行政村有基本型便民商店;</w:t>
      </w:r>
    </w:p>
    <w:p>
      <w:pPr>
        <w:keepNext w:val="0"/>
        <w:keepLines w:val="0"/>
        <w:pageBreakBefore w:val="0"/>
        <w:widowControl/>
        <w:kinsoku w:val="0"/>
        <w:wordWrap/>
        <w:overflowPunct/>
        <w:topLinePunct w:val="0"/>
        <w:autoSpaceDE w:val="0"/>
        <w:autoSpaceDN w:val="0"/>
        <w:bidi w:val="0"/>
        <w:adjustRightInd w:val="0"/>
        <w:snapToGrid w:val="0"/>
        <w:spacing w:before="125" w:line="576" w:lineRule="atLeast"/>
        <w:ind w:left="2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  县乡村商业设施功能业态比较完善,除具备基本型相 关业态外,还应提供家电通讯</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服装家纺等商品零售,以及休闲娱乐</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亲子健身</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快递物流</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本地特色商品体验等多样化的升级消费需求;</w:t>
      </w:r>
    </w:p>
    <w:p>
      <w:pPr>
        <w:keepNext w:val="0"/>
        <w:keepLines w:val="0"/>
        <w:pageBreakBefore w:val="0"/>
        <w:widowControl/>
        <w:kinsoku w:val="0"/>
        <w:wordWrap/>
        <w:overflowPunct/>
        <w:topLinePunct w:val="0"/>
        <w:autoSpaceDE w:val="0"/>
        <w:autoSpaceDN w:val="0"/>
        <w:bidi w:val="0"/>
        <w:adjustRightInd w:val="0"/>
        <w:snapToGrid w:val="0"/>
        <w:spacing w:before="169" w:line="576" w:lineRule="atLeast"/>
        <w:ind w:left="18" w:right="108" w:firstLine="635"/>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(三)  农村物流设施比较健全,县城</w:t>
      </w:r>
      <w:r>
        <w:rPr>
          <w:rFonts w:hint="eastAsia" w:ascii="仿宋" w:hAnsi="仿宋" w:eastAsia="仿宋" w:cs="仿宋"/>
          <w:spacing w:val="0"/>
          <w:position w:val="0"/>
          <w:sz w:val="32"/>
          <w:szCs w:val="32"/>
          <w:lang w:eastAsia="zh-CN"/>
        </w:rPr>
        <w:t>至少有1个增强型</w:t>
      </w:r>
      <w:r>
        <w:rPr>
          <w:rFonts w:hint="eastAsia" w:ascii="仿宋" w:hAnsi="仿宋" w:eastAsia="仿宋" w:cs="仿宋"/>
          <w:spacing w:val="0"/>
          <w:position w:val="0"/>
          <w:sz w:val="32"/>
          <w:szCs w:val="32"/>
        </w:rPr>
        <w:t>物流配送中心,100%乡镇有寄递物流综合服务站,村村有服务;</w:t>
      </w:r>
    </w:p>
    <w:p>
      <w:pPr>
        <w:keepNext w:val="0"/>
        <w:keepLines w:val="0"/>
        <w:pageBreakBefore w:val="0"/>
        <w:widowControl/>
        <w:kinsoku w:val="0"/>
        <w:wordWrap/>
        <w:overflowPunct/>
        <w:topLinePunct w:val="0"/>
        <w:autoSpaceDE w:val="0"/>
        <w:autoSpaceDN w:val="0"/>
        <w:bidi w:val="0"/>
        <w:adjustRightInd w:val="0"/>
        <w:snapToGrid w:val="0"/>
        <w:spacing w:before="4" w:line="576" w:lineRule="atLeast"/>
        <w:ind w:firstLine="653"/>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(四)  基本建成县乡村三级物流配送体系,开展日用消费品</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农资下乡和农产品进城等寄递服务,全县具备条件的乡镇</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村 40%以上的物流快递实现商贸物流</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电商快递</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农产品上行等同 类物流标准商品的统仓共配;</w:t>
      </w:r>
    </w:p>
    <w:p>
      <w:pPr>
        <w:keepNext w:val="0"/>
        <w:keepLines w:val="0"/>
        <w:pageBreakBefore w:val="0"/>
        <w:widowControl/>
        <w:kinsoku w:val="0"/>
        <w:wordWrap/>
        <w:overflowPunct/>
        <w:topLinePunct w:val="0"/>
        <w:autoSpaceDE w:val="0"/>
        <w:autoSpaceDN w:val="0"/>
        <w:bidi w:val="0"/>
        <w:adjustRightInd w:val="0"/>
        <w:snapToGrid w:val="0"/>
        <w:spacing w:before="6" w:line="576" w:lineRule="atLeast"/>
        <w:ind w:left="6" w:right="116" w:firstLine="646"/>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(五)  农产品流通设施基本健全,拥有增强型农产品产地集配中心,主要农产品产区产地仓储保鲜冷链物流设施基本满足需求</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具备条件的县实现农产品市场公益性改造, 农产品产销对接机制基本健全,农产品销售保持较快增长;</w:t>
      </w:r>
    </w:p>
    <w:p>
      <w:pPr>
        <w:keepNext w:val="0"/>
        <w:keepLines w:val="0"/>
        <w:pageBreakBefore w:val="0"/>
        <w:widowControl/>
        <w:kinsoku w:val="0"/>
        <w:wordWrap/>
        <w:overflowPunct/>
        <w:topLinePunct w:val="0"/>
        <w:autoSpaceDE w:val="0"/>
        <w:autoSpaceDN w:val="0"/>
        <w:bidi w:val="0"/>
        <w:adjustRightInd w:val="0"/>
        <w:snapToGrid w:val="0"/>
        <w:spacing w:before="10" w:line="576" w:lineRule="atLeast"/>
        <w:ind w:left="8" w:firstLine="644"/>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(六)  现有电商服务体系效能有效发挥,县域电商</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快递</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交通运输</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商贸物流等资源有效整合集聚,实现村邮站</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电商服务站点、快递站点</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便民商店等站点共建共享,实现多站合一、一点多能、一网多用农村电商产品开发、数据</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营销</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品牌等服务能力极大提升,农村电商服务覆盖95%的行政村,农村产品网络零售额保持较快增长;</w:t>
      </w:r>
    </w:p>
    <w:p>
      <w:pPr>
        <w:keepNext w:val="0"/>
        <w:keepLines w:val="0"/>
        <w:pageBreakBefore w:val="0"/>
        <w:widowControl/>
        <w:kinsoku w:val="0"/>
        <w:wordWrap/>
        <w:overflowPunct/>
        <w:topLinePunct w:val="0"/>
        <w:autoSpaceDE w:val="0"/>
        <w:autoSpaceDN w:val="0"/>
        <w:bidi w:val="0"/>
        <w:adjustRightInd w:val="0"/>
        <w:snapToGrid w:val="0"/>
        <w:spacing w:line="576" w:lineRule="atLeast"/>
        <w:ind w:left="2" w:right="116" w:firstLine="65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(七)  建立相对完善的县域消费品零售额、网络零售额 、规模以上商贸流通企业统计监测;建立大宗农产品流通</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农产品网络零售等统计指标 。</w:t>
      </w:r>
    </w:p>
    <w:p>
      <w:pPr>
        <w:keepNext w:val="0"/>
        <w:keepLines w:val="0"/>
        <w:pageBreakBefore w:val="0"/>
        <w:widowControl/>
        <w:kinsoku w:val="0"/>
        <w:wordWrap/>
        <w:overflowPunct/>
        <w:topLinePunct w:val="0"/>
        <w:autoSpaceDE w:val="0"/>
        <w:autoSpaceDN w:val="0"/>
        <w:bidi w:val="0"/>
        <w:adjustRightInd w:val="0"/>
        <w:snapToGrid w:val="0"/>
        <w:spacing w:before="1" w:line="576" w:lineRule="atLeast"/>
        <w:ind w:left="642"/>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三、提升型</w:t>
      </w:r>
    </w:p>
    <w:p>
      <w:pPr>
        <w:keepNext w:val="0"/>
        <w:keepLines w:val="0"/>
        <w:pageBreakBefore w:val="0"/>
        <w:widowControl/>
        <w:kinsoku w:val="0"/>
        <w:wordWrap/>
        <w:overflowPunct/>
        <w:topLinePunct w:val="0"/>
        <w:autoSpaceDE w:val="0"/>
        <w:autoSpaceDN w:val="0"/>
        <w:bidi w:val="0"/>
        <w:adjustRightInd w:val="0"/>
        <w:snapToGrid w:val="0"/>
        <w:spacing w:before="124" w:line="576" w:lineRule="atLeast"/>
        <w:ind w:left="3" w:right="115" w:firstLine="643" w:firstLineChars="201"/>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w:t>
      </w:r>
      <w:r>
        <w:rPr>
          <w:rFonts w:hint="eastAsia" w:ascii="仿宋" w:hAnsi="仿宋" w:eastAsia="仿宋" w:cs="仿宋"/>
          <w:spacing w:val="0"/>
          <w:position w:val="0"/>
          <w:sz w:val="32"/>
          <w:szCs w:val="32"/>
          <w:lang w:val="en-US" w:eastAsia="zh-CN"/>
        </w:rPr>
        <w:t>一</w:t>
      </w:r>
      <w:r>
        <w:rPr>
          <w:rFonts w:hint="eastAsia" w:ascii="仿宋" w:hAnsi="仿宋" w:eastAsia="仿宋" w:cs="仿宋"/>
          <w:spacing w:val="0"/>
          <w:position w:val="0"/>
          <w:sz w:val="32"/>
          <w:szCs w:val="32"/>
        </w:rPr>
        <w:t>)  县域商业网点设施布局比较合理,县城至少有</w:t>
      </w:r>
      <w:r>
        <w:rPr>
          <w:rFonts w:hint="eastAsia" w:ascii="仿宋" w:hAnsi="仿宋" w:eastAsia="仿宋" w:cs="仿宋"/>
          <w:spacing w:val="0"/>
          <w:position w:val="0"/>
          <w:sz w:val="32"/>
          <w:szCs w:val="32"/>
          <w:lang w:val="en-US" w:eastAsia="zh-CN"/>
        </w:rPr>
        <w:t>1</w:t>
      </w:r>
      <w:r>
        <w:rPr>
          <w:rFonts w:hint="eastAsia" w:ascii="仿宋" w:hAnsi="仿宋" w:eastAsia="仿宋" w:cs="仿宋"/>
          <w:spacing w:val="0"/>
          <w:position w:val="0"/>
          <w:sz w:val="32"/>
          <w:szCs w:val="32"/>
        </w:rPr>
        <w:t>个提升型综合商贸服务中心,30%的乡镇有提升型商贸中心</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其他乡镇有基本型及以上商贸中心</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30%的行政村有提升型便民商店,其他行政村有基本型及以上便民商店;</w:t>
      </w:r>
    </w:p>
    <w:p>
      <w:pPr>
        <w:keepNext w:val="0"/>
        <w:keepLines w:val="0"/>
        <w:pageBreakBefore w:val="0"/>
        <w:widowControl/>
        <w:kinsoku w:val="0"/>
        <w:wordWrap/>
        <w:overflowPunct/>
        <w:topLinePunct w:val="0"/>
        <w:autoSpaceDE w:val="0"/>
        <w:autoSpaceDN w:val="0"/>
        <w:bidi w:val="0"/>
        <w:adjustRightInd w:val="0"/>
        <w:snapToGrid w:val="0"/>
        <w:spacing w:before="7" w:line="576" w:lineRule="atLeast"/>
        <w:ind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  县乡村商业设施功能业态完善,除具备增强型县相关业态外,还应提供品牌服饰</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大家电</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家居建材等商品零售,满足县域居民高档、品牌消费需求;发展品牌直营连锁、直播网购</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美容美妆</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文化创意</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中央厨房等新业态</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增强可视</w:t>
      </w:r>
      <w:r>
        <w:rPr>
          <w:rFonts w:hint="eastAsia" w:ascii="仿宋" w:hAnsi="仿宋" w:eastAsia="仿宋" w:cs="仿宋"/>
          <w:spacing w:val="0"/>
          <w:position w:val="0"/>
          <w:sz w:val="32"/>
          <w:szCs w:val="32"/>
          <w:lang w:val="en-US" w:eastAsia="zh-CN"/>
        </w:rPr>
        <w:t>化、</w:t>
      </w:r>
      <w:r>
        <w:rPr>
          <w:rFonts w:hint="eastAsia" w:ascii="仿宋" w:hAnsi="仿宋" w:eastAsia="仿宋" w:cs="仿宋"/>
          <w:spacing w:val="0"/>
          <w:position w:val="0"/>
          <w:sz w:val="32"/>
          <w:szCs w:val="32"/>
        </w:rPr>
        <w:t>数字化</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智能化消费场景</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建设县域商业新地标,满足高端消费需求;</w:t>
      </w:r>
    </w:p>
    <w:p>
      <w:pPr>
        <w:keepNext w:val="0"/>
        <w:keepLines w:val="0"/>
        <w:pageBreakBefore w:val="0"/>
        <w:widowControl/>
        <w:kinsoku w:val="0"/>
        <w:wordWrap/>
        <w:overflowPunct/>
        <w:topLinePunct w:val="0"/>
        <w:autoSpaceDE w:val="0"/>
        <w:autoSpaceDN w:val="0"/>
        <w:bidi w:val="0"/>
        <w:adjustRightInd w:val="0"/>
        <w:snapToGrid w:val="0"/>
        <w:spacing w:before="7" w:line="576" w:lineRule="atLeast"/>
        <w:ind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  农村物流设施健全,县城至少有1个提升型物流</w:t>
      </w:r>
      <w:r>
        <w:rPr>
          <w:rFonts w:hint="eastAsia" w:ascii="仿宋" w:hAnsi="仿宋" w:eastAsia="仿宋" w:cs="仿宋"/>
          <w:spacing w:val="0"/>
          <w:position w:val="0"/>
          <w:sz w:val="32"/>
          <w:szCs w:val="32"/>
          <w:lang w:val="en-US" w:eastAsia="zh-CN"/>
        </w:rPr>
        <w:t>配送</w:t>
      </w:r>
      <w:r>
        <w:rPr>
          <w:rFonts w:hint="eastAsia" w:ascii="仿宋" w:hAnsi="仿宋" w:eastAsia="仿宋" w:cs="仿宋"/>
          <w:spacing w:val="0"/>
          <w:position w:val="0"/>
          <w:sz w:val="32"/>
          <w:szCs w:val="32"/>
        </w:rPr>
        <w:t>中心,100%乡镇有寄递物流综合服务站点,村村有服务;</w:t>
      </w:r>
    </w:p>
    <w:p>
      <w:pPr>
        <w:keepNext w:val="0"/>
        <w:keepLines w:val="0"/>
        <w:pageBreakBefore w:val="0"/>
        <w:widowControl/>
        <w:kinsoku w:val="0"/>
        <w:wordWrap/>
        <w:overflowPunct/>
        <w:topLinePunct w:val="0"/>
        <w:autoSpaceDE w:val="0"/>
        <w:autoSpaceDN w:val="0"/>
        <w:bidi w:val="0"/>
        <w:adjustRightInd w:val="0"/>
        <w:snapToGrid w:val="0"/>
        <w:spacing w:before="112" w:line="576" w:lineRule="atLeast"/>
        <w:ind w:right="7" w:firstLine="647"/>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(四)  建成县乡村三级物流配送体系,开展日用消费品、  农资下乡和农产品进城等寄递服务,全县具备条件的乡镇</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村50%以上的物流快递实现商贸物流</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电商快递</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农产品上行等同类物流标准商品的统仓共配;建成贯通县乡村的农村物流体系, 在初步实现县域物流快递统仓共配基础上,共同配送的数字化</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自动化</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标准化设施齐全,采用自动化分拣</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立体化存储、机械化搬运</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一体化仓配,应用射频识别</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智能标签</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电子订货</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数据交换</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信息定位</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单元化集装等技术,针对生鲜</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工业消费品</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农资等不同快递物流件制定统一作业标准和流程,实现共同配送企业全程标准化管理;</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2" w:line="576" w:lineRule="atLeast"/>
        <w:ind w:right="7" w:firstLine="647"/>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农产品流通设施健全,拥有提升型农产品集配中心主要农产品产区产地仓储保鲜冷链物流设施满足需求,  农产品产销对接机制健全,农产品销售保持较快增长;</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2" w:line="576" w:lineRule="atLeast"/>
        <w:ind w:left="0" w:leftChars="0" w:right="7" w:firstLine="647" w:firstLineChars="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现有电商服务体系效能充分发挥,县域电商</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快递、交通运输</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商贸物流等资源充分整合集聚,实现村邮站</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电商服务站点</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快递站点、便民商店等站点共建共享,实现多站合一、一 点多能、一网多用;农村电商产品开发</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数据</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营销</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品牌等服务能力极大提升,农村电商服务覆盖100%的行政村,农村产品网络零售额保持较快增长;</w:t>
      </w:r>
    </w:p>
    <w:p>
      <w:pPr>
        <w:keepNext w:val="0"/>
        <w:keepLines w:val="0"/>
        <w:pageBreakBefore w:val="0"/>
        <w:widowControl/>
        <w:kinsoku w:val="0"/>
        <w:wordWrap/>
        <w:overflowPunct/>
        <w:topLinePunct w:val="0"/>
        <w:autoSpaceDE w:val="0"/>
        <w:autoSpaceDN w:val="0"/>
        <w:bidi w:val="0"/>
        <w:adjustRightInd w:val="0"/>
        <w:snapToGrid w:val="0"/>
        <w:spacing w:before="3" w:line="576" w:lineRule="atLeast"/>
        <w:ind w:left="5" w:right="116" w:firstLine="638"/>
        <w:jc w:val="both"/>
        <w:textAlignment w:val="baseline"/>
        <w:rPr>
          <w:rFonts w:hint="eastAsia" w:ascii="仿宋" w:hAnsi="仿宋" w:eastAsia="仿宋" w:cs="仿宋"/>
          <w:sz w:val="32"/>
          <w:szCs w:val="32"/>
        </w:rPr>
        <w:sectPr>
          <w:footerReference r:id="rId14" w:type="default"/>
          <w:pgSz w:w="11906" w:h="16838"/>
          <w:pgMar w:top="1431" w:right="1416" w:bottom="1766" w:left="1555" w:header="0" w:footer="1431" w:gutter="0"/>
          <w:pgNumType w:fmt="numberInDash"/>
          <w:cols w:space="720" w:num="1"/>
        </w:sectPr>
      </w:pPr>
      <w:r>
        <w:rPr>
          <w:rFonts w:hint="eastAsia" w:ascii="仿宋" w:hAnsi="仿宋" w:eastAsia="仿宋" w:cs="仿宋"/>
          <w:spacing w:val="0"/>
          <w:position w:val="0"/>
          <w:sz w:val="32"/>
          <w:szCs w:val="32"/>
        </w:rPr>
        <w:t>(七)  建立完善的县域消费品零售额</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网络零售额</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规模 以上商贸流通企业统计监测;建立大宗农产品流通</w:t>
      </w:r>
      <w:r>
        <w:rPr>
          <w:rFonts w:hint="eastAsia" w:ascii="仿宋" w:hAnsi="仿宋" w:eastAsia="仿宋" w:cs="仿宋"/>
          <w:spacing w:val="0"/>
          <w:position w:val="0"/>
          <w:sz w:val="32"/>
          <w:szCs w:val="32"/>
          <w:lang w:eastAsia="zh-CN"/>
        </w:rPr>
        <w:t>、</w:t>
      </w:r>
      <w:r>
        <w:rPr>
          <w:rFonts w:hint="eastAsia" w:ascii="仿宋" w:hAnsi="仿宋" w:eastAsia="仿宋" w:cs="仿宋"/>
          <w:spacing w:val="0"/>
          <w:position w:val="0"/>
          <w:sz w:val="32"/>
          <w:szCs w:val="32"/>
        </w:rPr>
        <w:t>农产品网络零售等统计指标。</w:t>
      </w: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0"/>
        <w:jc w:val="center"/>
        <w:textAlignment w:val="auto"/>
        <w:rPr>
          <w:rFonts w:hint="eastAsia" w:ascii="方正小标宋简体" w:hAnsi="方正小标宋简体" w:eastAsia="方正小标宋简体" w:cs="方正小标宋简体"/>
          <w:color w:val="000000"/>
          <w:spacing w:val="0"/>
          <w:w w:val="95"/>
          <w:position w:val="0"/>
          <w:sz w:val="44"/>
          <w:szCs w:val="44"/>
          <w:u w:val="none"/>
          <w:shd w:val="clear" w:color="auto" w:fill="auto"/>
          <w:lang w:val="en-US" w:eastAsia="zh-CN" w:bidi="zh-TW"/>
        </w:rPr>
      </w:pPr>
      <w:r>
        <w:rPr>
          <w:rFonts w:hint="eastAsia" w:ascii="方正小标宋简体" w:hAnsi="方正小标宋简体" w:eastAsia="方正小标宋简体" w:cs="方正小标宋简体"/>
          <w:color w:val="000000"/>
          <w:spacing w:val="0"/>
          <w:w w:val="95"/>
          <w:position w:val="0"/>
          <w:sz w:val="44"/>
          <w:szCs w:val="44"/>
          <w:u w:val="none"/>
          <w:shd w:val="clear" w:color="auto" w:fill="auto"/>
          <w:lang w:val="en-US" w:eastAsia="zh-CN" w:bidi="zh-TW"/>
        </w:rPr>
        <w:t>新县县域商业体系建设年度分解目标任务</w:t>
      </w: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0"/>
        <w:jc w:val="center"/>
        <w:textAlignment w:val="auto"/>
        <w:rPr>
          <w:rFonts w:hint="eastAsia" w:ascii="方正小标宋简体" w:hAnsi="方正小标宋简体" w:eastAsia="方正小标宋简体" w:cs="方正小标宋简体"/>
          <w:color w:val="000000"/>
          <w:spacing w:val="0"/>
          <w:w w:val="95"/>
          <w:position w:val="0"/>
          <w:sz w:val="44"/>
          <w:szCs w:val="44"/>
          <w:u w:val="none"/>
          <w:shd w:val="clear" w:color="auto" w:fill="auto"/>
          <w:lang w:val="en-US" w:eastAsia="zh-CN" w:bidi="zh-TW"/>
        </w:rPr>
      </w:pPr>
    </w:p>
    <w:tbl>
      <w:tblPr>
        <w:tblStyle w:val="4"/>
        <w:tblW w:w="13258" w:type="dxa"/>
        <w:jc w:val="center"/>
        <w:tblLayout w:type="fixed"/>
        <w:tblCellMar>
          <w:top w:w="0" w:type="dxa"/>
          <w:left w:w="10" w:type="dxa"/>
          <w:bottom w:w="0" w:type="dxa"/>
          <w:right w:w="10" w:type="dxa"/>
        </w:tblCellMar>
      </w:tblPr>
      <w:tblGrid>
        <w:gridCol w:w="1027"/>
        <w:gridCol w:w="990"/>
        <w:gridCol w:w="3810"/>
        <w:gridCol w:w="2985"/>
        <w:gridCol w:w="2076"/>
        <w:gridCol w:w="2370"/>
      </w:tblGrid>
      <w:tr>
        <w:tblPrEx>
          <w:tblCellMar>
            <w:top w:w="0" w:type="dxa"/>
            <w:left w:w="10" w:type="dxa"/>
            <w:bottom w:w="0" w:type="dxa"/>
            <w:right w:w="10" w:type="dxa"/>
          </w:tblCellMar>
        </w:tblPrEx>
        <w:trPr>
          <w:trHeight w:val="647" w:hRule="exact"/>
          <w:jc w:val="center"/>
        </w:trPr>
        <w:tc>
          <w:tcPr>
            <w:tcW w:w="1027" w:type="dxa"/>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7" w:lineRule="exact"/>
              <w:ind w:left="0" w:right="0" w:firstLine="0"/>
              <w:jc w:val="center"/>
              <w:rPr>
                <w:rFonts w:hint="eastAsia" w:ascii="仿宋" w:hAnsi="仿宋" w:eastAsia="仿宋" w:cs="仿宋"/>
                <w:b w:val="0"/>
                <w:bCs w:val="0"/>
                <w:strike w:val="0"/>
                <w:dstrike w:val="0"/>
                <w:sz w:val="24"/>
                <w:szCs w:val="24"/>
                <w:u w:val="none"/>
              </w:rPr>
            </w:pPr>
            <w:r>
              <w:rPr>
                <w:rFonts w:hint="eastAsia" w:ascii="仿宋" w:hAnsi="仿宋" w:eastAsia="仿宋" w:cs="仿宋"/>
                <w:b w:val="0"/>
                <w:bCs w:val="0"/>
                <w:strike w:val="0"/>
                <w:dstrike w:val="0"/>
                <w:color w:val="000000"/>
                <w:spacing w:val="0"/>
                <w:w w:val="100"/>
                <w:position w:val="0"/>
                <w:sz w:val="24"/>
                <w:szCs w:val="24"/>
                <w:u w:val="none"/>
              </w:rPr>
              <w:t>县（区）</w:t>
            </w:r>
          </w:p>
        </w:tc>
        <w:tc>
          <w:tcPr>
            <w:tcW w:w="990" w:type="dxa"/>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12" w:lineRule="exact"/>
              <w:ind w:left="0" w:right="0" w:firstLine="0"/>
              <w:jc w:val="center"/>
              <w:rPr>
                <w:rFonts w:hint="eastAsia" w:ascii="仿宋" w:hAnsi="仿宋" w:eastAsia="仿宋" w:cs="仿宋"/>
                <w:b w:val="0"/>
                <w:bCs w:val="0"/>
                <w:strike w:val="0"/>
                <w:dstrike w:val="0"/>
                <w:color w:val="000000"/>
                <w:spacing w:val="0"/>
                <w:w w:val="100"/>
                <w:position w:val="0"/>
                <w:sz w:val="24"/>
                <w:szCs w:val="24"/>
                <w:u w:val="none"/>
              </w:rPr>
            </w:pPr>
          </w:p>
          <w:p>
            <w:pPr>
              <w:pStyle w:val="11"/>
              <w:keepNext w:val="0"/>
              <w:keepLines w:val="0"/>
              <w:widowControl w:val="0"/>
              <w:shd w:val="clear" w:color="auto" w:fill="auto"/>
              <w:bidi w:val="0"/>
              <w:spacing w:before="0" w:after="0" w:line="312" w:lineRule="exact"/>
              <w:ind w:left="0" w:right="0" w:firstLine="0"/>
              <w:jc w:val="center"/>
              <w:rPr>
                <w:rFonts w:hint="eastAsia" w:ascii="仿宋" w:hAnsi="仿宋" w:eastAsia="仿宋" w:cs="仿宋"/>
                <w:b w:val="0"/>
                <w:bCs w:val="0"/>
                <w:strike w:val="0"/>
                <w:dstrike w:val="0"/>
                <w:sz w:val="24"/>
                <w:szCs w:val="24"/>
                <w:u w:val="none"/>
              </w:rPr>
            </w:pPr>
            <w:r>
              <w:rPr>
                <w:rFonts w:hint="eastAsia" w:ascii="仿宋" w:hAnsi="仿宋" w:eastAsia="仿宋" w:cs="仿宋"/>
                <w:b w:val="0"/>
                <w:bCs w:val="0"/>
                <w:strike w:val="0"/>
                <w:dstrike w:val="0"/>
                <w:color w:val="000000"/>
                <w:spacing w:val="0"/>
                <w:w w:val="100"/>
                <w:position w:val="0"/>
                <w:sz w:val="24"/>
                <w:szCs w:val="24"/>
                <w:u w:val="none"/>
              </w:rPr>
              <w:t>目前县域商业类型</w:t>
            </w:r>
          </w:p>
        </w:tc>
        <w:tc>
          <w:tcPr>
            <w:tcW w:w="11241" w:type="dxa"/>
            <w:gridSpan w:val="4"/>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4"/>
                <w:szCs w:val="24"/>
                <w:u w:val="none"/>
              </w:rPr>
            </w:pPr>
            <w:r>
              <w:rPr>
                <w:rFonts w:hint="eastAsia" w:ascii="仿宋" w:hAnsi="仿宋" w:eastAsia="仿宋" w:cs="仿宋"/>
                <w:b w:val="0"/>
                <w:bCs w:val="0"/>
                <w:color w:val="000000"/>
                <w:spacing w:val="0"/>
                <w:w w:val="100"/>
                <w:position w:val="0"/>
                <w:sz w:val="24"/>
                <w:szCs w:val="24"/>
                <w:u w:val="none"/>
              </w:rPr>
              <w:t>年度分解目标任务</w:t>
            </w:r>
          </w:p>
        </w:tc>
      </w:tr>
      <w:tr>
        <w:tblPrEx>
          <w:tblCellMar>
            <w:top w:w="0" w:type="dxa"/>
            <w:left w:w="10" w:type="dxa"/>
            <w:bottom w:w="0" w:type="dxa"/>
            <w:right w:w="10" w:type="dxa"/>
          </w:tblCellMar>
        </w:tblPrEx>
        <w:trPr>
          <w:trHeight w:val="683" w:hRule="exact"/>
          <w:jc w:val="center"/>
        </w:trPr>
        <w:tc>
          <w:tcPr>
            <w:tcW w:w="1027" w:type="dxa"/>
            <w:vMerge w:val="continue"/>
            <w:tcBorders>
              <w:left w:val="single" w:color="auto" w:sz="4" w:space="0"/>
              <w:bottom w:val="single" w:color="auto" w:sz="4" w:space="0"/>
            </w:tcBorders>
            <w:shd w:val="clear" w:color="auto" w:fill="FFFFFF"/>
            <w:vAlign w:val="center"/>
          </w:tcPr>
          <w:p>
            <w:pPr>
              <w:rPr>
                <w:rFonts w:hint="eastAsia" w:ascii="仿宋" w:hAnsi="仿宋" w:eastAsia="仿宋" w:cs="仿宋"/>
                <w:b w:val="0"/>
                <w:bCs w:val="0"/>
                <w:strike w:val="0"/>
                <w:dstrike w:val="0"/>
                <w:sz w:val="24"/>
                <w:szCs w:val="24"/>
                <w:u w:val="none"/>
              </w:rPr>
            </w:pPr>
          </w:p>
        </w:tc>
        <w:tc>
          <w:tcPr>
            <w:tcW w:w="990" w:type="dxa"/>
            <w:vMerge w:val="continue"/>
            <w:tcBorders>
              <w:left w:val="single" w:color="auto" w:sz="4" w:space="0"/>
              <w:bottom w:val="single" w:color="auto" w:sz="4" w:space="0"/>
            </w:tcBorders>
            <w:shd w:val="clear" w:color="auto" w:fill="FFFFFF"/>
            <w:vAlign w:val="center"/>
          </w:tcPr>
          <w:p>
            <w:pPr>
              <w:rPr>
                <w:rFonts w:hint="eastAsia" w:ascii="仿宋" w:hAnsi="仿宋" w:eastAsia="仿宋" w:cs="仿宋"/>
                <w:b w:val="0"/>
                <w:bCs w:val="0"/>
                <w:strike w:val="0"/>
                <w:dstrike w:val="0"/>
                <w:sz w:val="24"/>
                <w:szCs w:val="24"/>
                <w:u w:val="none"/>
              </w:rPr>
            </w:pPr>
          </w:p>
        </w:tc>
        <w:tc>
          <w:tcPr>
            <w:tcW w:w="3810"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4"/>
                <w:szCs w:val="24"/>
                <w:u w:val="none"/>
              </w:rPr>
            </w:pPr>
            <w:r>
              <w:rPr>
                <w:rFonts w:hint="eastAsia" w:ascii="仿宋" w:hAnsi="仿宋" w:eastAsia="仿宋" w:cs="仿宋"/>
                <w:b w:val="0"/>
                <w:bCs w:val="0"/>
                <w:color w:val="000000"/>
                <w:spacing w:val="0"/>
                <w:w w:val="100"/>
                <w:position w:val="0"/>
                <w:sz w:val="24"/>
                <w:szCs w:val="24"/>
                <w:u w:val="none"/>
              </w:rPr>
              <w:t>2022年底</w:t>
            </w:r>
          </w:p>
        </w:tc>
        <w:tc>
          <w:tcPr>
            <w:tcW w:w="298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right="0"/>
              <w:jc w:val="center"/>
              <w:rPr>
                <w:rFonts w:hint="eastAsia" w:ascii="仿宋" w:hAnsi="仿宋" w:eastAsia="仿宋" w:cs="仿宋"/>
                <w:b w:val="0"/>
                <w:bCs w:val="0"/>
                <w:sz w:val="24"/>
                <w:szCs w:val="24"/>
                <w:u w:val="none"/>
              </w:rPr>
            </w:pPr>
            <w:r>
              <w:rPr>
                <w:rFonts w:hint="eastAsia" w:ascii="仿宋" w:hAnsi="仿宋" w:eastAsia="仿宋" w:cs="仿宋"/>
                <w:b w:val="0"/>
                <w:bCs w:val="0"/>
                <w:color w:val="000000"/>
                <w:spacing w:val="0"/>
                <w:w w:val="100"/>
                <w:position w:val="0"/>
                <w:sz w:val="24"/>
                <w:szCs w:val="24"/>
                <w:u w:val="none"/>
              </w:rPr>
              <w:t>2023年底</w:t>
            </w:r>
          </w:p>
        </w:tc>
        <w:tc>
          <w:tcPr>
            <w:tcW w:w="2076"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4"/>
                <w:szCs w:val="24"/>
                <w:u w:val="none"/>
              </w:rPr>
            </w:pPr>
            <w:r>
              <w:rPr>
                <w:rFonts w:hint="eastAsia" w:ascii="仿宋" w:hAnsi="仿宋" w:eastAsia="仿宋" w:cs="仿宋"/>
                <w:b w:val="0"/>
                <w:bCs w:val="0"/>
                <w:color w:val="000000"/>
                <w:spacing w:val="0"/>
                <w:w w:val="100"/>
                <w:position w:val="0"/>
                <w:sz w:val="24"/>
                <w:szCs w:val="24"/>
                <w:u w:val="none"/>
              </w:rPr>
              <w:t>2024年底</w:t>
            </w:r>
          </w:p>
        </w:tc>
        <w:tc>
          <w:tcPr>
            <w:tcW w:w="23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4"/>
                <w:szCs w:val="24"/>
                <w:u w:val="none"/>
              </w:rPr>
            </w:pPr>
            <w:r>
              <w:rPr>
                <w:rFonts w:hint="eastAsia" w:ascii="仿宋" w:hAnsi="仿宋" w:eastAsia="仿宋" w:cs="仿宋"/>
                <w:b w:val="0"/>
                <w:bCs w:val="0"/>
                <w:color w:val="000000"/>
                <w:spacing w:val="0"/>
                <w:w w:val="100"/>
                <w:position w:val="0"/>
                <w:sz w:val="24"/>
                <w:szCs w:val="24"/>
                <w:u w:val="none"/>
              </w:rPr>
              <w:t>2025年底</w:t>
            </w:r>
          </w:p>
        </w:tc>
      </w:tr>
      <w:tr>
        <w:tblPrEx>
          <w:tblCellMar>
            <w:top w:w="0" w:type="dxa"/>
            <w:left w:w="10" w:type="dxa"/>
            <w:bottom w:w="0" w:type="dxa"/>
            <w:right w:w="10" w:type="dxa"/>
          </w:tblCellMar>
        </w:tblPrEx>
        <w:trPr>
          <w:trHeight w:val="4634" w:hRule="exact"/>
          <w:jc w:val="center"/>
        </w:trPr>
        <w:tc>
          <w:tcPr>
            <w:tcW w:w="1027"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leftChars="0" w:right="0" w:rightChars="0" w:firstLine="180" w:firstLineChars="0"/>
              <w:jc w:val="both"/>
              <w:rPr>
                <w:rFonts w:hint="eastAsia" w:ascii="仿宋" w:hAnsi="仿宋" w:eastAsia="仿宋" w:cs="仿宋"/>
                <w:strike w:val="0"/>
                <w:dstrike w:val="0"/>
                <w:sz w:val="21"/>
                <w:szCs w:val="21"/>
                <w:u w:val="none"/>
                <w:lang w:val="en-US" w:eastAsia="zh-CN"/>
              </w:rPr>
            </w:pPr>
          </w:p>
          <w:p>
            <w:pPr>
              <w:pStyle w:val="11"/>
              <w:keepNext w:val="0"/>
              <w:keepLines w:val="0"/>
              <w:widowControl w:val="0"/>
              <w:shd w:val="clear" w:color="auto" w:fill="auto"/>
              <w:bidi w:val="0"/>
              <w:spacing w:before="0" w:after="0" w:line="240" w:lineRule="auto"/>
              <w:ind w:left="0" w:leftChars="0" w:right="0" w:rightChars="0" w:firstLine="180" w:firstLineChars="0"/>
              <w:jc w:val="both"/>
              <w:rPr>
                <w:rFonts w:hint="eastAsia" w:ascii="仿宋" w:hAnsi="仿宋" w:eastAsia="仿宋" w:cs="仿宋"/>
                <w:strike w:val="0"/>
                <w:dstrike w:val="0"/>
                <w:sz w:val="21"/>
                <w:szCs w:val="21"/>
                <w:u w:val="none"/>
                <w:lang w:val="en-US" w:eastAsia="zh-CN"/>
              </w:rPr>
            </w:pPr>
          </w:p>
          <w:p>
            <w:pPr>
              <w:pStyle w:val="11"/>
              <w:keepNext w:val="0"/>
              <w:keepLines w:val="0"/>
              <w:widowControl w:val="0"/>
              <w:shd w:val="clear" w:color="auto" w:fill="auto"/>
              <w:bidi w:val="0"/>
              <w:spacing w:before="0" w:after="0" w:line="240" w:lineRule="auto"/>
              <w:ind w:left="0" w:leftChars="0" w:right="0" w:rightChars="0" w:firstLine="180" w:firstLineChars="0"/>
              <w:jc w:val="both"/>
              <w:rPr>
                <w:rFonts w:hint="eastAsia" w:ascii="仿宋" w:hAnsi="仿宋" w:eastAsia="仿宋" w:cs="仿宋"/>
                <w:strike w:val="0"/>
                <w:dstrike w:val="0"/>
                <w:sz w:val="21"/>
                <w:szCs w:val="21"/>
                <w:u w:val="none"/>
                <w:lang w:val="en-US" w:eastAsia="zh-CN"/>
              </w:rPr>
            </w:pPr>
          </w:p>
          <w:p>
            <w:pPr>
              <w:pStyle w:val="11"/>
              <w:keepNext w:val="0"/>
              <w:keepLines w:val="0"/>
              <w:widowControl w:val="0"/>
              <w:shd w:val="clear" w:color="auto" w:fill="auto"/>
              <w:bidi w:val="0"/>
              <w:spacing w:before="0" w:after="0" w:line="240" w:lineRule="auto"/>
              <w:ind w:right="0" w:rightChars="0"/>
              <w:jc w:val="center"/>
              <w:rPr>
                <w:rFonts w:hint="eastAsia" w:ascii="仿宋" w:hAnsi="仿宋" w:eastAsia="仿宋" w:cs="仿宋"/>
                <w:strike w:val="0"/>
                <w:dstrike w:val="0"/>
                <w:sz w:val="21"/>
                <w:szCs w:val="21"/>
                <w:u w:val="none"/>
                <w:lang w:val="en-US" w:eastAsia="zh-CN"/>
              </w:rPr>
            </w:pPr>
            <w:r>
              <w:rPr>
                <w:rFonts w:hint="eastAsia" w:ascii="仿宋" w:hAnsi="仿宋" w:eastAsia="仿宋" w:cs="仿宋"/>
                <w:strike w:val="0"/>
                <w:dstrike w:val="0"/>
                <w:sz w:val="21"/>
                <w:szCs w:val="21"/>
                <w:u w:val="none"/>
                <w:lang w:val="en-US" w:eastAsia="zh-CN"/>
              </w:rPr>
              <w:t>新县</w:t>
            </w:r>
          </w:p>
          <w:p>
            <w:pPr>
              <w:pStyle w:val="11"/>
              <w:keepNext w:val="0"/>
              <w:keepLines w:val="0"/>
              <w:widowControl w:val="0"/>
              <w:shd w:val="clear" w:color="auto" w:fill="auto"/>
              <w:bidi w:val="0"/>
              <w:spacing w:before="0" w:after="0" w:line="240" w:lineRule="auto"/>
              <w:ind w:left="0" w:leftChars="0" w:right="0" w:rightChars="0" w:firstLine="180" w:firstLineChars="0"/>
              <w:jc w:val="center"/>
              <w:rPr>
                <w:rFonts w:hint="eastAsia" w:ascii="仿宋" w:hAnsi="仿宋" w:eastAsia="仿宋" w:cs="仿宋"/>
                <w:strike w:val="0"/>
                <w:dstrike w:val="0"/>
                <w:color w:val="000000"/>
                <w:spacing w:val="0"/>
                <w:w w:val="100"/>
                <w:position w:val="0"/>
                <w:sz w:val="21"/>
                <w:szCs w:val="21"/>
                <w:u w:val="none"/>
                <w:shd w:val="clear" w:color="auto" w:fill="auto"/>
                <w:lang w:val="en-US" w:eastAsia="zh-CN" w:bidi="zh-TW"/>
              </w:rPr>
            </w:pPr>
          </w:p>
          <w:p>
            <w:pPr>
              <w:pStyle w:val="11"/>
              <w:keepNext w:val="0"/>
              <w:keepLines w:val="0"/>
              <w:widowControl w:val="0"/>
              <w:shd w:val="clear" w:color="auto" w:fill="auto"/>
              <w:bidi w:val="0"/>
              <w:spacing w:before="0" w:after="0" w:line="240" w:lineRule="auto"/>
              <w:ind w:left="0" w:leftChars="0" w:right="0" w:rightChars="0" w:firstLine="180" w:firstLineChars="0"/>
              <w:jc w:val="center"/>
              <w:rPr>
                <w:rFonts w:hint="eastAsia" w:ascii="仿宋" w:hAnsi="仿宋" w:eastAsia="仿宋" w:cs="仿宋"/>
                <w:strike w:val="0"/>
                <w:dstrike w:val="0"/>
                <w:color w:val="000000"/>
                <w:spacing w:val="0"/>
                <w:w w:val="100"/>
                <w:position w:val="0"/>
                <w:sz w:val="21"/>
                <w:szCs w:val="21"/>
                <w:u w:val="none"/>
                <w:shd w:val="clear" w:color="auto" w:fill="auto"/>
                <w:lang w:val="en-US" w:eastAsia="zh-CN" w:bidi="zh-TW"/>
              </w:rPr>
            </w:pPr>
          </w:p>
          <w:p>
            <w:pPr>
              <w:pStyle w:val="11"/>
              <w:keepNext w:val="0"/>
              <w:keepLines w:val="0"/>
              <w:widowControl w:val="0"/>
              <w:shd w:val="clear" w:color="auto" w:fill="auto"/>
              <w:bidi w:val="0"/>
              <w:spacing w:before="0" w:after="0" w:line="240" w:lineRule="auto"/>
              <w:ind w:left="0" w:leftChars="0" w:right="0" w:rightChars="0" w:firstLine="180" w:firstLineChars="0"/>
              <w:jc w:val="center"/>
              <w:rPr>
                <w:rFonts w:hint="eastAsia" w:ascii="仿宋" w:hAnsi="仿宋" w:eastAsia="仿宋" w:cs="仿宋"/>
                <w:strike w:val="0"/>
                <w:dstrike w:val="0"/>
                <w:color w:val="000000"/>
                <w:spacing w:val="0"/>
                <w:w w:val="100"/>
                <w:position w:val="0"/>
                <w:sz w:val="21"/>
                <w:szCs w:val="21"/>
                <w:u w:val="none"/>
                <w:shd w:val="clear" w:color="auto" w:fill="auto"/>
                <w:lang w:val="en-US" w:eastAsia="zh-CN" w:bidi="zh-TW"/>
              </w:rPr>
            </w:pPr>
          </w:p>
        </w:tc>
        <w:tc>
          <w:tcPr>
            <w:tcW w:w="990"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right="0" w:rightChars="0"/>
              <w:jc w:val="center"/>
              <w:rPr>
                <w:rFonts w:hint="eastAsia" w:ascii="仿宋" w:hAnsi="仿宋" w:eastAsia="仿宋" w:cs="仿宋"/>
                <w:strike w:val="0"/>
                <w:dstrike w:val="0"/>
                <w:sz w:val="21"/>
                <w:szCs w:val="21"/>
                <w:u w:val="single"/>
                <w:lang w:val="en-US" w:eastAsia="zh-CN"/>
              </w:rPr>
            </w:pPr>
            <w:r>
              <w:rPr>
                <w:rFonts w:hint="eastAsia" w:ascii="仿宋" w:hAnsi="仿宋" w:eastAsia="仿宋" w:cs="仿宋"/>
                <w:strike w:val="0"/>
                <w:dstrike w:val="0"/>
                <w:sz w:val="21"/>
                <w:szCs w:val="21"/>
                <w:u w:val="none"/>
                <w:lang w:val="en-US" w:eastAsia="zh-CN"/>
              </w:rPr>
              <w:t>基本型</w:t>
            </w:r>
          </w:p>
        </w:tc>
        <w:tc>
          <w:tcPr>
            <w:tcW w:w="3810"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1" w:lineRule="exact"/>
              <w:ind w:left="0" w:leftChars="0" w:right="0" w:rightChars="0" w:firstLine="0" w:firstLineChars="0"/>
              <w:jc w:val="both"/>
              <w:rPr>
                <w:rFonts w:hint="default" w:ascii="仿宋" w:hAnsi="仿宋" w:eastAsia="仿宋" w:cs="仿宋"/>
                <w:b/>
                <w:bCs/>
                <w:color w:val="000000"/>
                <w:spacing w:val="0"/>
                <w:w w:val="100"/>
                <w:position w:val="0"/>
                <w:sz w:val="21"/>
                <w:szCs w:val="21"/>
                <w:u w:val="none"/>
                <w:lang w:val="en-US" w:eastAsia="zh-CN"/>
              </w:rPr>
            </w:pPr>
            <w:r>
              <w:rPr>
                <w:rFonts w:hint="eastAsia" w:ascii="仿宋" w:hAnsi="仿宋" w:eastAsia="仿宋" w:cs="仿宋"/>
                <w:color w:val="000000"/>
                <w:spacing w:val="0"/>
                <w:w w:val="100"/>
                <w:position w:val="0"/>
                <w:sz w:val="21"/>
                <w:szCs w:val="21"/>
                <w:u w:val="none"/>
                <w:shd w:val="clear" w:color="auto" w:fill="auto"/>
                <w:lang w:val="en-US" w:eastAsia="zh-CN" w:bidi="zh-TW"/>
              </w:rPr>
              <w:t>提升县城区综合商贸服务中心2家。新建或改造提升乡镇商贸中心8家。新建或改造提升村级便民物流寄递站项目1个，增强农产品上行功能2个，提高生活服务</w:t>
            </w:r>
            <w:r>
              <w:rPr>
                <w:rFonts w:hint="eastAsia" w:ascii="仿宋" w:hAnsi="仿宋" w:eastAsia="仿宋" w:cs="仿宋"/>
                <w:color w:val="auto"/>
                <w:spacing w:val="0"/>
                <w:w w:val="100"/>
                <w:sz w:val="21"/>
                <w:szCs w:val="21"/>
                <w:lang w:val="en-US" w:eastAsia="zh-CN"/>
              </w:rPr>
              <w:t>供给质量1处。</w:t>
            </w:r>
          </w:p>
        </w:tc>
        <w:tc>
          <w:tcPr>
            <w:tcW w:w="2985" w:type="dxa"/>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14" w:lineRule="exact"/>
              <w:ind w:left="0" w:leftChars="0" w:right="0" w:rightChars="0" w:firstLine="0" w:firstLineChars="0"/>
              <w:jc w:val="both"/>
              <w:rPr>
                <w:rFonts w:hint="eastAsia" w:ascii="仿宋" w:hAnsi="仿宋" w:eastAsia="仿宋" w:cs="仿宋"/>
                <w:b/>
                <w:bCs/>
                <w:color w:val="000000"/>
                <w:spacing w:val="0"/>
                <w:w w:val="100"/>
                <w:position w:val="0"/>
                <w:sz w:val="24"/>
                <w:szCs w:val="24"/>
                <w:u w:val="none"/>
              </w:rPr>
            </w:pPr>
          </w:p>
          <w:p>
            <w:pPr>
              <w:pStyle w:val="11"/>
              <w:keepNext w:val="0"/>
              <w:keepLines w:val="0"/>
              <w:widowControl w:val="0"/>
              <w:shd w:val="clear" w:color="auto" w:fill="auto"/>
              <w:bidi w:val="0"/>
              <w:spacing w:before="0" w:after="0" w:line="314" w:lineRule="exact"/>
              <w:ind w:left="0" w:leftChars="0" w:right="0" w:rightChars="0" w:firstLine="0" w:firstLineChars="0"/>
              <w:jc w:val="both"/>
              <w:rPr>
                <w:rFonts w:hint="eastAsia" w:ascii="仿宋" w:hAnsi="仿宋" w:eastAsia="仿宋" w:cs="仿宋"/>
                <w:color w:val="000000"/>
                <w:spacing w:val="0"/>
                <w:w w:val="100"/>
                <w:position w:val="0"/>
                <w:sz w:val="21"/>
                <w:szCs w:val="21"/>
                <w:u w:val="none"/>
                <w:shd w:val="clear" w:color="auto" w:fill="auto"/>
                <w:lang w:val="en-US" w:eastAsia="zh-CN" w:bidi="zh-TW"/>
              </w:rPr>
            </w:pPr>
          </w:p>
          <w:p>
            <w:pPr>
              <w:pStyle w:val="11"/>
              <w:keepNext w:val="0"/>
              <w:keepLines w:val="0"/>
              <w:widowControl w:val="0"/>
              <w:shd w:val="clear" w:color="auto" w:fill="auto"/>
              <w:bidi w:val="0"/>
              <w:spacing w:before="0" w:after="0" w:line="314" w:lineRule="exact"/>
              <w:ind w:left="0" w:leftChars="0" w:right="0" w:rightChars="0" w:firstLine="0" w:firstLineChars="0"/>
              <w:jc w:val="both"/>
              <w:rPr>
                <w:rFonts w:hint="eastAsia" w:ascii="仿宋" w:hAnsi="仿宋" w:eastAsia="仿宋" w:cs="仿宋"/>
                <w:color w:val="000000"/>
                <w:spacing w:val="0"/>
                <w:w w:val="100"/>
                <w:position w:val="0"/>
                <w:sz w:val="21"/>
                <w:szCs w:val="21"/>
                <w:u w:val="none"/>
                <w:shd w:val="clear" w:color="auto" w:fill="auto"/>
                <w:lang w:val="en-US" w:eastAsia="zh-CN" w:bidi="zh-TW"/>
              </w:rPr>
            </w:pPr>
          </w:p>
          <w:p>
            <w:pPr>
              <w:pStyle w:val="11"/>
              <w:keepNext w:val="0"/>
              <w:keepLines w:val="0"/>
              <w:widowControl w:val="0"/>
              <w:shd w:val="clear" w:color="auto" w:fill="auto"/>
              <w:bidi w:val="0"/>
              <w:spacing w:before="0" w:after="0" w:line="314" w:lineRule="exact"/>
              <w:ind w:left="0" w:leftChars="0" w:right="0" w:rightChars="0" w:firstLine="0" w:firstLineChars="0"/>
              <w:jc w:val="both"/>
              <w:rPr>
                <w:rFonts w:hint="eastAsia" w:ascii="仿宋" w:hAnsi="仿宋" w:eastAsia="仿宋" w:cs="仿宋"/>
                <w:color w:val="000000"/>
                <w:spacing w:val="0"/>
                <w:w w:val="100"/>
                <w:position w:val="0"/>
                <w:sz w:val="21"/>
                <w:szCs w:val="21"/>
                <w:u w:val="none"/>
                <w:shd w:val="clear" w:color="auto" w:fill="auto"/>
                <w:lang w:val="en-US" w:eastAsia="zh-CN" w:bidi="zh-TW"/>
              </w:rPr>
            </w:pPr>
          </w:p>
          <w:p>
            <w:pPr>
              <w:pStyle w:val="11"/>
              <w:keepNext w:val="0"/>
              <w:keepLines w:val="0"/>
              <w:widowControl w:val="0"/>
              <w:shd w:val="clear" w:color="auto" w:fill="auto"/>
              <w:bidi w:val="0"/>
              <w:spacing w:before="0" w:after="0" w:line="314" w:lineRule="exact"/>
              <w:ind w:left="0" w:leftChars="0" w:right="0" w:rightChars="0" w:firstLine="0" w:firstLineChars="0"/>
              <w:jc w:val="both"/>
              <w:rPr>
                <w:rFonts w:hint="eastAsia" w:ascii="仿宋" w:hAnsi="仿宋" w:eastAsia="仿宋" w:cs="仿宋"/>
                <w:b/>
                <w:bCs/>
                <w:color w:val="000000"/>
                <w:spacing w:val="0"/>
                <w:w w:val="100"/>
                <w:position w:val="0"/>
                <w:sz w:val="24"/>
                <w:szCs w:val="24"/>
                <w:u w:val="none"/>
              </w:rPr>
            </w:pPr>
            <w:r>
              <w:rPr>
                <w:rFonts w:hint="eastAsia" w:ascii="仿宋" w:hAnsi="仿宋" w:eastAsia="仿宋" w:cs="仿宋"/>
                <w:color w:val="000000"/>
                <w:spacing w:val="0"/>
                <w:w w:val="100"/>
                <w:position w:val="0"/>
                <w:sz w:val="21"/>
                <w:szCs w:val="21"/>
                <w:u w:val="none"/>
                <w:shd w:val="clear" w:color="auto" w:fill="auto"/>
                <w:lang w:val="en-US" w:eastAsia="zh-CN" w:bidi="zh-TW"/>
              </w:rPr>
              <w:t>计划新建或改造提升宾利快递物流园自动化项目1个，新建或改造提升乡镇商贸中心2家以上，增强农产品上行功能1个以上，同时积极引导市场主体申报提高生活居民服务</w:t>
            </w:r>
            <w:r>
              <w:rPr>
                <w:rFonts w:hint="eastAsia" w:ascii="仿宋" w:hAnsi="仿宋" w:eastAsia="仿宋" w:cs="仿宋"/>
                <w:color w:val="auto"/>
                <w:spacing w:val="0"/>
                <w:w w:val="100"/>
                <w:sz w:val="21"/>
                <w:szCs w:val="21"/>
                <w:lang w:val="en-US" w:eastAsia="zh-CN"/>
              </w:rPr>
              <w:t>供给质量项目。</w:t>
            </w:r>
          </w:p>
        </w:tc>
        <w:tc>
          <w:tcPr>
            <w:tcW w:w="2076" w:type="dxa"/>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11" w:lineRule="exact"/>
              <w:ind w:left="0" w:right="0" w:firstLine="0"/>
              <w:jc w:val="center"/>
              <w:rPr>
                <w:rFonts w:hint="eastAsia" w:ascii="仿宋" w:hAnsi="仿宋" w:eastAsia="仿宋" w:cs="仿宋"/>
                <w:color w:val="000000"/>
                <w:spacing w:val="0"/>
                <w:w w:val="100"/>
                <w:position w:val="0"/>
                <w:sz w:val="24"/>
                <w:szCs w:val="24"/>
                <w:u w:val="none"/>
                <w:shd w:val="clear" w:color="auto" w:fill="auto"/>
                <w:lang w:val="en-US" w:eastAsia="en-US" w:bidi="zh-TW"/>
              </w:rPr>
            </w:pPr>
          </w:p>
          <w:p>
            <w:pPr>
              <w:pStyle w:val="11"/>
              <w:keepNext w:val="0"/>
              <w:keepLines w:val="0"/>
              <w:widowControl w:val="0"/>
              <w:shd w:val="clear" w:color="auto" w:fill="auto"/>
              <w:bidi w:val="0"/>
              <w:spacing w:before="0" w:after="0" w:line="311" w:lineRule="exact"/>
              <w:ind w:left="0" w:right="0" w:firstLine="0"/>
              <w:jc w:val="center"/>
              <w:rPr>
                <w:rFonts w:hint="eastAsia" w:ascii="仿宋" w:hAnsi="仿宋" w:eastAsia="仿宋" w:cs="仿宋"/>
                <w:color w:val="000000"/>
                <w:spacing w:val="0"/>
                <w:w w:val="100"/>
                <w:position w:val="0"/>
                <w:sz w:val="24"/>
                <w:szCs w:val="24"/>
                <w:u w:val="none"/>
                <w:shd w:val="clear" w:color="auto" w:fill="auto"/>
                <w:lang w:val="en-US" w:eastAsia="en-US" w:bidi="zh-TW"/>
              </w:rPr>
            </w:pPr>
          </w:p>
          <w:p>
            <w:pPr>
              <w:pStyle w:val="11"/>
              <w:keepNext w:val="0"/>
              <w:keepLines w:val="0"/>
              <w:widowControl w:val="0"/>
              <w:shd w:val="clear" w:color="auto" w:fill="auto"/>
              <w:bidi w:val="0"/>
              <w:spacing w:before="0" w:after="0" w:line="311" w:lineRule="exact"/>
              <w:ind w:left="0" w:right="0" w:firstLine="0"/>
              <w:jc w:val="center"/>
              <w:rPr>
                <w:rFonts w:hint="eastAsia" w:ascii="仿宋" w:hAnsi="仿宋" w:eastAsia="仿宋" w:cs="仿宋"/>
                <w:color w:val="000000"/>
                <w:spacing w:val="0"/>
                <w:w w:val="100"/>
                <w:position w:val="0"/>
                <w:sz w:val="24"/>
                <w:szCs w:val="24"/>
                <w:u w:val="none"/>
                <w:shd w:val="clear" w:color="auto" w:fill="auto"/>
                <w:lang w:val="en-US" w:eastAsia="en-US" w:bidi="zh-TW"/>
              </w:rPr>
            </w:pPr>
          </w:p>
          <w:p>
            <w:pPr>
              <w:pStyle w:val="11"/>
              <w:keepNext w:val="0"/>
              <w:keepLines w:val="0"/>
              <w:widowControl w:val="0"/>
              <w:shd w:val="clear" w:color="auto" w:fill="auto"/>
              <w:bidi w:val="0"/>
              <w:spacing w:before="0" w:after="0" w:line="311" w:lineRule="exact"/>
              <w:ind w:left="0" w:right="0" w:firstLine="0"/>
              <w:jc w:val="center"/>
              <w:rPr>
                <w:rFonts w:hint="eastAsia" w:ascii="仿宋" w:hAnsi="仿宋" w:eastAsia="仿宋" w:cs="仿宋"/>
                <w:color w:val="000000"/>
                <w:spacing w:val="0"/>
                <w:w w:val="100"/>
                <w:position w:val="0"/>
                <w:sz w:val="24"/>
                <w:szCs w:val="24"/>
                <w:u w:val="none"/>
                <w:shd w:val="clear" w:color="auto" w:fill="auto"/>
                <w:lang w:val="en-US" w:eastAsia="en-US" w:bidi="zh-TW"/>
              </w:rPr>
            </w:pPr>
          </w:p>
          <w:p>
            <w:pPr>
              <w:pStyle w:val="11"/>
              <w:keepNext w:val="0"/>
              <w:keepLines w:val="0"/>
              <w:widowControl w:val="0"/>
              <w:shd w:val="clear" w:color="auto" w:fill="auto"/>
              <w:bidi w:val="0"/>
              <w:spacing w:before="0" w:after="0" w:line="311" w:lineRule="exact"/>
              <w:ind w:left="0" w:leftChars="0" w:right="0" w:rightChars="0" w:firstLine="0" w:firstLineChars="0"/>
              <w:jc w:val="both"/>
              <w:rPr>
                <w:rFonts w:hint="default" w:ascii="仿宋" w:hAnsi="仿宋" w:eastAsia="仿宋" w:cs="仿宋"/>
                <w:b/>
                <w:bCs/>
                <w:color w:val="000000"/>
                <w:spacing w:val="0"/>
                <w:w w:val="100"/>
                <w:position w:val="0"/>
                <w:sz w:val="24"/>
                <w:szCs w:val="24"/>
                <w:u w:val="none"/>
                <w:lang w:val="en-US" w:eastAsia="zh-CN"/>
              </w:rPr>
            </w:pPr>
            <w:r>
              <w:rPr>
                <w:rFonts w:hint="eastAsia" w:ascii="仿宋" w:hAnsi="仿宋" w:eastAsia="仿宋" w:cs="仿宋"/>
                <w:color w:val="000000"/>
                <w:spacing w:val="0"/>
                <w:w w:val="100"/>
                <w:position w:val="0"/>
                <w:sz w:val="21"/>
                <w:szCs w:val="21"/>
                <w:u w:val="none"/>
                <w:shd w:val="clear" w:color="auto" w:fill="auto"/>
                <w:lang w:val="en-US" w:eastAsia="zh-CN" w:bidi="zh-TW"/>
              </w:rPr>
              <w:t>计划新建居然之家商贸中心和大别山农贸产品批发中心项目</w:t>
            </w:r>
          </w:p>
        </w:tc>
        <w:tc>
          <w:tcPr>
            <w:tcW w:w="2370" w:type="dxa"/>
            <w:tcBorders>
              <w:top w:val="single" w:color="auto" w:sz="4" w:space="0"/>
              <w:left w:val="single" w:color="auto" w:sz="4" w:space="0"/>
              <w:bottom w:val="single" w:color="auto" w:sz="4" w:space="0"/>
              <w:right w:val="single" w:color="auto" w:sz="4" w:space="0"/>
            </w:tcBorders>
            <w:shd w:val="clear" w:color="auto" w:fill="FFFFFF"/>
            <w:vAlign w:val="top"/>
          </w:tcPr>
          <w:p>
            <w:pPr>
              <w:pStyle w:val="11"/>
              <w:keepNext w:val="0"/>
              <w:keepLines w:val="0"/>
              <w:widowControl w:val="0"/>
              <w:shd w:val="clear" w:color="auto" w:fill="auto"/>
              <w:bidi w:val="0"/>
              <w:spacing w:before="0" w:after="0" w:line="316" w:lineRule="exact"/>
              <w:ind w:left="0" w:right="0" w:firstLine="0"/>
              <w:jc w:val="center"/>
              <w:rPr>
                <w:rFonts w:hint="eastAsia" w:ascii="仿宋" w:hAnsi="仿宋" w:eastAsia="仿宋" w:cs="仿宋"/>
                <w:color w:val="000000"/>
                <w:spacing w:val="0"/>
                <w:w w:val="100"/>
                <w:position w:val="0"/>
                <w:sz w:val="24"/>
                <w:szCs w:val="24"/>
                <w:u w:val="none"/>
                <w:shd w:val="clear" w:color="auto" w:fill="auto"/>
                <w:lang w:val="en-US" w:eastAsia="en-US" w:bidi="zh-TW"/>
              </w:rPr>
            </w:pPr>
          </w:p>
          <w:p>
            <w:pPr>
              <w:pStyle w:val="11"/>
              <w:keepNext w:val="0"/>
              <w:keepLines w:val="0"/>
              <w:widowControl w:val="0"/>
              <w:shd w:val="clear" w:color="auto" w:fill="auto"/>
              <w:bidi w:val="0"/>
              <w:spacing w:before="0" w:after="0" w:line="316" w:lineRule="exact"/>
              <w:ind w:left="0" w:right="0" w:firstLine="0"/>
              <w:jc w:val="center"/>
              <w:rPr>
                <w:rFonts w:hint="eastAsia" w:ascii="仿宋" w:hAnsi="仿宋" w:eastAsia="仿宋" w:cs="仿宋"/>
                <w:color w:val="000000"/>
                <w:spacing w:val="0"/>
                <w:w w:val="100"/>
                <w:position w:val="0"/>
                <w:sz w:val="24"/>
                <w:szCs w:val="24"/>
                <w:u w:val="none"/>
                <w:shd w:val="clear" w:color="auto" w:fill="auto"/>
                <w:lang w:val="en-US" w:eastAsia="en-US" w:bidi="zh-TW"/>
              </w:rPr>
            </w:pPr>
          </w:p>
          <w:p>
            <w:pPr>
              <w:pStyle w:val="11"/>
              <w:keepNext w:val="0"/>
              <w:keepLines w:val="0"/>
              <w:widowControl w:val="0"/>
              <w:shd w:val="clear" w:color="auto" w:fill="auto"/>
              <w:bidi w:val="0"/>
              <w:spacing w:before="0" w:after="0" w:line="316" w:lineRule="exact"/>
              <w:ind w:left="0" w:right="0" w:firstLine="0"/>
              <w:jc w:val="center"/>
              <w:rPr>
                <w:rFonts w:hint="eastAsia" w:ascii="仿宋" w:hAnsi="仿宋" w:eastAsia="仿宋" w:cs="仿宋"/>
                <w:color w:val="000000"/>
                <w:spacing w:val="0"/>
                <w:w w:val="100"/>
                <w:position w:val="0"/>
                <w:sz w:val="24"/>
                <w:szCs w:val="24"/>
                <w:u w:val="none"/>
                <w:shd w:val="clear" w:color="auto" w:fill="auto"/>
                <w:lang w:val="en-US" w:eastAsia="en-US" w:bidi="zh-TW"/>
              </w:rPr>
            </w:pPr>
          </w:p>
          <w:p>
            <w:pPr>
              <w:pStyle w:val="11"/>
              <w:keepNext w:val="0"/>
              <w:keepLines w:val="0"/>
              <w:widowControl w:val="0"/>
              <w:shd w:val="clear" w:color="auto" w:fill="auto"/>
              <w:bidi w:val="0"/>
              <w:spacing w:before="0" w:after="0" w:line="316" w:lineRule="exact"/>
              <w:ind w:left="0" w:leftChars="0" w:right="0" w:rightChars="0" w:firstLine="0" w:firstLineChars="0"/>
              <w:jc w:val="both"/>
              <w:rPr>
                <w:rFonts w:hint="eastAsia" w:ascii="仿宋" w:hAnsi="仿宋" w:eastAsia="仿宋" w:cs="仿宋"/>
                <w:color w:val="000000"/>
                <w:spacing w:val="0"/>
                <w:w w:val="100"/>
                <w:position w:val="0"/>
                <w:sz w:val="21"/>
                <w:szCs w:val="21"/>
                <w:u w:val="none"/>
                <w:shd w:val="clear" w:color="auto" w:fill="auto"/>
                <w:lang w:val="en-US" w:eastAsia="zh-CN" w:bidi="zh-TW"/>
              </w:rPr>
            </w:pPr>
          </w:p>
          <w:p>
            <w:pPr>
              <w:pStyle w:val="11"/>
              <w:keepNext w:val="0"/>
              <w:keepLines w:val="0"/>
              <w:widowControl w:val="0"/>
              <w:shd w:val="clear" w:color="auto" w:fill="auto"/>
              <w:bidi w:val="0"/>
              <w:spacing w:before="0" w:after="0" w:line="316" w:lineRule="exact"/>
              <w:ind w:left="0" w:leftChars="0" w:right="0" w:rightChars="0" w:firstLine="0" w:firstLineChars="0"/>
              <w:jc w:val="both"/>
              <w:rPr>
                <w:rFonts w:hint="default" w:ascii="仿宋" w:hAnsi="仿宋" w:eastAsia="仿宋" w:cs="仿宋"/>
                <w:b/>
                <w:bCs/>
                <w:color w:val="000000"/>
                <w:spacing w:val="0"/>
                <w:w w:val="100"/>
                <w:position w:val="0"/>
                <w:sz w:val="24"/>
                <w:szCs w:val="24"/>
                <w:u w:val="none"/>
                <w:lang w:val="en-US" w:eastAsia="zh-CN"/>
              </w:rPr>
            </w:pPr>
            <w:r>
              <w:rPr>
                <w:rFonts w:hint="eastAsia" w:ascii="仿宋" w:hAnsi="仿宋" w:eastAsia="仿宋" w:cs="仿宋"/>
                <w:color w:val="000000"/>
                <w:spacing w:val="0"/>
                <w:w w:val="100"/>
                <w:position w:val="0"/>
                <w:sz w:val="21"/>
                <w:szCs w:val="21"/>
                <w:u w:val="none"/>
                <w:shd w:val="clear" w:color="auto" w:fill="auto"/>
                <w:lang w:val="en-US" w:eastAsia="zh-CN" w:bidi="zh-TW"/>
              </w:rPr>
              <w:t>规划建设邮政公司物流园项目</w:t>
            </w:r>
          </w:p>
        </w:tc>
      </w:tr>
    </w:tbl>
    <w:p/>
    <w:p>
      <w:pPr>
        <w:spacing w:before="226" w:line="749" w:lineRule="exact"/>
        <w:textAlignment w:val="center"/>
      </w:pPr>
    </w:p>
    <w:sectPr>
      <w:footerReference r:id="rId15" w:type="default"/>
      <w:pgSz w:w="16838" w:h="11906" w:orient="landscape"/>
      <w:pgMar w:top="1538" w:right="1431" w:bottom="1538" w:left="400"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8" w:lineRule="exact"/>
      <w:ind w:right="27"/>
      <w:jc w:val="center"/>
      <w:rPr>
        <w:rFonts w:ascii="微软雅黑" w:hAnsi="微软雅黑" w:eastAsia="微软雅黑" w:cs="微软雅黑"/>
        <w:sz w:val="26"/>
        <w:szCs w:val="26"/>
      </w:rPr>
    </w:pPr>
    <w:r>
      <w:rPr>
        <w:sz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ascii="微软雅黑" w:hAnsi="微软雅黑" w:eastAsia="微软雅黑" w:cs="微软雅黑"/>
        <w:spacing w:val="2"/>
        <w:sz w:val="26"/>
        <w:szCs w:val="2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auto"/>
      <w:ind w:right="396"/>
      <w:jc w:val="right"/>
      <w:rPr>
        <w:rFonts w:ascii="微软雅黑" w:hAnsi="微软雅黑" w:eastAsia="微软雅黑" w:cs="微软雅黑"/>
        <w:sz w:val="26"/>
        <w:szCs w:val="26"/>
      </w:rPr>
    </w:pPr>
    <w:r>
      <w:rPr>
        <w:sz w:val="26"/>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58" w:lineRule="auto"/>
      <w:rPr>
        <w:rFonts w:ascii="微软雅黑" w:hAnsi="微软雅黑" w:eastAsia="微软雅黑" w:cs="微软雅黑"/>
        <w:sz w:val="26"/>
        <w:szCs w:val="26"/>
      </w:rPr>
    </w:pPr>
    <w:r>
      <w:rPr>
        <w:sz w:val="2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7" w:lineRule="auto"/>
      <w:ind w:left="259"/>
      <w:rPr>
        <w:rFonts w:ascii="微软雅黑" w:hAnsi="微软雅黑" w:eastAsia="微软雅黑" w:cs="微软雅黑"/>
        <w:sz w:val="26"/>
        <w:szCs w:val="26"/>
      </w:rPr>
    </w:pPr>
    <w:r>
      <w:rPr>
        <w:sz w:val="2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58" w:lineRule="auto"/>
      <w:ind w:right="272"/>
      <w:jc w:val="right"/>
      <w:rPr>
        <w:rFonts w:ascii="微软雅黑" w:hAnsi="微软雅黑" w:eastAsia="微软雅黑" w:cs="微软雅黑"/>
        <w:sz w:val="26"/>
        <w:szCs w:val="26"/>
      </w:rPr>
    </w:pPr>
    <w:r>
      <w:rPr>
        <w:sz w:val="2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8" w:lineRule="auto"/>
      <w:ind w:left="260"/>
      <w:rPr>
        <w:rFonts w:ascii="微软雅黑" w:hAnsi="微软雅黑" w:eastAsia="微软雅黑" w:cs="微软雅黑"/>
        <w:sz w:val="26"/>
        <w:szCs w:val="26"/>
      </w:rPr>
    </w:pPr>
    <w:r>
      <w:rPr>
        <w:sz w:val="2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9" w:lineRule="exact"/>
      <w:ind w:right="272"/>
      <w:jc w:val="right"/>
      <w:rPr>
        <w:rFonts w:ascii="微软雅黑" w:hAnsi="微软雅黑" w:eastAsia="微软雅黑" w:cs="微软雅黑"/>
        <w:sz w:val="26"/>
        <w:szCs w:val="26"/>
      </w:rPr>
    </w:pPr>
    <w:r>
      <w:rPr>
        <w:sz w:val="2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8" w:line="143" w:lineRule="exact"/>
      <w:rPr>
        <w:rFonts w:ascii="微软雅黑" w:hAnsi="微软雅黑" w:eastAsia="微软雅黑" w:cs="微软雅黑"/>
        <w:sz w:val="8"/>
        <w:szCs w:val="8"/>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- 8 -</w:t>
                    </w:r>
                    <w:r>
                      <w:fldChar w:fldCharType="end"/>
                    </w:r>
                  </w:p>
                </w:txbxContent>
              </v:textbox>
            </v:shape>
          </w:pict>
        </mc:Fallback>
      </mc:AlternateContent>
    </w:r>
    <w:r>
      <w:pict>
        <v:shape id="_x0000_s4097" o:spid="_x0000_s4097" o:spt="202" type="#_x0000_t202" style="position:absolute;left:0pt;margin-left:37.05pt;margin-top:-1pt;height:18.75pt;width:17.7pt;z-index:251659264;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6"/>
                    <w:szCs w:val="26"/>
                  </w:rPr>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8" w:line="143" w:lineRule="exact"/>
      <w:ind w:right="291"/>
      <w:jc w:val="right"/>
      <w:rPr>
        <w:rFonts w:ascii="微软雅黑" w:hAnsi="微软雅黑" w:eastAsia="微软雅黑" w:cs="微软雅黑"/>
        <w:sz w:val="8"/>
        <w:szCs w:val="8"/>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- 9 -</w:t>
                    </w:r>
                    <w:r>
                      <w:fldChar w:fldCharType="end"/>
                    </w:r>
                  </w:p>
                </w:txbxContent>
              </v:textbox>
            </v:shape>
          </w:pict>
        </mc:Fallback>
      </mc:AlternateContent>
    </w:r>
    <w:r>
      <w:pict>
        <v:shape id="_x0000_s4098" o:spid="_x0000_s4098" o:spt="202" type="#_x0000_t202" style="position:absolute;left:0pt;margin-left:388.05pt;margin-top:-1pt;height:18.75pt;width:17.75pt;z-index:251660288;mso-width-relative:page;mso-height-relative:page;" filled="f" stroked="f" coordsize="21600,21600">
          <v:path/>
          <v:fill on="f" focussize="0,0"/>
          <v:stroke on="f"/>
          <v:imagedata o:title=""/>
          <o:lock v:ext="edit" aspectratio="f"/>
          <v:textbox inset="0mm,0mm,0mm,0mm">
            <w:txbxContent>
              <w:p>
                <w:pPr>
                  <w:spacing w:before="20" w:line="180" w:lineRule="auto"/>
                  <w:ind w:left="20"/>
                  <w:rPr>
                    <w:rFonts w:ascii="微软雅黑" w:hAnsi="微软雅黑" w:eastAsia="微软雅黑" w:cs="微软雅黑"/>
                    <w:sz w:val="26"/>
                    <w:szCs w:val="26"/>
                  </w:rPr>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8" w:line="143" w:lineRule="exact"/>
      <w:ind w:right="402"/>
      <w:jc w:val="right"/>
      <w:rPr>
        <w:rFonts w:ascii="微软雅黑" w:hAnsi="微软雅黑" w:eastAsia="微软雅黑" w:cs="微软雅黑"/>
        <w:sz w:val="8"/>
        <w:szCs w:val="8"/>
      </w:rPr>
    </w:pPr>
    <w:r>
      <w:rPr>
        <w:sz w:val="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- 12 -</w:t>
                    </w:r>
                    <w:r>
                      <w:fldChar w:fldCharType="end"/>
                    </w:r>
                  </w:p>
                </w:txbxContent>
              </v:textbox>
            </v:shape>
          </w:pict>
        </mc:Fallback>
      </mc:AlternateContent>
    </w:r>
    <w:r>
      <w:rPr>
        <w:rFonts w:ascii="微软雅黑" w:hAnsi="微软雅黑" w:eastAsia="微软雅黑" w:cs="微软雅黑"/>
        <w:spacing w:val="11"/>
        <w:position w:val="2"/>
        <w:sz w:val="8"/>
        <w:szCs w:val="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176E1"/>
    <w:multiLevelType w:val="singleLevel"/>
    <w:tmpl w:val="BE5176E1"/>
    <w:lvl w:ilvl="0" w:tentative="0">
      <w:start w:val="5"/>
      <w:numFmt w:val="chineseCounting"/>
      <w:suff w:val="space"/>
      <w:lvlText w:val="（%1）"/>
      <w:lvlJc w:val="left"/>
      <w:rPr>
        <w:rFonts w:hint="eastAsia"/>
      </w:rPr>
    </w:lvl>
  </w:abstractNum>
  <w:abstractNum w:abstractNumId="1">
    <w:nsid w:val="F608A82F"/>
    <w:multiLevelType w:val="singleLevel"/>
    <w:tmpl w:val="F608A82F"/>
    <w:lvl w:ilvl="0" w:tentative="0">
      <w:start w:val="5"/>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MwMmY3M2Y5YjE0MDNkNDkxOGUxMjNiZmNiYzZjZTgifQ=="/>
    <w:docVar w:name="KSO_WPS_MARK_KEY" w:val="c9285699-01b2-4f6f-bfb5-eb9980e661ad"/>
  </w:docVars>
  <w:rsids>
    <w:rsidRoot w:val="00000000"/>
    <w:rsid w:val="00C4446B"/>
    <w:rsid w:val="01570798"/>
    <w:rsid w:val="09B868B1"/>
    <w:rsid w:val="0CFD4E35"/>
    <w:rsid w:val="0D0D7645"/>
    <w:rsid w:val="15286307"/>
    <w:rsid w:val="16233E04"/>
    <w:rsid w:val="22C35392"/>
    <w:rsid w:val="2369749C"/>
    <w:rsid w:val="283429F8"/>
    <w:rsid w:val="28DE4742"/>
    <w:rsid w:val="2D4D2178"/>
    <w:rsid w:val="2F594428"/>
    <w:rsid w:val="307D7DCD"/>
    <w:rsid w:val="35675058"/>
    <w:rsid w:val="42052474"/>
    <w:rsid w:val="43BB22D4"/>
    <w:rsid w:val="48BF5BFD"/>
    <w:rsid w:val="4A0B1FA6"/>
    <w:rsid w:val="4ADF1A74"/>
    <w:rsid w:val="4B614574"/>
    <w:rsid w:val="53B62AEC"/>
    <w:rsid w:val="5B0509CB"/>
    <w:rsid w:val="5CCB2BFB"/>
    <w:rsid w:val="5D7F4938"/>
    <w:rsid w:val="64A22FF7"/>
    <w:rsid w:val="668C66E2"/>
    <w:rsid w:val="6D201B18"/>
    <w:rsid w:val="6F20011E"/>
    <w:rsid w:val="6FD42CB7"/>
    <w:rsid w:val="76130833"/>
    <w:rsid w:val="7B486307"/>
    <w:rsid w:val="7FAE172F"/>
    <w:rsid w:val="7FBE7E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Heading #2|1"/>
    <w:basedOn w:val="1"/>
    <w:qFormat/>
    <w:uiPriority w:val="0"/>
    <w:pPr>
      <w:widowControl w:val="0"/>
      <w:shd w:val="clear" w:color="auto" w:fill="auto"/>
      <w:jc w:val="center"/>
      <w:outlineLvl w:val="1"/>
    </w:pPr>
    <w:rPr>
      <w:rFonts w:ascii="宋体" w:hAnsi="宋体" w:eastAsia="宋体" w:cs="宋体"/>
      <w:sz w:val="42"/>
      <w:szCs w:val="42"/>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after="220"/>
    </w:pPr>
    <w:rPr>
      <w:rFonts w:ascii="宋体" w:hAnsi="宋体" w:eastAsia="宋体" w:cs="宋体"/>
      <w:sz w:val="30"/>
      <w:szCs w:val="30"/>
      <w:u w:val="none"/>
      <w:shd w:val="clear" w:color="auto" w:fill="auto"/>
      <w:lang w:val="zh-TW" w:eastAsia="zh-TW" w:bidi="zh-TW"/>
    </w:rPr>
  </w:style>
  <w:style w:type="paragraph" w:customStyle="1" w:styleId="9">
    <w:name w:val="Heading #4|1"/>
    <w:basedOn w:val="1"/>
    <w:qFormat/>
    <w:uiPriority w:val="0"/>
    <w:pPr>
      <w:widowControl w:val="0"/>
      <w:shd w:val="clear" w:color="auto" w:fill="auto"/>
      <w:spacing w:after="220"/>
      <w:ind w:firstLine="320"/>
      <w:outlineLvl w:val="3"/>
    </w:pPr>
    <w:rPr>
      <w:b/>
      <w:bCs/>
      <w:w w:val="80"/>
      <w:sz w:val="32"/>
      <w:szCs w:val="32"/>
      <w:u w:val="none"/>
      <w:shd w:val="clear" w:color="auto" w:fill="auto"/>
      <w:lang w:val="zh-TW" w:eastAsia="zh-TW" w:bidi="zh-TW"/>
    </w:rPr>
  </w:style>
  <w:style w:type="paragraph" w:customStyle="1" w:styleId="10">
    <w:name w:val="Heading #1|1"/>
    <w:basedOn w:val="1"/>
    <w:qFormat/>
    <w:uiPriority w:val="0"/>
    <w:pPr>
      <w:widowControl w:val="0"/>
      <w:shd w:val="clear" w:color="auto" w:fill="auto"/>
      <w:spacing w:after="720" w:line="1584" w:lineRule="exact"/>
      <w:jc w:val="center"/>
      <w:outlineLvl w:val="0"/>
    </w:pPr>
    <w:rPr>
      <w:rFonts w:ascii="宋体" w:hAnsi="宋体" w:eastAsia="宋体" w:cs="宋体"/>
      <w:sz w:val="70"/>
      <w:szCs w:val="70"/>
      <w:u w:val="none"/>
      <w:shd w:val="clear" w:color="auto" w:fill="auto"/>
      <w:lang w:val="zh-TW" w:eastAsia="zh-TW" w:bidi="zh-TW"/>
    </w:rPr>
  </w:style>
  <w:style w:type="paragraph" w:customStyle="1" w:styleId="11">
    <w:name w:val="Other|1"/>
    <w:basedOn w:val="1"/>
    <w:qFormat/>
    <w:uiPriority w:val="0"/>
    <w:pPr>
      <w:widowControl w:val="0"/>
      <w:shd w:val="clear" w:color="auto" w:fill="auto"/>
      <w:spacing w:line="310" w:lineRule="exact"/>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7006</Words>
  <Characters>7096</Characters>
  <TotalTime>2</TotalTime>
  <ScaleCrop>false</ScaleCrop>
  <LinksUpToDate>false</LinksUpToDate>
  <CharactersWithSpaces>7343</CharactersWithSpaces>
  <Application>WPS Office_11.1.0.15319_F1E327BC-269C-435d-A152-05C5408002CA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2022-12-12T15:06:00Z</dcterms:created>
  <dc:creator>作者</dc:creator>
  <cp:keywords>关键字</cp:keywords>
  <cp:lastModifiedBy>张小乐啊</cp:lastModifiedBy>
  <cp:lastPrinted>2022-12-22T00:13:00Z</cp:lastPrinted>
  <dcterms:modified xsi:type="dcterms:W3CDTF">2024-03-15T02:29:19Z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2022-12-12T15:07:18Z</vt:filetime>
  </property>
  <property fmtid="{D5CDD505-2E9C-101B-9397-08002B2CF9AE}" pid="4" name="KSOProductBuildVer">
    <vt:lpwstr>2052-11.1.0.15319</vt:lpwstr>
  </property>
  <property fmtid="{D5CDD505-2E9C-101B-9397-08002B2CF9AE}" pid="5" name="ICV">
    <vt:lpwstr>F85EDBE0AAA14F2A98BF156E166AE2A1</vt:lpwstr>
  </property>
</Properties>
</file>