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Fonts w:hint="eastAsia"/>
        </w:rPr>
      </w:pPr>
      <w:r>
        <w:rPr>
          <w:rFonts w:hint="eastAsia"/>
        </w:rPr>
        <w:t>新县万村通客车提质工程运营补贴方案</w:t>
      </w:r>
    </w:p>
    <w:p>
      <w:pPr>
        <w:pStyle w:val="6"/>
        <w:numPr>
          <w:ilvl w:val="0"/>
          <w:numId w:val="0"/>
        </w:numPr>
        <w:bidi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（征求意见稿）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依据《河南省“万村通客车提质工程”实施方案》以及《信阳市“万村通客车提质工程”实施方案》有关精神，结合我县实际，特制订本方案。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指导思想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以习近平新时代中国特色社会主义思想为指导，坚持以人民为中心的发展思想，以满足农民群众方便、快捷、安全出行为主线，以农村客运真通实达为主攻方向，因地制宜、创新模式、全面提升，加快补齐农村客运发展短板，切实提升我县农村客运普遍服务水平和整体品质，为助推乡村振兴战略实施提供坚实的运输保障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总体目标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为实现我县165个建制村通客车，将公交化运营和班线客运线路连通的行政村比例提高到100%，农村客运停靠点距行政村村部2公里以内，行政村直达或一次中转到县城的比例达到100%。打造以“公交化运营+班线客运”为主、以“预约班”为补充的村村通客车“升级版”，让农民群众出门见路、抬脚上车，出行更方便、更快捷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主要任务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1、投入10座中型客车24台（以下简称“万村通”客车或“村村通”客车），满足17个乡镇24条通村客车线路群众出行需求。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2、根据运营成本核算情况，对符合条件的“万村通”客车进行补贴。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运营模式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通村客车运营亏损实行财政补贴，由政府实行绩效考核。补贴资金实行“政府补助、行业监管、企业运行”的模式。在年度财政预算中足额安排建制村“万村通”客车运营亏损专项补贴资金。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根据国家规定的中小城市每万人拥有公交化车辆7个标台的标准，我县拥有城市公交84台（共84标台）、城乡公交95台（共93.5标台）、毗邻县农村客运车辆11台（共7.7标台），总计185.2标台。全县共36万人，按万人7个标台拥有量配置，共应配252个标台，现有185.2标台，每万人拥有量约5.1标台。结合当前我县农村群众外出务工、农村</w:t>
      </w:r>
      <w:r>
        <w:rPr>
          <w:rFonts w:hint="eastAsia"/>
          <w:lang w:val="en-US" w:eastAsia="zh-CN"/>
        </w:rPr>
        <w:t>常住</w:t>
      </w:r>
      <w:bookmarkStart w:id="0" w:name="_GoBack"/>
      <w:bookmarkEnd w:id="0"/>
      <w:r>
        <w:rPr>
          <w:rFonts w:hint="eastAsia"/>
        </w:rPr>
        <w:t>人口较少等实际情况，我县“万村通”客车拟投入24台（12标台），未超出国家规定的配置标准和现有经济发展水平配置车辆。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财政补贴范围和对象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补贴范围：</w:t>
      </w:r>
      <w:r>
        <w:rPr>
          <w:rStyle w:val="9"/>
          <w:rFonts w:hint="eastAsia"/>
          <w:b w:val="0"/>
          <w:bCs/>
        </w:rPr>
        <w:t>经审定的到建制村的运营线路、通车方式、通车车型的运营亏损给予财政补贴。客运班车运行方案可根据实际出行需求的变化由交通部门进行调整、优化。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补贴对象：</w:t>
      </w:r>
      <w:r>
        <w:rPr>
          <w:rStyle w:val="9"/>
          <w:rFonts w:hint="eastAsia"/>
          <w:b w:val="0"/>
          <w:bCs/>
        </w:rPr>
        <w:t>实施建制村通客车的运营企业。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运营成本以及各单项成本的核定：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“万村通”客车驾驶员总人数：驾驶员总人数=“万村通”企业年实际总运营小时÷劳动法规定每年每人工作小时数（每周不超过40小时），配班驾驶员据实核定；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人员工资（驾驶员、管理人员）:按照当前本行业工资水平参照县城市公交、农村客运合同工资就低标准暂定。人员工资总额按照核定的人员数量和人均工资核定；燃料及动力费据实核定，保险费按规定据实核定，管理费、安检费按规定据实核定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根据上述各项计入“万村通”客车运营成本规制的核算，依据“万村通客车提质工程”建设考核验收标准结合我县实际，拟对涉及该项工作的17个乡镇（区、街道）投入24台10座中型客车进行运营。通过实地调研，确定每个村最近乘车点到乡镇的实际距离，规划出合理候车站点和运营线路。</w:t>
      </w:r>
    </w:p>
    <w:p>
      <w:pPr>
        <w:pStyle w:val="6"/>
        <w:bidi w:val="0"/>
        <w:rPr>
          <w:rFonts w:hint="eastAsia"/>
        </w:rPr>
      </w:pPr>
      <w:r>
        <w:rPr>
          <w:rFonts w:hint="eastAsia"/>
        </w:rPr>
        <w:t>拟投入“万村通”客车营运规制成本：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驾驶员工资：按照当前本行业工资水平就最低标准每月4500元，24台车每月需工资54000元，每年需1296000元；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管理工资：按照负担全县165个建制村的农村客运运营，需12名管理人员，按照每人每月4000元，12名管理人员每月需工资48000元，每年需工资576000元；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管理人员社保：按照当前我县最低社保缴纳基数，每人每月886元，12名管理人员每月需缴纳10632元，每年需缴纳127584元；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燃料：按照每年不低于3万公里计算，平均每日最低行驶里程84公里，按照每百公里油耗14升，油价8元/升，每日燃油消耗90.75元，月均燃油费用2722.5元，每车每年需燃料费32670元，24台车每年需燃料费784080元；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轮胎：结合“村村通”道路路面较窄、陡坡弯道较多等实际情况，出于行车安全考虑，需每年更换一次轮胎，每车6条轮胎，按照每条轮胎400元，每车每年2400元，24台车每年需57600元；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维修保养：每月车辆例行保养及维护费用，一/二级保养、日常维护、维修更换零件等费用，每月需1800元，每车每年需21600元，24台车每年需518400元；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保险费：每车每年投保费用11472元，24台车每年需保险费用275328元；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安全基金：根据《财政部应急部关于印发〈企业安全生产费用提取和使用管理办法〉的通知》（财资〔2022〕136号）文件规定，按照上一年度营业收入为依据，确定本年度应计提金额，客运业务按照收入的1.5%的标准提取，每车每月需125元，每车每年1500元，24台车每年需费用36000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GPS服务费：4G网络GPS动态监控系统每车每年800元，24台车每年需19200元；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证照审验费：车辆审验、营运证审验、二级维护检测，按照每车每月300元计算，每车每年需3600元，24台车每年需86400元；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安检费：根据相关规定，营运车辆每天应进行安全例保检查一次，每车每年需1800元，全年共需43200元。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以上费用，24台车总计每年需3819792元，县财政按照每年380万元的标准进行补贴，连续补贴三年，补贴资金纳入县财政年度预算。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监督考核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符合补贴条件的农村客车必须按照运管部门批准的起讫地点、运行线路、投入车型、日发班次营运，经营者根据GPS后台里程记录，每日将实际营运情况进行登记，每月报县运管部门备案审核。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“万村通提质客车”实行按月考核，单车日均运营里程不低于84公里，月均运营里程不得低于2500公里，年均运营里程不低于3万公里。符合补贴条件的车辆由客运企业统一提出申请，报县运管部门核准无误后，根据车辆实际运营里程，按照每年补贴380万元，折合每公里5.27元的补贴标准按月发放补贴，次月发放上个月“万村通”客车补贴。具体补贴金额按照村村通考核评分细则的得分情况予以补贴，计算公式为：</w:t>
      </w:r>
    </w:p>
    <w:p>
      <w:pPr>
        <w:bidi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spacing w:val="0"/>
          <w:position w:val="-24"/>
          <w:sz w:val="32"/>
          <w:szCs w:val="32"/>
          <w:lang w:val="en-US" w:eastAsia="zh-CN"/>
        </w:rPr>
        <w:object>
          <v:shape id="_x0000_i1025" o:spt="75" type="#_x0000_t75" style="height:34pt;width:369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每个周期年年底开展一次年度考核，若一个周期年补贴的380万元有结余，在未发生任何重大及以上交通事故的前提下，运营企业若完成周期年内所有问题整改，剩余资金作为奖励一次性补贴给运营企业；若完成周期年内部分问题整改，剩余资金根据整改完成情况按比例补贴给运营企业；若发生重大及以上交通事故，剩余资金不予补贴。未能补贴给运营企业的剩余资金，由县财政统一收回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此外，企业可根据实际情况，在已领取“万村通”补贴中拿出一定金额，专门用于对安全意识强、操作规范好、群众满意率高的“万村通”驾驶员进行直接奖励，以此促进“万村通”客车长期稳定发展，具体奖励办法由企业自行制定。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其他事项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1、合法性原则：不符合《中华人民共和国会计法》等有关法律，法规和财务会计制度规定的费用，以及国务院明令不得收取的费用，不计入“万村通”客车营运规制成本。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2、权责发生制原则：凡是本期成本应负担的费用，不论款项是否支付，均应计入本期成本，凡是不属于本期成本应负担的费用，即使款项已经支付，也不能计入本期成本。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3、相关性原则：凡与万村通客车营运主营业务无关的费用，一律不能计入万村通客车营运规制成本。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4、合理性原则：影响万村通客车营运规制成本各项费用的主要技术，经济指标应符合行业标准或社会公允水平。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5、计入“万村通”客车营运规制成本包括：人员工资及福利费、社会保障费、燃料及动力费、保险费；营运车辆修理费、管理费、其他直接费用等项目。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6、不计入“万村通”客车营运规制成本的包括：应当在各项专项基金中开支的费用；固定资产盘亏、报废、毁损和出售的净损失；支付的滞纳金、罚款、违约金、赔偿金以及企业赞助，捐赠支出；各种资产性支出，即为购置和建造固定资产及改良使用性能的支出；被没收的财产；对外投资支出；企业非正常生产经营活动造成的费用；国家规定的不得列入成本的其他支出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“万村通”客车财政补贴专项资金必须专款专用，运营企业不得以任何形式挪用，严格按照国家统一的会计准则和制度进行会计核算，保证会计信息的真实、可靠、完整，及时并严格控制开支范围和标准，努力提高资金使用效益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7、有下列情形之一的，政府相关部门应责令其改正，调整有关会计账目，追回挪用、骗取的补贴资金，核减或停止拨付资金：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（1）截留、挪用万村通财政专项资金。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（2）以虚报、冒领等手段骗取万村通客车补贴专项资金。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（3）擅自改变万村通客车补贴专项资金使用范围。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（4）违反规定擅自提高支出标准。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（5）虚列投资完成额。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8、“万村通”客车运营企业必须满足的基本条件：运营企业客运有较高服务能力和水平，有足够的人、财、物满足建制村通客车；企业管理规范，运营收支与运营成本核算、清晰、透明，资料提供及时；“万村通”客车票价维持在合理水平；“万村通”客车公司化运营管理，单独核算，并向社会公开相关信息，接受政府各职能部门与公众的监督；“万村通”客车正式投入运营后，行业主管部门需制定“万村通”客车监督管理办法和“万村通”客车运营企业服务质量考核办法等相关制度；“万村通”客车每年初，应向政府相关部门提交第三方审计报告，提出运营成本监审和财务状况审查申请；“万村通”客车信息化监管平台、约车服务平台基本建成，车辆具备视频监控功能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9、县交通运输部门对“万村通客车”项目实施过程进行考核，考核结果作为资金补助标准和确定续营的重要依据。财政部门应加强对政府补贴建制村客车“万村通”专项资金进行监督检查。审计、监察部门依法履行监督职能，将财政补贴资金使用情况列入审计监督范围，对其行为依法实施行政监察，及时发现和查处违规违纪问题。</w:t>
      </w:r>
    </w:p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</w:rPr>
        <w:t>附件：1.新县“村村通”客车运营成本分析表</w:t>
      </w:r>
    </w:p>
    <w:p>
      <w:pPr>
        <w:pStyle w:val="4"/>
        <w:bidi w:val="0"/>
        <w:ind w:firstLine="1600" w:firstLineChars="500"/>
        <w:rPr>
          <w:rFonts w:hint="eastAsia"/>
        </w:rPr>
      </w:pPr>
      <w:r>
        <w:rPr>
          <w:rFonts w:hint="eastAsia"/>
        </w:rPr>
        <w:t>2.新县“村村通”客车考核评分细则</w:t>
      </w:r>
    </w:p>
    <w:p>
      <w:pPr>
        <w:pStyle w:val="4"/>
        <w:bidi w:val="0"/>
        <w:ind w:firstLine="1600" w:firstLineChars="500"/>
        <w:rPr>
          <w:rFonts w:hint="eastAsia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2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783"/>
        <w:gridCol w:w="1894"/>
        <w:gridCol w:w="1327"/>
        <w:gridCol w:w="1200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both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napToGrid w:val="0"/>
                <w:color w:val="000000"/>
                <w:spacing w:val="0"/>
                <w:kern w:val="0"/>
                <w:sz w:val="36"/>
                <w:szCs w:val="36"/>
                <w:lang w:val="en-US" w:eastAsia="zh-CN"/>
              </w:rPr>
              <w:t>新县“村村通”客车运营成本分析表（单位：元）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项目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10座车辆</w:t>
            </w:r>
          </w:p>
        </w:tc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24台车年需资金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7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年均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月均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日均</w:t>
            </w:r>
          </w:p>
        </w:tc>
        <w:tc>
          <w:tcPr>
            <w:tcW w:w="1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驾驶员工资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54000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4500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1296000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燃料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32760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2722.5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90.75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784080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轮胎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2400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6.67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维修保养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21600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1800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518400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保险费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11472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956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31.87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275328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安全基金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1500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4.17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安检费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1800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43200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GPS服务费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800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66.67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2.22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证照审验费（含二级维护）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86400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管理人员工资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（12人）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48000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4000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133.33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576000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管理社保（12人）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10632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886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29.53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127584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24台车全年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合计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费用</w:t>
            </w:r>
          </w:p>
        </w:tc>
        <w:tc>
          <w:tcPr>
            <w:tcW w:w="5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3819792</w:t>
            </w:r>
          </w:p>
        </w:tc>
      </w:tr>
    </w:tbl>
    <w:p>
      <w:pPr>
        <w:pStyle w:val="4"/>
        <w:bidi w:val="0"/>
        <w:ind w:left="0" w:leftChars="0" w:firstLine="0" w:firstLineChars="0"/>
        <w:rPr>
          <w:rFonts w:hint="eastAsia"/>
        </w:rPr>
        <w:sectPr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5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7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新县</w:t>
      </w: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村村通</w:t>
      </w:r>
      <w:r>
        <w:rPr>
          <w:rFonts w:hint="eastAsia"/>
          <w:lang w:val="en-US" w:eastAsia="zh-CN"/>
        </w:rPr>
        <w:t>”</w:t>
      </w:r>
      <w:r>
        <w:rPr>
          <w:rFonts w:hint="default"/>
          <w:lang w:val="en-US" w:eastAsia="zh-CN"/>
        </w:rPr>
        <w:t>客车考核评分细则（     年   月）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5"/>
        <w:gridCol w:w="705"/>
        <w:gridCol w:w="573"/>
        <w:gridCol w:w="1179"/>
        <w:gridCol w:w="4368"/>
        <w:gridCol w:w="619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考核内容</w:t>
            </w:r>
          </w:p>
        </w:tc>
        <w:tc>
          <w:tcPr>
            <w:tcW w:w="2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57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2" w:hRule="atLeast"/>
        </w:trPr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责任管理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安全管理制度健全情况。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定期安全例检情况。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安全例会情况。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到期年检和技术等级评定情况。</w:t>
            </w:r>
          </w:p>
        </w:tc>
        <w:tc>
          <w:tcPr>
            <w:tcW w:w="20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共计5分。没有建立安全管理制度的，扣5分。安全管理制度中管理人员未履行义务的，每发现一次扣1分。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2.共计5分。没有定期安全例检的，每发现一起扣1分。定期安检过程中，每出现一起不合格车辆上路的扣1分。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leftChars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3.共计5分。没有举行安全生产例会的，每发现一次扣1分。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4.共计5分。到期未年检，每发现一起扣5分。到期未进行技术等级评定，每发现一起扣5分。扣完为止。</w:t>
            </w: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" w:firstLine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5" w:hRule="atLeast"/>
        </w:trPr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运营里程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单车日均运营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>里程目标完成情况</w:t>
            </w:r>
          </w:p>
        </w:tc>
        <w:tc>
          <w:tcPr>
            <w:tcW w:w="20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单车日均运营里程不低于84公里，月均运营里程不得低于2500公里，年均运营里程不低于3万公里。按月考核，单车日均运营里程不低于84公里，每低5公里扣1分。（如遇春节放假或不可抗力因素导致的车辆停运情形，根据实际情况评分）</w:t>
            </w:r>
          </w:p>
        </w:tc>
        <w:tc>
          <w:tcPr>
            <w:tcW w:w="29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0" w:hRule="atLeast"/>
        </w:trPr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服务质量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1.群众投诉情况。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2.收费情况。</w:t>
            </w:r>
          </w:p>
        </w:tc>
        <w:tc>
          <w:tcPr>
            <w:tcW w:w="20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1.共计10分。因违章营运、服务质量差等被投诉，每起投诉扣1分。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2.共计10分。有乱收费、乱涨价的，每发现一起扣1分。</w:t>
            </w:r>
          </w:p>
        </w:tc>
        <w:tc>
          <w:tcPr>
            <w:tcW w:w="29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atLeast"/>
        </w:trPr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操作规范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驾驶员行驶操作规范情况</w:t>
            </w:r>
          </w:p>
        </w:tc>
        <w:tc>
          <w:tcPr>
            <w:tcW w:w="208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共计20分。驾驶员驾驶车辆途中，每发现一起不系安全带、抽烟、吃东西、接打电话、超速等违规行为或不文明驾驶行为的扣1分。</w:t>
            </w:r>
          </w:p>
        </w:tc>
        <w:tc>
          <w:tcPr>
            <w:tcW w:w="295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3" w:hRule="atLeast"/>
        </w:trPr>
        <w:tc>
          <w:tcPr>
            <w:tcW w:w="23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安全经营行为</w:t>
            </w:r>
          </w:p>
        </w:tc>
        <w:tc>
          <w:tcPr>
            <w:tcW w:w="2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6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安全行车情况</w:t>
            </w:r>
          </w:p>
        </w:tc>
        <w:tc>
          <w:tcPr>
            <w:tcW w:w="208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" w:firstLine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共计20分。本月发生轻微及以下事故，每发生一起扣1分。发生一般事故，每发生一起扣5分。发生重大及以上事故，该项不得分。</w:t>
            </w:r>
          </w:p>
        </w:tc>
        <w:tc>
          <w:tcPr>
            <w:tcW w:w="29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0" w:firstLine="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bidi w:val="0"/>
        <w:ind w:left="0" w:leftChars="0" w:firstLine="0" w:firstLineChars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79330"/>
    <w:multiLevelType w:val="singleLevel"/>
    <w:tmpl w:val="A7D79330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397"/>
      </w:pPr>
      <w:rPr>
        <w:rFonts w:hint="eastAsia" w:ascii="Times New Roman" w:hAnsi="Times New Roman" w:eastAsia="楷体_GB2312"/>
        <w:b/>
        <w:sz w:val="32"/>
      </w:rPr>
    </w:lvl>
  </w:abstractNum>
  <w:abstractNum w:abstractNumId="1">
    <w:nsid w:val="BC152220"/>
    <w:multiLevelType w:val="singleLevel"/>
    <w:tmpl w:val="BC152220"/>
    <w:lvl w:ilvl="0" w:tentative="0">
      <w:start w:val="1"/>
      <w:numFmt w:val="chineseCounting"/>
      <w:pStyle w:val="5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eastAsia="黑体"/>
        <w:sz w:val="32"/>
      </w:rPr>
    </w:lvl>
  </w:abstractNum>
  <w:abstractNum w:abstractNumId="2">
    <w:nsid w:val="E848E751"/>
    <w:multiLevelType w:val="singleLevel"/>
    <w:tmpl w:val="E848E7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BFBD57F"/>
    <w:multiLevelType w:val="singleLevel"/>
    <w:tmpl w:val="2BFBD5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Y2FkMGVhNGVlNzQxMDFlZTliYjY2YTkwZmViYzEifQ=="/>
  </w:docVars>
  <w:rsids>
    <w:rsidRoot w:val="1AF16BC9"/>
    <w:rsid w:val="05EA5FAC"/>
    <w:rsid w:val="078F5FA9"/>
    <w:rsid w:val="0CFE7E0D"/>
    <w:rsid w:val="1AF16BC9"/>
    <w:rsid w:val="1CB45080"/>
    <w:rsid w:val="310622FB"/>
    <w:rsid w:val="3D673DEF"/>
    <w:rsid w:val="4C53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材料正文"/>
    <w:basedOn w:val="1"/>
    <w:link w:val="9"/>
    <w:qFormat/>
    <w:uiPriority w:val="0"/>
    <w:pPr>
      <w:wordWrap w:val="0"/>
      <w:adjustRightInd w:val="0"/>
      <w:snapToGrid w:val="0"/>
      <w:spacing w:line="580" w:lineRule="exact"/>
      <w:ind w:firstLine="880" w:firstLineChars="200"/>
      <w:jc w:val="both"/>
    </w:pPr>
    <w:rPr>
      <w:rFonts w:hint="eastAsia" w:ascii="Times New Roman" w:hAnsi="Times New Roman" w:eastAsia="仿宋_GB2312" w:cs="仿宋_GB2312"/>
      <w:sz w:val="32"/>
      <w:szCs w:val="44"/>
    </w:rPr>
  </w:style>
  <w:style w:type="paragraph" w:customStyle="1" w:styleId="5">
    <w:name w:val="材料一级标题黑体"/>
    <w:basedOn w:val="4"/>
    <w:next w:val="4"/>
    <w:link w:val="8"/>
    <w:qFormat/>
    <w:uiPriority w:val="0"/>
    <w:pPr>
      <w:numPr>
        <w:ilvl w:val="0"/>
        <w:numId w:val="1"/>
      </w:numPr>
    </w:pPr>
    <w:rPr>
      <w:rFonts w:eastAsia="黑体"/>
    </w:rPr>
  </w:style>
  <w:style w:type="paragraph" w:customStyle="1" w:styleId="6">
    <w:name w:val="材料二级标题楷体"/>
    <w:basedOn w:val="4"/>
    <w:next w:val="4"/>
    <w:link w:val="10"/>
    <w:qFormat/>
    <w:uiPriority w:val="0"/>
    <w:pPr>
      <w:numPr>
        <w:ilvl w:val="0"/>
        <w:numId w:val="2"/>
      </w:numPr>
      <w:ind w:firstLine="420"/>
    </w:pPr>
    <w:rPr>
      <w:rFonts w:eastAsia="楷体_GB2312"/>
      <w:b/>
    </w:rPr>
  </w:style>
  <w:style w:type="paragraph" w:customStyle="1" w:styleId="7">
    <w:name w:val="材料大标题"/>
    <w:basedOn w:val="4"/>
    <w:next w:val="4"/>
    <w:qFormat/>
    <w:uiPriority w:val="0"/>
    <w:pPr>
      <w:ind w:firstLine="0" w:firstLineChars="0"/>
      <w:jc w:val="center"/>
    </w:pPr>
    <w:rPr>
      <w:rFonts w:eastAsia="方正小标宋简体"/>
      <w:sz w:val="44"/>
    </w:rPr>
  </w:style>
  <w:style w:type="character" w:customStyle="1" w:styleId="8">
    <w:name w:val="材料一级标题黑体 Char"/>
    <w:link w:val="5"/>
    <w:qFormat/>
    <w:uiPriority w:val="0"/>
    <w:rPr>
      <w:rFonts w:eastAsia="黑体"/>
    </w:rPr>
  </w:style>
  <w:style w:type="character" w:customStyle="1" w:styleId="9">
    <w:name w:val="材料正文 Char"/>
    <w:link w:val="4"/>
    <w:qFormat/>
    <w:uiPriority w:val="0"/>
    <w:rPr>
      <w:rFonts w:hint="eastAsia" w:ascii="Times New Roman" w:hAnsi="Times New Roman" w:eastAsia="仿宋_GB2312" w:cs="仿宋_GB2312"/>
      <w:sz w:val="32"/>
      <w:szCs w:val="44"/>
    </w:rPr>
  </w:style>
  <w:style w:type="character" w:customStyle="1" w:styleId="10">
    <w:name w:val="材料二级标题楷体 Char"/>
    <w:link w:val="6"/>
    <w:qFormat/>
    <w:uiPriority w:val="0"/>
    <w:rPr>
      <w:rFonts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2023-08-18T01:34:00Z</dcterms:created>
  <dc:creator>Spongexx</dc:creator>
  <cp:lastModifiedBy>Spongexx</cp:lastModifiedBy>
  <dcterms:modified xsi:type="dcterms:W3CDTF">2023-09-27T09:07:17Z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6F0E222517E7463C90B3FB557D009A17_11</vt:lpwstr>
  </property>
</Properties>
</file>