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lang w:val="en-US" w:eastAsia="zh-CN"/>
        </w:rPr>
      </w:pPr>
      <w:bookmarkStart w:id="0" w:name="_GoBack"/>
      <w:bookmarkEnd w:id="0"/>
    </w:p>
    <w:tbl>
      <w:tblPr>
        <w:tblStyle w:val="8"/>
        <w:tblpPr w:leftFromText="180" w:rightFromText="180" w:vertAnchor="page" w:horzAnchor="page" w:tblpX="1571" w:tblpY="289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95"/>
        <w:gridCol w:w="2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6895" w:type="dxa"/>
            <w:tcBorders>
              <w:tl2br w:val="nil"/>
              <w:tr2bl w:val="nil"/>
            </w:tcBorders>
          </w:tcPr>
          <w:p>
            <w:pPr>
              <w:pageBreakBefore w:val="0"/>
              <w:widowControl w:val="0"/>
              <w:kinsoku/>
              <w:wordWrap/>
              <w:overflowPunct/>
              <w:topLinePunct w:val="0"/>
              <w:autoSpaceDE/>
              <w:autoSpaceDN/>
              <w:bidi w:val="0"/>
              <w:adjustRightInd/>
              <w:snapToGrid/>
              <w:spacing w:line="1400" w:lineRule="exact"/>
              <w:jc w:val="distribute"/>
              <w:textAlignment w:val="auto"/>
              <w:rPr>
                <w:rFonts w:ascii="Times New Roman" w:hAnsi="Times New Roman"/>
                <w:color w:val="FF0000"/>
                <w:vertAlign w:val="baseline"/>
              </w:rPr>
            </w:pPr>
            <w:r>
              <w:rPr>
                <w:rFonts w:hint="eastAsia" w:ascii="Times New Roman" w:hAnsi="Times New Roman" w:eastAsia="方正小标宋简体" w:cs="方正小标宋简体"/>
                <w:b/>
                <w:color w:val="FF0000"/>
                <w:spacing w:val="-113"/>
                <w:w w:val="75"/>
                <w:sz w:val="96"/>
                <w:szCs w:val="96"/>
                <w:lang w:val="en-US" w:eastAsia="zh-CN"/>
              </w:rPr>
              <w:t>新县公共文化服务体系</w:t>
            </w:r>
          </w:p>
        </w:tc>
        <w:tc>
          <w:tcPr>
            <w:tcW w:w="216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600" w:lineRule="exact"/>
              <w:jc w:val="distribute"/>
              <w:textAlignment w:val="auto"/>
              <w:rPr>
                <w:rFonts w:hint="eastAsia" w:ascii="Times New Roman" w:hAnsi="Times New Roman" w:eastAsiaTheme="minorEastAsia"/>
                <w:color w:val="FF0000"/>
                <w:vertAlign w:val="baseline"/>
                <w:lang w:val="en-US" w:eastAsia="zh-CN"/>
              </w:rPr>
            </w:pPr>
            <w:r>
              <w:rPr>
                <w:rFonts w:hint="eastAsia" w:ascii="Times New Roman" w:hAnsi="Times New Roman" w:eastAsia="方正小标宋简体" w:cs="方正小标宋简体"/>
                <w:b/>
                <w:color w:val="FF0000"/>
                <w:spacing w:val="-113"/>
                <w:w w:val="80"/>
                <w:kern w:val="44"/>
                <w:sz w:val="144"/>
                <w:szCs w:val="144"/>
                <w:lang w:val="en-US" w:eastAsia="zh-CN" w:bidi="ar-SA"/>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895" w:type="dxa"/>
            <w:tcBorders>
              <w:tl2br w:val="nil"/>
              <w:tr2bl w:val="nil"/>
            </w:tcBorders>
          </w:tcPr>
          <w:p>
            <w:pPr>
              <w:pageBreakBefore w:val="0"/>
              <w:widowControl w:val="0"/>
              <w:kinsoku/>
              <w:wordWrap/>
              <w:overflowPunct/>
              <w:topLinePunct w:val="0"/>
              <w:autoSpaceDE/>
              <w:autoSpaceDN/>
              <w:bidi w:val="0"/>
              <w:adjustRightInd/>
              <w:snapToGrid/>
              <w:spacing w:line="1400" w:lineRule="exact"/>
              <w:jc w:val="distribute"/>
              <w:textAlignment w:val="auto"/>
              <w:rPr>
                <w:rFonts w:ascii="Times New Roman" w:hAnsi="Times New Roman"/>
                <w:color w:val="FF0000"/>
                <w:vertAlign w:val="baseline"/>
              </w:rPr>
            </w:pPr>
            <w:r>
              <w:rPr>
                <w:rFonts w:hint="eastAsia" w:ascii="Times New Roman" w:hAnsi="Times New Roman" w:eastAsia="方正小标宋简体" w:cs="方正小标宋简体"/>
                <w:b/>
                <w:color w:val="FF0000"/>
                <w:spacing w:val="-113"/>
                <w:w w:val="66"/>
                <w:kern w:val="44"/>
                <w:sz w:val="96"/>
                <w:szCs w:val="96"/>
                <w:lang w:val="en-US" w:eastAsia="zh-CN" w:bidi="ar-SA"/>
              </w:rPr>
              <w:t>建设协调领导小组办公室</w:t>
            </w:r>
          </w:p>
        </w:tc>
        <w:tc>
          <w:tcPr>
            <w:tcW w:w="2166" w:type="dxa"/>
            <w:vMerge w:val="continue"/>
            <w:tcBorders>
              <w:tl2br w:val="nil"/>
              <w:tr2bl w:val="nil"/>
            </w:tcBorders>
          </w:tcPr>
          <w:p>
            <w:pPr>
              <w:pageBreakBefore w:val="0"/>
              <w:widowControl w:val="0"/>
              <w:kinsoku/>
              <w:wordWrap/>
              <w:overflowPunct/>
              <w:topLinePunct w:val="0"/>
              <w:autoSpaceDE/>
              <w:autoSpaceDN/>
              <w:bidi w:val="0"/>
              <w:adjustRightInd/>
              <w:snapToGrid/>
              <w:spacing w:line="1400" w:lineRule="exact"/>
              <w:textAlignment w:val="auto"/>
              <w:rPr>
                <w:rFonts w:ascii="Times New Roman" w:hAnsi="Times New Roman"/>
                <w:color w:val="FF0000"/>
                <w:vertAlign w:val="baseline"/>
              </w:rPr>
            </w:pPr>
          </w:p>
        </w:tc>
      </w:tr>
    </w:tbl>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方正小标宋简体"/>
          <w:lang w:val="en-US" w:eastAsia="zh-CN"/>
        </w:rPr>
      </w:pPr>
      <w:r>
        <w:rPr>
          <w:rFonts w:hint="eastAsia" w:ascii="Times New Roman" w:hAnsi="Times New Roman" w:eastAsia="仿宋_GB2312" w:cs="仿宋_GB2312"/>
          <w:b w:val="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348615</wp:posOffset>
                </wp:positionV>
                <wp:extent cx="5541645" cy="8255"/>
                <wp:effectExtent l="0" t="13970" r="1905" b="15875"/>
                <wp:wrapNone/>
                <wp:docPr id="4" name="直接连接符 4"/>
                <wp:cNvGraphicFramePr/>
                <a:graphic xmlns:a="http://schemas.openxmlformats.org/drawingml/2006/main">
                  <a:graphicData uri="http://schemas.microsoft.com/office/word/2010/wordprocessingShape">
                    <wps:wsp>
                      <wps:cNvCnPr/>
                      <wps:spPr>
                        <a:xfrm flipV="1">
                          <a:off x="1066800" y="5099685"/>
                          <a:ext cx="5541645" cy="82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3pt;margin-top:27.45pt;height:0.65pt;width:436.35pt;z-index:251660288;mso-width-relative:page;mso-height-relative:page;" filled="f" stroked="t" coordsize="21600,21600" o:gfxdata="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4VcMNcAAAAHAQAADwAAAAAAAAABACAAAAAiAAAAZHJzL2Rvd25y&#10;ZXYueG1sUEsBAhQAFAAAAAgAh07iQNUAGpT/AQAAywMAAA4AAAAAAAAAAQAgAAAAJgEAAGRycy9l&#10;Mm9Eb2MueG1sUEsFBgAAAAAGAAYAWQEAAJcFAAAAAA==&#10;">
                <v:fill on="f" focussize="0,0"/>
                <v:stroke weight="2.25pt" color="#FF0000 [3204]" miterlimit="8" joinstyle="miter"/>
                <v:imagedata o:title=""/>
                <o:lock v:ext="edit" aspectratio="f"/>
              </v:line>
            </w:pict>
          </mc:Fallback>
        </mc:AlternateContent>
      </w:r>
      <w:r>
        <w:rPr>
          <w:rFonts w:hint="eastAsia" w:ascii="Times New Roman" w:hAnsi="Times New Roman" w:eastAsia="仿宋_GB2312" w:cs="仿宋_GB2312"/>
          <w:b w:val="0"/>
          <w:kern w:val="2"/>
          <w:sz w:val="32"/>
          <w:szCs w:val="32"/>
          <w:lang w:val="en-US" w:eastAsia="zh-CN" w:bidi="ar-SA"/>
        </w:rPr>
        <w:t>新公文建组办字〔2021〕3号</w:t>
      </w:r>
      <w:r>
        <w:rPr>
          <w:rFonts w:hint="eastAsia" w:ascii="Times New Roman" w:hAnsi="Times New Roman" w:eastAsia="方正小标宋简体" w:cs="方正小标宋简体"/>
          <w:u w:val="none"/>
          <w:lang w:val="en-US" w:eastAsia="zh-CN"/>
        </w:rPr>
        <w:t xml:space="preserve"> </w:t>
      </w:r>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小标宋简体" w:cs="方正小标宋简体"/>
          <w:lang w:val="en-US" w:eastAsia="zh-CN"/>
        </w:rPr>
      </w:pPr>
      <w:r>
        <w:rPr>
          <w:rFonts w:hint="eastAsia" w:ascii="Times New Roman" w:hAnsi="Times New Roman" w:eastAsia="方正小标宋简体" w:cs="方正小标宋简体"/>
          <w:lang w:val="en-US" w:eastAsia="zh-CN"/>
        </w:rPr>
        <w:t>关于印发《新县基本公共文化服务实施标准（2021-2025）》的通知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新县公共文化服务体系建设协调领导小组成员单位：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_GB2312" w:cs="仿宋_GB2312"/>
          <w:sz w:val="32"/>
          <w:szCs w:val="32"/>
          <w:lang w:val="en-US" w:eastAsia="zh-CN"/>
        </w:rPr>
        <w:t>根据文化和旅游部、国家发展和改革委员会、财政部《关于推动公共文化服务高质量发展的意见》和省文化和旅游厅、省广播电视台、省体育局、省文物局《关于印发〈河南省基本公共文化服务实施标准（2021-2025）〉的通知》文件要求，结合我县实际，制定《新县基本公共文化服务实施标准（2021-2025）》。经县公共文化服务体系建设协调领导小组同意，现印发你们，请各成员单位按照职责分工，抓好贯彻落实。</w:t>
      </w:r>
      <w:r>
        <w:rPr>
          <w:rFonts w:hint="eastAsia" w:ascii="Times New Roman" w:hAnsi="Times New Roman" w:eastAsia="仿宋" w:cs="仿宋"/>
          <w:sz w:val="32"/>
          <w:szCs w:val="32"/>
          <w:lang w:val="en-US" w:eastAsia="zh-CN"/>
        </w:rPr>
        <w:t xml:space="preserve">                       </w:t>
      </w:r>
    </w:p>
    <w:p>
      <w:pPr>
        <w:bidi w:val="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p>
    <w:p>
      <w:pPr>
        <w:bidi w:val="0"/>
        <w:jc w:val="cente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w:t>
      </w:r>
    </w:p>
    <w:p>
      <w:pPr>
        <w:bidi w:val="0"/>
        <w:jc w:val="center"/>
        <w:rPr>
          <w:rFonts w:hint="eastAsia" w:ascii="Times New Roman" w:hAnsi="Times New Roman" w:eastAsia="仿宋_GB2312" w:cs="仿宋_GB2312"/>
          <w:sz w:val="32"/>
          <w:szCs w:val="32"/>
          <w:lang w:val="en-US" w:eastAsia="zh-CN"/>
        </w:rPr>
      </w:pPr>
      <w:r>
        <w:rPr>
          <w:rFonts w:hint="eastAsia" w:ascii="Times New Roman" w:hAnsi="Times New Roman" w:eastAsia="仿宋" w:cs="仿宋"/>
          <w:sz w:val="32"/>
          <w:szCs w:val="32"/>
          <w:lang w:val="en-US" w:eastAsia="zh-CN"/>
        </w:rPr>
        <w:t xml:space="preserve">                                 </w:t>
      </w:r>
      <w:r>
        <w:rPr>
          <w:rFonts w:hint="eastAsia" w:ascii="Times New Roman" w:hAnsi="Times New Roman" w:eastAsia="仿宋_GB2312" w:cs="仿宋_GB2312"/>
          <w:sz w:val="32"/>
          <w:szCs w:val="32"/>
          <w:lang w:val="en-US" w:eastAsia="zh-CN"/>
        </w:rPr>
        <w:t>2021年12月1日</w:t>
      </w:r>
    </w:p>
    <w:p>
      <w:pPr>
        <w:bidi w:val="0"/>
        <w:jc w:val="center"/>
        <w:rPr>
          <w:rFonts w:hint="eastAsia" w:ascii="Times New Roman" w:hAnsi="Times New Roman" w:eastAsia="方正小标宋简体" w:cs="方正小标宋简体"/>
          <w:sz w:val="44"/>
          <w:szCs w:val="44"/>
          <w:lang w:val="en-US" w:eastAsia="zh-CN"/>
        </w:rPr>
      </w:pPr>
    </w:p>
    <w:p>
      <w:pPr>
        <w:bidi w:val="0"/>
        <w:jc w:val="center"/>
        <w:rPr>
          <w:rFonts w:hint="eastAsia" w:ascii="Times New Roman" w:hAnsi="Times New Roman" w:eastAsia="方正小标宋简体" w:cs="方正小标宋简体"/>
          <w:sz w:val="44"/>
          <w:szCs w:val="44"/>
          <w:lang w:val="en-US" w:eastAsia="zh-CN"/>
        </w:rPr>
      </w:pPr>
    </w:p>
    <w:p>
      <w:pPr>
        <w:bidi w:val="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新县</w:t>
      </w:r>
      <w:r>
        <w:rPr>
          <w:rFonts w:hint="eastAsia" w:ascii="Times New Roman" w:hAnsi="Times New Roman" w:eastAsia="方正小标宋简体" w:cs="方正小标宋简体"/>
          <w:sz w:val="44"/>
          <w:szCs w:val="44"/>
        </w:rPr>
        <w:t>基本公共文化服务实施标准</w:t>
      </w:r>
    </w:p>
    <w:p>
      <w:pPr>
        <w:bidi w:val="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（2021-2025）</w:t>
      </w:r>
    </w:p>
    <w:p>
      <w:pPr>
        <w:bidi w:val="0"/>
        <w:rPr>
          <w:rFonts w:ascii="Times New Roman" w:hAnsi="Times New Roman"/>
        </w:rPr>
      </w:pPr>
    </w:p>
    <w:tbl>
      <w:tblPr>
        <w:tblStyle w:val="8"/>
        <w:tblW w:w="959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054"/>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312" w:type="dxa"/>
            <w:vAlign w:val="center"/>
          </w:tcPr>
          <w:p>
            <w:pPr>
              <w:pStyle w:val="5"/>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rPr>
                <w:rFonts w:hint="eastAsia" w:eastAsiaTheme="minorEastAsia"/>
                <w:vertAlign w:val="baseline"/>
                <w:lang w:val="en-US" w:eastAsia="zh-CN"/>
              </w:rPr>
            </w:pPr>
            <w:r>
              <w:rPr>
                <w:rFonts w:hint="eastAsia"/>
                <w:lang w:val="en-US" w:eastAsia="zh-CN"/>
              </w:rPr>
              <w:t>项目</w:t>
            </w:r>
          </w:p>
        </w:tc>
        <w:tc>
          <w:tcPr>
            <w:tcW w:w="1054" w:type="dxa"/>
            <w:vAlign w:val="center"/>
          </w:tcPr>
          <w:p>
            <w:pPr>
              <w:pStyle w:val="5"/>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rPr>
                <w:rFonts w:hint="default" w:asciiTheme="minorHAnsi" w:hAnsiTheme="minorHAnsi" w:eastAsiaTheme="minorEastAsia" w:cstheme="minorBidi"/>
                <w:kern w:val="2"/>
                <w:szCs w:val="24"/>
                <w:lang w:val="en-US" w:eastAsia="zh-CN" w:bidi="ar-SA"/>
              </w:rPr>
            </w:pPr>
            <w:r>
              <w:rPr>
                <w:rFonts w:hint="eastAsia"/>
                <w:lang w:val="en-US" w:eastAsia="zh-CN"/>
              </w:rPr>
              <w:t>内容</w:t>
            </w:r>
          </w:p>
        </w:tc>
        <w:tc>
          <w:tcPr>
            <w:tcW w:w="7224"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vertAlign w:val="baseline"/>
                <w:lang w:val="en-US" w:eastAsia="zh-CN"/>
              </w:rPr>
            </w:pPr>
            <w:r>
              <w:rPr>
                <w:rFonts w:hint="eastAsia" w:ascii="Arial" w:hAnsi="Arial" w:eastAsia="黑体" w:cstheme="minorBidi"/>
                <w:b/>
                <w:kern w:val="2"/>
                <w:sz w:val="32"/>
                <w:szCs w:val="24"/>
                <w:lang w:val="en-US" w:eastAsia="zh-CN" w:bidi="ar-SA"/>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 w:type="dxa"/>
            <w:vMerge w:val="restart"/>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vertAlign w:val="baseline"/>
                <w:lang w:val="en-US" w:eastAsia="zh-CN"/>
              </w:rPr>
            </w:pPr>
            <w:r>
              <w:rPr>
                <w:rFonts w:hint="eastAsia" w:ascii="Arial" w:hAnsi="Arial" w:eastAsia="黑体" w:cstheme="minorBidi"/>
                <w:b/>
                <w:kern w:val="2"/>
                <w:sz w:val="28"/>
                <w:szCs w:val="28"/>
                <w:lang w:val="en-US" w:eastAsia="zh-CN" w:bidi="ar-SA"/>
              </w:rPr>
              <w:t>公共文化设施及标准</w:t>
            </w:r>
          </w:p>
        </w:tc>
        <w:tc>
          <w:tcPr>
            <w:tcW w:w="1054"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vertAlign w:val="baseline"/>
                <w:lang w:val="en-US" w:eastAsia="zh-CN"/>
              </w:rPr>
            </w:pPr>
            <w:r>
              <w:rPr>
                <w:rFonts w:hint="eastAsia"/>
                <w:sz w:val="28"/>
                <w:szCs w:val="28"/>
                <w:vertAlign w:val="baseline"/>
                <w:lang w:val="en-US" w:eastAsia="zh-CN"/>
              </w:rPr>
              <w:t>设施建设</w:t>
            </w:r>
          </w:p>
        </w:tc>
        <w:tc>
          <w:tcPr>
            <w:tcW w:w="7224" w:type="dxa"/>
            <w:vAlign w:val="top"/>
          </w:tcPr>
          <w:p>
            <w:pPr>
              <w:pStyle w:val="10"/>
              <w:pageBreakBefore w:val="0"/>
              <w:widowControl w:val="0"/>
              <w:numPr>
                <w:ilvl w:val="0"/>
                <w:numId w:val="1"/>
              </w:numPr>
              <w:tabs>
                <w:tab w:val="left" w:pos="727"/>
              </w:tabs>
              <w:kinsoku/>
              <w:wordWrap/>
              <w:overflowPunct/>
              <w:topLinePunct w:val="0"/>
              <w:autoSpaceDE/>
              <w:autoSpaceDN/>
              <w:bidi w:val="0"/>
              <w:adjustRightInd/>
              <w:snapToGrid/>
              <w:spacing w:line="400" w:lineRule="exact"/>
              <w:ind w:left="-60" w:leftChars="0" w:right="-15" w:firstLine="480" w:firstLineChars="0"/>
              <w:jc w:val="both"/>
              <w:textAlignment w:val="auto"/>
              <w:rPr>
                <w:sz w:val="24"/>
              </w:rPr>
            </w:pPr>
            <w:r>
              <w:rPr>
                <w:sz w:val="24"/>
              </w:rPr>
              <w:t>设立公共图书馆、文化馆、博物馆,设立广播电视台、融</w:t>
            </w:r>
            <w:r>
              <w:rPr>
                <w:spacing w:val="-4"/>
                <w:sz w:val="24"/>
              </w:rPr>
              <w:t>媒体中心、发射台等广电设施，设立体育场、室外体育活动广场、体育</w:t>
            </w:r>
            <w:r>
              <w:rPr>
                <w:spacing w:val="-13"/>
                <w:sz w:val="24"/>
              </w:rPr>
              <w:t>馆、全民健身综合馆等体育设施。乡镇</w:t>
            </w:r>
            <w:r>
              <w:rPr>
                <w:sz w:val="24"/>
              </w:rPr>
              <w:t>（街道</w:t>
            </w:r>
            <w:r>
              <w:rPr>
                <w:spacing w:val="-46"/>
                <w:sz w:val="24"/>
              </w:rPr>
              <w:t>）</w:t>
            </w:r>
            <w:r>
              <w:rPr>
                <w:spacing w:val="-10"/>
                <w:sz w:val="24"/>
              </w:rPr>
              <w:t>设立综合文化站，村</w:t>
            </w:r>
            <w:r>
              <w:rPr>
                <w:sz w:val="24"/>
              </w:rPr>
              <w:t>（社区）设立综合性文化服务活动中心。</w:t>
            </w:r>
          </w:p>
          <w:p>
            <w:pPr>
              <w:pStyle w:val="10"/>
              <w:pageBreakBefore w:val="0"/>
              <w:widowControl w:val="0"/>
              <w:numPr>
                <w:ilvl w:val="0"/>
                <w:numId w:val="1"/>
              </w:numPr>
              <w:tabs>
                <w:tab w:val="left" w:pos="726"/>
              </w:tabs>
              <w:kinsoku/>
              <w:wordWrap/>
              <w:overflowPunct/>
              <w:topLinePunct w:val="0"/>
              <w:autoSpaceDE/>
              <w:autoSpaceDN/>
              <w:bidi w:val="0"/>
              <w:adjustRightInd/>
              <w:snapToGrid/>
              <w:spacing w:line="400" w:lineRule="exact"/>
              <w:ind w:left="-60" w:leftChars="0" w:right="-15" w:firstLine="480" w:firstLineChars="0"/>
              <w:jc w:val="both"/>
              <w:textAlignment w:val="auto"/>
              <w:rPr>
                <w:sz w:val="24"/>
              </w:rPr>
            </w:pPr>
            <w:r>
              <w:rPr>
                <w:spacing w:val="-4"/>
                <w:sz w:val="24"/>
              </w:rPr>
              <w:t>设立美术馆、科技馆、纪念馆、工人文化</w:t>
            </w:r>
            <w:r>
              <w:rPr>
                <w:spacing w:val="-5"/>
                <w:sz w:val="24"/>
              </w:rPr>
              <w:t>宫、少儿图书馆、青少年宫、妇女儿童活动中心、老年人活动中心</w:t>
            </w:r>
            <w:r>
              <w:rPr>
                <w:sz w:val="24"/>
              </w:rPr>
              <w:t>（老年大学</w:t>
            </w:r>
            <w:r>
              <w:rPr>
                <w:spacing w:val="-5"/>
                <w:sz w:val="24"/>
              </w:rPr>
              <w:t>）、智慧化健身设施、非遗传承展示馆等场馆设施；建立市、县</w:t>
            </w:r>
            <w:r>
              <w:rPr>
                <w:spacing w:val="-13"/>
                <w:sz w:val="24"/>
              </w:rPr>
              <w:t>、乡镇</w:t>
            </w:r>
            <w:r>
              <w:rPr>
                <w:sz w:val="24"/>
              </w:rPr>
              <w:t>（街道</w:t>
            </w:r>
            <w:r>
              <w:rPr>
                <w:spacing w:val="-17"/>
                <w:sz w:val="24"/>
              </w:rPr>
              <w:t>）</w:t>
            </w:r>
            <w:r>
              <w:rPr>
                <w:spacing w:val="-10"/>
                <w:sz w:val="24"/>
              </w:rPr>
              <w:t>、行政村</w:t>
            </w:r>
            <w:r>
              <w:rPr>
                <w:sz w:val="24"/>
              </w:rPr>
              <w:t>（社区</w:t>
            </w:r>
            <w:r>
              <w:rPr>
                <w:spacing w:val="-17"/>
                <w:sz w:val="24"/>
              </w:rPr>
              <w:t>）</w:t>
            </w:r>
            <w:r>
              <w:rPr>
                <w:spacing w:val="-4"/>
                <w:sz w:val="24"/>
              </w:rPr>
              <w:t>四级应急广播平台，实现与省</w:t>
            </w:r>
            <w:r>
              <w:rPr>
                <w:sz w:val="24"/>
              </w:rPr>
              <w:t>国家应急广播平台衔接。</w:t>
            </w:r>
          </w:p>
          <w:p>
            <w:pPr>
              <w:pStyle w:val="10"/>
              <w:pageBreakBefore w:val="0"/>
              <w:widowControl w:val="0"/>
              <w:numPr>
                <w:ilvl w:val="0"/>
                <w:numId w:val="1"/>
              </w:numPr>
              <w:tabs>
                <w:tab w:val="left" w:pos="726"/>
              </w:tabs>
              <w:kinsoku/>
              <w:wordWrap/>
              <w:overflowPunct/>
              <w:topLinePunct w:val="0"/>
              <w:autoSpaceDE/>
              <w:autoSpaceDN/>
              <w:bidi w:val="0"/>
              <w:adjustRightInd/>
              <w:snapToGrid/>
              <w:spacing w:line="400" w:lineRule="exact"/>
              <w:ind w:left="-60" w:leftChars="0" w:right="-15" w:firstLine="480" w:firstLineChars="0"/>
              <w:jc w:val="both"/>
              <w:textAlignment w:val="auto"/>
              <w:rPr>
                <w:sz w:val="24"/>
              </w:rPr>
            </w:pPr>
            <w:r>
              <w:rPr>
                <w:spacing w:val="-4"/>
                <w:sz w:val="24"/>
              </w:rPr>
              <w:t>各县</w:t>
            </w:r>
            <w:r>
              <w:rPr>
                <w:spacing w:val="-3"/>
                <w:sz w:val="24"/>
              </w:rPr>
              <w:t>（</w:t>
            </w:r>
            <w:r>
              <w:rPr>
                <w:sz w:val="24"/>
              </w:rPr>
              <w:t>区</w:t>
            </w:r>
            <w:r>
              <w:rPr>
                <w:spacing w:val="-10"/>
                <w:sz w:val="24"/>
              </w:rPr>
              <w:t>）</w:t>
            </w:r>
            <w:r>
              <w:rPr>
                <w:spacing w:val="-1"/>
                <w:sz w:val="24"/>
              </w:rPr>
              <w:t>应拓展公共文化新型空间。城区打造一批融合图书阅</w:t>
            </w:r>
            <w:r>
              <w:rPr>
                <w:spacing w:val="-5"/>
                <w:sz w:val="24"/>
              </w:rPr>
              <w:t>读、艺术展览、文化沙龙、轻食餐饮等服务为一体的“城市书房”“文</w:t>
            </w:r>
            <w:r>
              <w:rPr>
                <w:spacing w:val="-6"/>
                <w:sz w:val="24"/>
              </w:rPr>
              <w:t>化驿站”等新型文化空间，乡村因地制宜建设文化礼堂、村史馆、民俗</w:t>
            </w:r>
          </w:p>
          <w:p>
            <w:pPr>
              <w:pageBreakBefore w:val="0"/>
              <w:widowControl w:val="0"/>
              <w:kinsoku/>
              <w:wordWrap/>
              <w:overflowPunct/>
              <w:topLinePunct w:val="0"/>
              <w:autoSpaceDE/>
              <w:autoSpaceDN/>
              <w:bidi w:val="0"/>
              <w:adjustRightInd/>
              <w:snapToGrid/>
              <w:spacing w:line="400" w:lineRule="exact"/>
              <w:jc w:val="both"/>
              <w:textAlignment w:val="auto"/>
              <w:rPr>
                <w:vertAlign w:val="baseline"/>
              </w:rPr>
            </w:pPr>
            <w:r>
              <w:rPr>
                <w:sz w:val="24"/>
              </w:rPr>
              <w:t>馆等主题功能空间。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7" w:hRule="atLeast"/>
        </w:trPr>
        <w:tc>
          <w:tcPr>
            <w:tcW w:w="1312" w:type="dxa"/>
            <w:vMerge w:val="continue"/>
            <w:vAlign w:val="center"/>
          </w:tcPr>
          <w:p>
            <w:pPr>
              <w:pageBreakBefore w:val="0"/>
              <w:widowControl w:val="0"/>
              <w:kinsoku/>
              <w:wordWrap/>
              <w:overflowPunct/>
              <w:topLinePunct w:val="0"/>
              <w:autoSpaceDE/>
              <w:autoSpaceDN/>
              <w:bidi w:val="0"/>
              <w:adjustRightInd/>
              <w:snapToGrid/>
              <w:spacing w:line="400" w:lineRule="exact"/>
              <w:jc w:val="center"/>
              <w:textAlignment w:val="auto"/>
              <w:rPr>
                <w:vertAlign w:val="baseline"/>
              </w:rPr>
            </w:pPr>
          </w:p>
        </w:tc>
        <w:tc>
          <w:tcPr>
            <w:tcW w:w="1054"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建设标准</w:t>
            </w:r>
          </w:p>
        </w:tc>
        <w:tc>
          <w:tcPr>
            <w:tcW w:w="7224" w:type="dxa"/>
            <w:vAlign w:val="top"/>
          </w:tcPr>
          <w:p>
            <w:pPr>
              <w:pStyle w:val="10"/>
              <w:pageBreakBefore w:val="0"/>
              <w:widowControl w:val="0"/>
              <w:kinsoku/>
              <w:wordWrap/>
              <w:overflowPunct/>
              <w:topLinePunct w:val="0"/>
              <w:autoSpaceDE/>
              <w:autoSpaceDN/>
              <w:bidi w:val="0"/>
              <w:adjustRightInd/>
              <w:snapToGrid/>
              <w:spacing w:line="400" w:lineRule="exact"/>
              <w:ind w:right="-15" w:firstLine="480" w:firstLineChars="200"/>
              <w:jc w:val="both"/>
              <w:textAlignment w:val="auto"/>
              <w:rPr>
                <w:sz w:val="24"/>
              </w:rPr>
            </w:pPr>
            <w:r>
              <w:rPr>
                <w:sz w:val="24"/>
              </w:rPr>
              <w:t>4.</w:t>
            </w:r>
            <w:r>
              <w:rPr>
                <w:spacing w:val="-3"/>
                <w:sz w:val="24"/>
              </w:rPr>
              <w:t>县级公共图书</w:t>
            </w:r>
            <w:r>
              <w:rPr>
                <w:spacing w:val="-5"/>
                <w:sz w:val="24"/>
              </w:rPr>
              <w:t>馆、文化馆达到部颁三级以上标准，乡镇</w:t>
            </w:r>
            <w:r>
              <w:rPr>
                <w:sz w:val="24"/>
              </w:rPr>
              <w:t>（街道</w:t>
            </w:r>
            <w:r>
              <w:rPr>
                <w:spacing w:val="-5"/>
                <w:sz w:val="24"/>
              </w:rPr>
              <w:t>）</w:t>
            </w:r>
            <w:r>
              <w:rPr>
                <w:sz w:val="24"/>
              </w:rPr>
              <w:t>综合文化站达到全省</w:t>
            </w:r>
            <w:r>
              <w:rPr>
                <w:spacing w:val="-2"/>
                <w:sz w:val="24"/>
              </w:rPr>
              <w:t>定评估定级标准，村</w:t>
            </w:r>
            <w:r>
              <w:rPr>
                <w:sz w:val="24"/>
              </w:rPr>
              <w:t>（社区</w:t>
            </w:r>
            <w:r>
              <w:rPr>
                <w:spacing w:val="-5"/>
                <w:sz w:val="24"/>
              </w:rPr>
              <w:t>）</w:t>
            </w:r>
            <w:r>
              <w:rPr>
                <w:spacing w:val="-2"/>
                <w:sz w:val="24"/>
              </w:rPr>
              <w:t>综合性文化服务中心达到《河南省村</w:t>
            </w:r>
            <w:r>
              <w:rPr>
                <w:sz w:val="24"/>
              </w:rPr>
              <w:t>（社区</w:t>
            </w:r>
            <w:r>
              <w:rPr>
                <w:spacing w:val="-5"/>
                <w:sz w:val="24"/>
              </w:rPr>
              <w:t>）</w:t>
            </w:r>
            <w:r>
              <w:rPr>
                <w:spacing w:val="-3"/>
                <w:sz w:val="24"/>
              </w:rPr>
              <w:t>综合性文化服务中心建设和服务标准》。各县</w:t>
            </w:r>
            <w:r>
              <w:rPr>
                <w:sz w:val="24"/>
              </w:rPr>
              <w:t>（区</w:t>
            </w:r>
            <w:r>
              <w:rPr>
                <w:spacing w:val="-5"/>
                <w:sz w:val="24"/>
              </w:rPr>
              <w:t>）</w:t>
            </w:r>
            <w:r>
              <w:rPr>
                <w:spacing w:val="-2"/>
                <w:sz w:val="24"/>
              </w:rPr>
              <w:t>按照《河南省</w:t>
            </w:r>
            <w:r>
              <w:rPr>
                <w:spacing w:val="-4"/>
                <w:sz w:val="24"/>
              </w:rPr>
              <w:t>县级文化馆图书馆总分馆制建设标准》建设图书馆分馆、文化馆分馆和基层服务点。</w:t>
            </w:r>
          </w:p>
          <w:p>
            <w:pPr>
              <w:pStyle w:val="10"/>
              <w:pageBreakBefore w:val="0"/>
              <w:widowControl w:val="0"/>
              <w:kinsoku/>
              <w:wordWrap/>
              <w:overflowPunct/>
              <w:topLinePunct w:val="0"/>
              <w:autoSpaceDE/>
              <w:autoSpaceDN/>
              <w:bidi w:val="0"/>
              <w:adjustRightInd/>
              <w:snapToGrid/>
              <w:spacing w:line="400" w:lineRule="exact"/>
              <w:ind w:left="4" w:right="-15" w:firstLine="480"/>
              <w:jc w:val="both"/>
              <w:textAlignment w:val="auto"/>
              <w:rPr>
                <w:sz w:val="24"/>
              </w:rPr>
            </w:pPr>
            <w:r>
              <w:rPr>
                <w:rFonts w:hint="eastAsia"/>
                <w:spacing w:val="-4"/>
                <w:sz w:val="24"/>
                <w:lang w:val="en-US" w:eastAsia="zh-CN"/>
              </w:rPr>
              <w:t>5.</w:t>
            </w:r>
            <w:r>
              <w:rPr>
                <w:spacing w:val="-4"/>
                <w:sz w:val="24"/>
              </w:rPr>
              <w:t>县广播电视播出传输机构和广播电视发射台站建设，达到对应</w:t>
            </w:r>
            <w:r>
              <w:rPr>
                <w:spacing w:val="-8"/>
                <w:sz w:val="24"/>
              </w:rPr>
              <w:t>级别的广播电视工程建设标准；广播电视节目制作、传播体系建设，达</w:t>
            </w:r>
            <w:r>
              <w:rPr>
                <w:sz w:val="24"/>
              </w:rPr>
              <w:t>到对应级别的部颁标准。</w:t>
            </w:r>
          </w:p>
          <w:p>
            <w:pPr>
              <w:pStyle w:val="10"/>
              <w:pageBreakBefore w:val="0"/>
              <w:widowControl w:val="0"/>
              <w:kinsoku/>
              <w:wordWrap/>
              <w:overflowPunct/>
              <w:topLinePunct w:val="0"/>
              <w:autoSpaceDE/>
              <w:autoSpaceDN/>
              <w:bidi w:val="0"/>
              <w:adjustRightInd/>
              <w:snapToGrid/>
              <w:spacing w:line="400" w:lineRule="exact"/>
              <w:ind w:left="4" w:right="-15" w:firstLine="480"/>
              <w:jc w:val="both"/>
              <w:textAlignment w:val="auto"/>
              <w:rPr>
                <w:sz w:val="24"/>
              </w:rPr>
            </w:pPr>
            <w:r>
              <w:rPr>
                <w:rFonts w:hint="eastAsia"/>
                <w:spacing w:val="-5"/>
                <w:sz w:val="24"/>
                <w:lang w:val="en-US" w:eastAsia="zh-CN"/>
              </w:rPr>
              <w:t>6.</w:t>
            </w:r>
            <w:r>
              <w:rPr>
                <w:spacing w:val="-5"/>
                <w:sz w:val="24"/>
              </w:rPr>
              <w:t>县体育设施依据《公共体育场馆建设标准》进行建设和提供服</w:t>
            </w:r>
            <w:r>
              <w:rPr>
                <w:spacing w:val="-6"/>
                <w:sz w:val="24"/>
              </w:rPr>
              <w:t>务。体育场馆和区域内的公共体育场地、设施用于提供体育及相关服务</w:t>
            </w:r>
            <w:r>
              <w:rPr>
                <w:spacing w:val="-7"/>
                <w:sz w:val="24"/>
              </w:rPr>
              <w:t xml:space="preserve">的面积比例不低于 </w:t>
            </w:r>
            <w:r>
              <w:rPr>
                <w:sz w:val="24"/>
              </w:rPr>
              <w:t>60%。</w:t>
            </w:r>
          </w:p>
          <w:p>
            <w:pPr>
              <w:pageBreakBefore w:val="0"/>
              <w:widowControl w:val="0"/>
              <w:kinsoku/>
              <w:wordWrap/>
              <w:overflowPunct/>
              <w:topLinePunct w:val="0"/>
              <w:autoSpaceDE/>
              <w:autoSpaceDN/>
              <w:bidi w:val="0"/>
              <w:adjustRightInd/>
              <w:snapToGrid/>
              <w:spacing w:line="400" w:lineRule="exact"/>
              <w:ind w:firstLine="468" w:firstLineChars="200"/>
              <w:jc w:val="both"/>
              <w:textAlignment w:val="auto"/>
              <w:rPr>
                <w:vertAlign w:val="baseline"/>
              </w:rPr>
            </w:pPr>
            <w:r>
              <w:rPr>
                <w:rFonts w:hint="eastAsia"/>
                <w:spacing w:val="-3"/>
                <w:sz w:val="24"/>
                <w:lang w:val="en-US" w:eastAsia="zh-CN"/>
              </w:rPr>
              <w:t>7.</w:t>
            </w:r>
            <w:r>
              <w:rPr>
                <w:spacing w:val="-3"/>
                <w:sz w:val="24"/>
              </w:rPr>
              <w:t>各级公共文化设施应当健全安全管理制度，配备安全检查的设备和</w:t>
            </w:r>
            <w:r>
              <w:rPr>
                <w:sz w:val="24"/>
              </w:rPr>
              <w:t>人员，保障公共文化设施和公共活动安全。</w:t>
            </w:r>
          </w:p>
        </w:tc>
      </w:tr>
    </w:tbl>
    <w:p>
      <w:pPr>
        <w:pageBreakBefore w:val="0"/>
        <w:widowControl w:val="0"/>
        <w:kinsoku/>
        <w:wordWrap/>
        <w:overflowPunct/>
        <w:topLinePunct w:val="0"/>
        <w:autoSpaceDE/>
        <w:autoSpaceDN/>
        <w:bidi w:val="0"/>
        <w:adjustRightInd/>
        <w:snapToGrid/>
        <w:spacing w:line="400" w:lineRule="exact"/>
        <w:textAlignment w:val="auto"/>
      </w:pPr>
    </w:p>
    <w:tbl>
      <w:tblPr>
        <w:tblStyle w:val="8"/>
        <w:tblW w:w="9558"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018"/>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1287" w:type="dxa"/>
            <w:vMerge w:val="restart"/>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vertAlign w:val="baseline"/>
                <w:lang w:val="en-US"/>
              </w:rPr>
            </w:pPr>
            <w:r>
              <w:rPr>
                <w:rFonts w:hint="eastAsia" w:ascii="Arial" w:hAnsi="Arial" w:eastAsia="黑体" w:cstheme="minorBidi"/>
                <w:b/>
                <w:kern w:val="2"/>
                <w:sz w:val="28"/>
                <w:szCs w:val="28"/>
                <w:lang w:val="en-US" w:eastAsia="zh-CN" w:bidi="ar-SA"/>
              </w:rPr>
              <w:t>公共文化服务供给</w:t>
            </w: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场馆服务</w:t>
            </w:r>
          </w:p>
        </w:tc>
        <w:tc>
          <w:tcPr>
            <w:tcW w:w="7253" w:type="dxa"/>
            <w:vAlign w:val="top"/>
          </w:tcPr>
          <w:p>
            <w:pPr>
              <w:pStyle w:val="10"/>
              <w:pageBreakBefore w:val="0"/>
              <w:widowControl w:val="0"/>
              <w:numPr>
                <w:ilvl w:val="0"/>
                <w:numId w:val="0"/>
              </w:numPr>
              <w:tabs>
                <w:tab w:val="left" w:pos="726"/>
              </w:tabs>
              <w:kinsoku/>
              <w:wordWrap/>
              <w:overflowPunct/>
              <w:topLinePunct w:val="0"/>
              <w:autoSpaceDE/>
              <w:autoSpaceDN/>
              <w:bidi w:val="0"/>
              <w:adjustRightInd/>
              <w:snapToGrid/>
              <w:spacing w:line="400" w:lineRule="exact"/>
              <w:ind w:right="-15" w:rightChars="0" w:firstLine="472" w:firstLineChars="200"/>
              <w:jc w:val="both"/>
              <w:textAlignment w:val="auto"/>
              <w:rPr>
                <w:spacing w:val="-2"/>
                <w:sz w:val="24"/>
              </w:rPr>
            </w:pPr>
            <w:r>
              <w:rPr>
                <w:rFonts w:hint="eastAsia"/>
                <w:spacing w:val="-2"/>
                <w:sz w:val="24"/>
                <w:lang w:val="en-US" w:eastAsia="zh-CN"/>
              </w:rPr>
              <w:t>8.</w:t>
            </w:r>
            <w:r>
              <w:rPr>
                <w:spacing w:val="-2"/>
                <w:sz w:val="24"/>
              </w:rPr>
              <w:t>应制定公布、及时更新公共文化服务目录并组织实施。</w:t>
            </w:r>
          </w:p>
          <w:p>
            <w:pPr>
              <w:pStyle w:val="10"/>
              <w:pageBreakBefore w:val="0"/>
              <w:widowControl w:val="0"/>
              <w:numPr>
                <w:ilvl w:val="0"/>
                <w:numId w:val="0"/>
              </w:numPr>
              <w:tabs>
                <w:tab w:val="left" w:pos="726"/>
              </w:tabs>
              <w:kinsoku/>
              <w:wordWrap/>
              <w:overflowPunct/>
              <w:topLinePunct w:val="0"/>
              <w:autoSpaceDE/>
              <w:autoSpaceDN/>
              <w:bidi w:val="0"/>
              <w:adjustRightInd/>
              <w:snapToGrid/>
              <w:spacing w:line="400" w:lineRule="exact"/>
              <w:ind w:right="-15" w:rightChars="0" w:firstLine="472" w:firstLineChars="200"/>
              <w:jc w:val="both"/>
              <w:textAlignment w:val="auto"/>
              <w:rPr>
                <w:vertAlign w:val="baseline"/>
              </w:rPr>
            </w:pPr>
            <w:r>
              <w:rPr>
                <w:rFonts w:hint="eastAsia"/>
                <w:spacing w:val="-2"/>
                <w:sz w:val="24"/>
                <w:lang w:val="en-US" w:eastAsia="zh-CN"/>
              </w:rPr>
              <w:t>9.</w:t>
            </w:r>
            <w:r>
              <w:rPr>
                <w:spacing w:val="-10"/>
                <w:sz w:val="24"/>
              </w:rPr>
              <w:t>公共图书馆、文化馆、博物馆</w:t>
            </w:r>
            <w:r>
              <w:rPr>
                <w:sz w:val="24"/>
              </w:rPr>
              <w:t>（非文物建筑及遗址类</w:t>
            </w:r>
            <w:r>
              <w:rPr>
                <w:spacing w:val="-29"/>
                <w:sz w:val="24"/>
              </w:rPr>
              <w:t>）</w:t>
            </w:r>
            <w:r>
              <w:rPr>
                <w:spacing w:val="-8"/>
                <w:sz w:val="24"/>
              </w:rPr>
              <w:t>、体育馆</w:t>
            </w:r>
            <w:r>
              <w:rPr>
                <w:spacing w:val="-10"/>
                <w:sz w:val="24"/>
              </w:rPr>
              <w:t>基层综合性文化服务中心等各类公共文化场所设施实行免费开放，基本</w:t>
            </w:r>
            <w:r>
              <w:rPr>
                <w:spacing w:val="-4"/>
                <w:sz w:val="24"/>
              </w:rPr>
              <w:t>服务项目健全，并在醒目位置有服务公示。公共图书馆每周免费开放不</w:t>
            </w:r>
            <w:r>
              <w:rPr>
                <w:spacing w:val="-20"/>
                <w:sz w:val="24"/>
              </w:rPr>
              <w:t xml:space="preserve">少于 </w:t>
            </w:r>
            <w:r>
              <w:rPr>
                <w:sz w:val="24"/>
              </w:rPr>
              <w:t>56</w:t>
            </w:r>
            <w:r>
              <w:rPr>
                <w:spacing w:val="-11"/>
                <w:sz w:val="24"/>
              </w:rPr>
              <w:t xml:space="preserve"> 小时，文化馆、博物馆、综合文化站每周免费开放不少于 </w:t>
            </w:r>
            <w:r>
              <w:rPr>
                <w:sz w:val="24"/>
              </w:rPr>
              <w:t>42</w:t>
            </w:r>
            <w:r>
              <w:rPr>
                <w:spacing w:val="-34"/>
                <w:sz w:val="24"/>
              </w:rPr>
              <w:t xml:space="preserve"> 小</w:t>
            </w:r>
            <w:r>
              <w:rPr>
                <w:spacing w:val="1"/>
                <w:sz w:val="24"/>
              </w:rPr>
              <w:t>时；村</w:t>
            </w:r>
            <w:r>
              <w:rPr>
                <w:sz w:val="24"/>
              </w:rPr>
              <w:t>（</w:t>
            </w:r>
            <w:r>
              <w:rPr>
                <w:spacing w:val="2"/>
                <w:sz w:val="24"/>
              </w:rPr>
              <w:t>社区</w:t>
            </w:r>
            <w:r>
              <w:rPr>
                <w:sz w:val="24"/>
              </w:rPr>
              <w:t>）</w:t>
            </w:r>
            <w:r>
              <w:rPr>
                <w:spacing w:val="-3"/>
                <w:sz w:val="24"/>
              </w:rPr>
              <w:t xml:space="preserve">综合性文化服务中心每周免费开放不少于 </w:t>
            </w:r>
            <w:r>
              <w:rPr>
                <w:sz w:val="24"/>
              </w:rPr>
              <w:t>36</w:t>
            </w:r>
            <w:r>
              <w:rPr>
                <w:spacing w:val="-8"/>
                <w:sz w:val="24"/>
              </w:rPr>
              <w:t xml:space="preserve"> 小时；大</w:t>
            </w:r>
            <w:r>
              <w:rPr>
                <w:spacing w:val="-10"/>
                <w:sz w:val="24"/>
              </w:rPr>
              <w:t>型公共体育场馆和区域内公共体育场地，每周免费或低收费开放时间一</w:t>
            </w:r>
            <w:r>
              <w:rPr>
                <w:spacing w:val="-9"/>
                <w:sz w:val="24"/>
              </w:rPr>
              <w:t xml:space="preserve">般不少于 </w:t>
            </w:r>
            <w:r>
              <w:rPr>
                <w:sz w:val="24"/>
              </w:rPr>
              <w:t>35</w:t>
            </w:r>
            <w:r>
              <w:rPr>
                <w:spacing w:val="-5"/>
                <w:sz w:val="24"/>
              </w:rPr>
              <w:t xml:space="preserve"> 小时。国家法定节假日和学校寒暑假期间，应当适当延长</w:t>
            </w:r>
            <w:r>
              <w:rPr>
                <w:sz w:val="24"/>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全民阅读</w:t>
            </w:r>
          </w:p>
        </w:tc>
        <w:tc>
          <w:tcPr>
            <w:tcW w:w="7253" w:type="dxa"/>
          </w:tcPr>
          <w:p>
            <w:pPr>
              <w:pStyle w:val="10"/>
              <w:pageBreakBefore w:val="0"/>
              <w:widowControl w:val="0"/>
              <w:kinsoku/>
              <w:wordWrap/>
              <w:overflowPunct/>
              <w:topLinePunct w:val="0"/>
              <w:autoSpaceDE/>
              <w:autoSpaceDN/>
              <w:bidi w:val="0"/>
              <w:adjustRightInd/>
              <w:snapToGrid/>
              <w:spacing w:line="400" w:lineRule="exact"/>
              <w:ind w:left="4" w:right="-15" w:firstLine="480"/>
              <w:jc w:val="both"/>
              <w:textAlignment w:val="auto"/>
              <w:rPr>
                <w:sz w:val="24"/>
              </w:rPr>
            </w:pPr>
            <w:r>
              <w:rPr>
                <w:rFonts w:hint="eastAsia"/>
                <w:sz w:val="24"/>
                <w:lang w:val="en-US" w:eastAsia="zh-CN"/>
              </w:rPr>
              <w:t>10.</w:t>
            </w:r>
            <w:r>
              <w:rPr>
                <w:spacing w:val="-2"/>
                <w:sz w:val="24"/>
              </w:rPr>
              <w:t>公共图书馆、文化馆</w:t>
            </w:r>
            <w:r>
              <w:rPr>
                <w:sz w:val="24"/>
              </w:rPr>
              <w:t>（站</w:t>
            </w:r>
            <w:r>
              <w:rPr>
                <w:spacing w:val="-3"/>
                <w:sz w:val="24"/>
              </w:rPr>
              <w:t>）、行政村</w:t>
            </w:r>
            <w:r>
              <w:rPr>
                <w:sz w:val="24"/>
              </w:rPr>
              <w:t>（社区</w:t>
            </w:r>
            <w:r>
              <w:rPr>
                <w:spacing w:val="-5"/>
                <w:sz w:val="24"/>
              </w:rPr>
              <w:t>）</w:t>
            </w:r>
            <w:r>
              <w:rPr>
                <w:spacing w:val="-2"/>
                <w:sz w:val="24"/>
              </w:rPr>
              <w:t>综合性文化服务中</w:t>
            </w:r>
            <w:r>
              <w:rPr>
                <w:spacing w:val="-5"/>
                <w:sz w:val="24"/>
              </w:rPr>
              <w:t>心、农家书屋等配备图书、报刊和电子书刊，并免费提供借阅服务；在</w:t>
            </w:r>
            <w:r>
              <w:rPr>
                <w:spacing w:val="6"/>
                <w:sz w:val="24"/>
              </w:rPr>
              <w:t>城镇主要街道、公共场所、居民小区等人流密集地点设置公共阅报栏</w:t>
            </w:r>
            <w:r>
              <w:rPr>
                <w:sz w:val="24"/>
              </w:rPr>
              <w:t>（屏），提供时政、“三农”、科普、文化、生活等方面的信息服务。</w:t>
            </w:r>
          </w:p>
          <w:p>
            <w:pPr>
              <w:pStyle w:val="10"/>
              <w:pageBreakBefore w:val="0"/>
              <w:widowControl w:val="0"/>
              <w:kinsoku/>
              <w:wordWrap/>
              <w:overflowPunct/>
              <w:topLinePunct w:val="0"/>
              <w:autoSpaceDE/>
              <w:autoSpaceDN/>
              <w:bidi w:val="0"/>
              <w:adjustRightInd/>
              <w:snapToGrid/>
              <w:spacing w:line="400" w:lineRule="exact"/>
              <w:ind w:left="4" w:right="-15" w:firstLine="480"/>
              <w:jc w:val="both"/>
              <w:textAlignment w:val="auto"/>
              <w:rPr>
                <w:vertAlign w:val="baseline"/>
              </w:rPr>
            </w:pPr>
            <w:r>
              <w:rPr>
                <w:rFonts w:hint="eastAsia"/>
                <w:sz w:val="24"/>
                <w:lang w:val="en-US" w:eastAsia="zh-CN"/>
              </w:rPr>
              <w:t>11.</w:t>
            </w:r>
            <w:r>
              <w:rPr>
                <w:spacing w:val="-12"/>
                <w:sz w:val="24"/>
              </w:rPr>
              <w:t>县</w:t>
            </w:r>
            <w:r>
              <w:rPr>
                <w:spacing w:val="-3"/>
                <w:sz w:val="24"/>
              </w:rPr>
              <w:t xml:space="preserve">公共图书馆每年举办总分馆体系的全民阅读活动不少于 </w:t>
            </w:r>
            <w:r>
              <w:rPr>
                <w:spacing w:val="-15"/>
                <w:sz w:val="24"/>
              </w:rPr>
              <w:t>次。各级公共</w:t>
            </w:r>
            <w:r>
              <w:rPr>
                <w:spacing w:val="-3"/>
                <w:sz w:val="24"/>
              </w:rPr>
              <w:t xml:space="preserve">图书馆年流通人次和各类阅读推广参加人次增速不低于 </w:t>
            </w: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sz w:val="28"/>
                <w:szCs w:val="28"/>
                <w:vertAlign w:val="baseline"/>
                <w:lang w:val="en-US" w:eastAsia="zh-CN"/>
              </w:rPr>
            </w:pPr>
            <w:r>
              <w:rPr>
                <w:rFonts w:hint="eastAsia"/>
                <w:sz w:val="28"/>
                <w:szCs w:val="28"/>
                <w:vertAlign w:val="baseline"/>
                <w:lang w:val="en-US" w:eastAsia="zh-CN"/>
              </w:rPr>
              <w:t>群众文体活动</w:t>
            </w:r>
          </w:p>
        </w:tc>
        <w:tc>
          <w:tcPr>
            <w:tcW w:w="7253" w:type="dxa"/>
          </w:tcPr>
          <w:p>
            <w:pPr>
              <w:pStyle w:val="10"/>
              <w:pageBreakBefore w:val="0"/>
              <w:widowControl w:val="0"/>
              <w:kinsoku/>
              <w:wordWrap/>
              <w:overflowPunct/>
              <w:topLinePunct w:val="0"/>
              <w:autoSpaceDE/>
              <w:autoSpaceDN/>
              <w:bidi w:val="0"/>
              <w:adjustRightInd/>
              <w:snapToGrid/>
              <w:spacing w:line="400" w:lineRule="exact"/>
              <w:ind w:right="-15" w:firstLine="432" w:firstLineChars="200"/>
              <w:jc w:val="both"/>
              <w:textAlignment w:val="auto"/>
              <w:rPr>
                <w:sz w:val="24"/>
              </w:rPr>
            </w:pPr>
            <w:r>
              <w:rPr>
                <w:rFonts w:hint="eastAsia"/>
                <w:spacing w:val="-12"/>
                <w:sz w:val="24"/>
                <w:lang w:val="en-US" w:eastAsia="zh-CN"/>
              </w:rPr>
              <w:t>12.</w:t>
            </w:r>
            <w:r>
              <w:rPr>
                <w:spacing w:val="-12"/>
                <w:sz w:val="24"/>
              </w:rPr>
              <w:t xml:space="preserve">县级要培育 </w:t>
            </w:r>
            <w:r>
              <w:rPr>
                <w:sz w:val="24"/>
              </w:rPr>
              <w:t>2</w:t>
            </w:r>
            <w:r>
              <w:rPr>
                <w:spacing w:val="-8"/>
                <w:sz w:val="24"/>
              </w:rPr>
              <w:t xml:space="preserve"> 个以上具有地方特色的公共文化</w:t>
            </w:r>
            <w:r>
              <w:rPr>
                <w:spacing w:val="-2"/>
                <w:sz w:val="24"/>
              </w:rPr>
              <w:t>服务品牌</w:t>
            </w:r>
            <w:r>
              <w:rPr>
                <w:sz w:val="24"/>
              </w:rPr>
              <w:t>（开展时</w:t>
            </w:r>
            <w:r>
              <w:rPr>
                <w:spacing w:val="-12"/>
                <w:sz w:val="24"/>
              </w:rPr>
              <w:t xml:space="preserve">间不少于 </w:t>
            </w:r>
            <w:r>
              <w:rPr>
                <w:sz w:val="24"/>
              </w:rPr>
              <w:t>3</w:t>
            </w:r>
            <w:r>
              <w:rPr>
                <w:spacing w:val="-15"/>
                <w:sz w:val="24"/>
              </w:rPr>
              <w:t xml:space="preserve"> 年，下同</w:t>
            </w:r>
            <w:r>
              <w:rPr>
                <w:spacing w:val="-9"/>
                <w:sz w:val="24"/>
              </w:rPr>
              <w:t>）</w:t>
            </w:r>
            <w:r>
              <w:rPr>
                <w:spacing w:val="-2"/>
                <w:sz w:val="24"/>
              </w:rPr>
              <w:t>，乡镇</w:t>
            </w:r>
            <w:r>
              <w:rPr>
                <w:sz w:val="24"/>
              </w:rPr>
              <w:t>（街道</w:t>
            </w:r>
            <w:r>
              <w:rPr>
                <w:spacing w:val="-5"/>
                <w:sz w:val="24"/>
              </w:rPr>
              <w:t>）</w:t>
            </w:r>
            <w:r>
              <w:rPr>
                <w:spacing w:val="-20"/>
                <w:sz w:val="24"/>
              </w:rPr>
              <w:t xml:space="preserve">要有 </w:t>
            </w:r>
            <w:r>
              <w:rPr>
                <w:sz w:val="24"/>
              </w:rPr>
              <w:t>1</w:t>
            </w:r>
            <w:r>
              <w:rPr>
                <w:spacing w:val="-8"/>
                <w:sz w:val="24"/>
              </w:rPr>
              <w:t xml:space="preserve"> 个特色活动或公共文化服务品牌。加强群众文艺创作，市级每年组织 </w:t>
            </w:r>
            <w:r>
              <w:rPr>
                <w:sz w:val="24"/>
              </w:rPr>
              <w:t>1</w:t>
            </w:r>
            <w:r>
              <w:rPr>
                <w:spacing w:val="-24"/>
                <w:sz w:val="24"/>
              </w:rPr>
              <w:t xml:space="preserve"> 次包含 </w:t>
            </w:r>
            <w:r>
              <w:rPr>
                <w:sz w:val="24"/>
              </w:rPr>
              <w:t>1-4</w:t>
            </w:r>
            <w:r>
              <w:rPr>
                <w:spacing w:val="-9"/>
                <w:sz w:val="24"/>
              </w:rPr>
              <w:t xml:space="preserve"> 个艺术门类的群众文艺作品</w:t>
            </w:r>
            <w:r>
              <w:rPr>
                <w:sz w:val="24"/>
              </w:rPr>
              <w:t>评选。</w:t>
            </w:r>
          </w:p>
          <w:p>
            <w:pPr>
              <w:pStyle w:val="10"/>
              <w:pageBreakBefore w:val="0"/>
              <w:widowControl w:val="0"/>
              <w:numPr>
                <w:ilvl w:val="0"/>
                <w:numId w:val="0"/>
              </w:numPr>
              <w:tabs>
                <w:tab w:val="left" w:pos="847"/>
              </w:tabs>
              <w:kinsoku/>
              <w:wordWrap/>
              <w:overflowPunct/>
              <w:topLinePunct w:val="0"/>
              <w:autoSpaceDE/>
              <w:autoSpaceDN/>
              <w:bidi w:val="0"/>
              <w:adjustRightInd/>
              <w:snapToGrid/>
              <w:spacing w:line="400" w:lineRule="exact"/>
              <w:ind w:right="-44" w:rightChars="0" w:firstLine="396" w:firstLineChars="200"/>
              <w:jc w:val="both"/>
              <w:textAlignment w:val="auto"/>
              <w:rPr>
                <w:sz w:val="24"/>
              </w:rPr>
            </w:pPr>
            <w:r>
              <w:rPr>
                <w:rFonts w:hint="eastAsia"/>
                <w:spacing w:val="-21"/>
                <w:sz w:val="24"/>
                <w:lang w:val="en-US" w:eastAsia="zh-CN"/>
              </w:rPr>
              <w:t>13.</w:t>
            </w:r>
            <w:r>
              <w:rPr>
                <w:spacing w:val="-21"/>
                <w:sz w:val="24"/>
              </w:rPr>
              <w:t>县级文化馆应提供音乐、舞蹈、戏剧（曲艺）、</w:t>
            </w:r>
            <w:r>
              <w:rPr>
                <w:spacing w:val="-13"/>
                <w:sz w:val="24"/>
              </w:rPr>
              <w:t>美术</w:t>
            </w:r>
            <w:r>
              <w:rPr>
                <w:sz w:val="24"/>
              </w:rPr>
              <w:t>（</w:t>
            </w:r>
            <w:r>
              <w:rPr>
                <w:spacing w:val="-2"/>
                <w:sz w:val="24"/>
              </w:rPr>
              <w:t>书法、摄影</w:t>
            </w:r>
            <w:r>
              <w:rPr>
                <w:spacing w:val="-5"/>
                <w:sz w:val="24"/>
              </w:rPr>
              <w:t>）</w:t>
            </w:r>
            <w:r>
              <w:rPr>
                <w:spacing w:val="-17"/>
                <w:sz w:val="24"/>
              </w:rPr>
              <w:t xml:space="preserve">、文学 </w:t>
            </w:r>
            <w:r>
              <w:rPr>
                <w:sz w:val="24"/>
              </w:rPr>
              <w:t>5</w:t>
            </w:r>
            <w:r>
              <w:rPr>
                <w:spacing w:val="-8"/>
                <w:sz w:val="24"/>
              </w:rPr>
              <w:t xml:space="preserve"> 类服务并配备专业人员。组织</w:t>
            </w:r>
            <w:r>
              <w:rPr>
                <w:spacing w:val="-11"/>
                <w:sz w:val="24"/>
              </w:rPr>
              <w:t xml:space="preserve">文艺活动次数和服务人次年增速不低于 </w:t>
            </w:r>
            <w:r>
              <w:rPr>
                <w:sz w:val="24"/>
              </w:rPr>
              <w:t>5%</w:t>
            </w:r>
            <w:r>
              <w:rPr>
                <w:spacing w:val="-10"/>
                <w:sz w:val="24"/>
              </w:rPr>
              <w:t>。各级博物馆定期举办临时展</w:t>
            </w:r>
            <w:r>
              <w:rPr>
                <w:spacing w:val="-9"/>
                <w:sz w:val="24"/>
              </w:rPr>
              <w:t>览、</w:t>
            </w:r>
            <w:r>
              <w:rPr>
                <w:rFonts w:hint="eastAsia"/>
                <w:spacing w:val="-9"/>
                <w:sz w:val="24"/>
                <w:lang w:val="en-US" w:eastAsia="zh-CN"/>
              </w:rPr>
              <w:t>全县</w:t>
            </w:r>
            <w:r>
              <w:rPr>
                <w:spacing w:val="-9"/>
                <w:sz w:val="24"/>
              </w:rPr>
              <w:t>巡展和引进展览。博物馆举办展览</w:t>
            </w:r>
            <w:r>
              <w:rPr>
                <w:spacing w:val="-16"/>
                <w:sz w:val="24"/>
              </w:rPr>
              <w:t>县</w:t>
            </w:r>
            <w:r>
              <w:rPr>
                <w:sz w:val="24"/>
              </w:rPr>
              <w:t>每年不少于 2 次。</w:t>
            </w:r>
          </w:p>
          <w:p>
            <w:pPr>
              <w:pStyle w:val="10"/>
              <w:pageBreakBefore w:val="0"/>
              <w:widowControl w:val="0"/>
              <w:numPr>
                <w:ilvl w:val="0"/>
                <w:numId w:val="0"/>
              </w:numPr>
              <w:tabs>
                <w:tab w:val="left" w:pos="847"/>
              </w:tabs>
              <w:kinsoku/>
              <w:wordWrap/>
              <w:overflowPunct/>
              <w:topLinePunct w:val="0"/>
              <w:autoSpaceDE/>
              <w:autoSpaceDN/>
              <w:bidi w:val="0"/>
              <w:adjustRightInd/>
              <w:snapToGrid/>
              <w:spacing w:line="400" w:lineRule="exact"/>
              <w:ind w:right="-44" w:rightChars="0" w:firstLine="480" w:firstLineChars="200"/>
              <w:jc w:val="both"/>
              <w:textAlignment w:val="auto"/>
              <w:rPr>
                <w:spacing w:val="-10"/>
                <w:sz w:val="24"/>
              </w:rPr>
            </w:pPr>
            <w:r>
              <w:rPr>
                <w:rFonts w:hint="eastAsia"/>
                <w:sz w:val="24"/>
                <w:lang w:val="en-US" w:eastAsia="zh-CN"/>
              </w:rPr>
              <w:t>14.</w:t>
            </w:r>
            <w:r>
              <w:rPr>
                <w:spacing w:val="-3"/>
                <w:sz w:val="24"/>
              </w:rPr>
              <w:t xml:space="preserve">体育场馆举办的公益性体育培训每年不少于 </w:t>
            </w:r>
            <w:r>
              <w:rPr>
                <w:spacing w:val="-7"/>
                <w:sz w:val="24"/>
              </w:rPr>
              <w:t>1000</w:t>
            </w:r>
            <w:r>
              <w:rPr>
                <w:spacing w:val="-6"/>
                <w:sz w:val="24"/>
              </w:rPr>
              <w:t xml:space="preserve">人次，举办的公益性群众体育赛事活动每年不少于 </w:t>
            </w:r>
            <w:r>
              <w:rPr>
                <w:sz w:val="24"/>
              </w:rPr>
              <w:t>4</w:t>
            </w:r>
            <w:r>
              <w:rPr>
                <w:spacing w:val="-10"/>
                <w:sz w:val="24"/>
              </w:rPr>
              <w:t xml:space="preserve"> 次。每四年举办一届综合性体育运动会，定期举办本行政区域的群众体育比赛活动。</w:t>
            </w:r>
          </w:p>
          <w:p>
            <w:pPr>
              <w:pStyle w:val="10"/>
              <w:pageBreakBefore w:val="0"/>
              <w:widowControl w:val="0"/>
              <w:numPr>
                <w:ilvl w:val="0"/>
                <w:numId w:val="0"/>
              </w:numPr>
              <w:tabs>
                <w:tab w:val="left" w:pos="847"/>
              </w:tabs>
              <w:kinsoku/>
              <w:wordWrap/>
              <w:overflowPunct/>
              <w:topLinePunct w:val="0"/>
              <w:autoSpaceDE/>
              <w:autoSpaceDN/>
              <w:bidi w:val="0"/>
              <w:adjustRightInd/>
              <w:snapToGrid/>
              <w:spacing w:line="400" w:lineRule="exact"/>
              <w:ind w:right="-44" w:rightChars="0" w:firstLine="440" w:firstLineChars="200"/>
              <w:jc w:val="both"/>
              <w:textAlignment w:val="auto"/>
              <w:rPr>
                <w:vertAlign w:val="baseline"/>
              </w:rPr>
            </w:pPr>
            <w:r>
              <w:rPr>
                <w:rFonts w:hint="eastAsia"/>
                <w:spacing w:val="-10"/>
                <w:sz w:val="24"/>
                <w:lang w:val="en-US" w:eastAsia="zh-CN"/>
              </w:rPr>
              <w:t>15.</w:t>
            </w:r>
            <w:r>
              <w:rPr>
                <w:spacing w:val="-3"/>
                <w:sz w:val="24"/>
              </w:rPr>
              <w:t>乡镇</w:t>
            </w:r>
            <w:r>
              <w:rPr>
                <w:sz w:val="24"/>
              </w:rPr>
              <w:t>（街道</w:t>
            </w:r>
            <w:r>
              <w:rPr>
                <w:spacing w:val="-5"/>
                <w:sz w:val="24"/>
              </w:rPr>
              <w:t>）、村</w:t>
            </w:r>
            <w:r>
              <w:rPr>
                <w:sz w:val="24"/>
              </w:rPr>
              <w:t>（社区</w:t>
            </w:r>
            <w:r>
              <w:rPr>
                <w:spacing w:val="-5"/>
                <w:sz w:val="24"/>
              </w:rPr>
              <w:t xml:space="preserve">）每年组织专题文体活动不少于 </w:t>
            </w:r>
            <w:r>
              <w:rPr>
                <w:sz w:val="24"/>
              </w:rPr>
              <w:t>5</w:t>
            </w:r>
            <w:r>
              <w:rPr>
                <w:spacing w:val="-30"/>
                <w:sz w:val="24"/>
              </w:rPr>
              <w:t xml:space="preserve"> 次</w:t>
            </w:r>
            <w:r>
              <w:rPr>
                <w:rFonts w:hint="eastAsia"/>
                <w:spacing w:val="-30"/>
                <w:sz w:val="24"/>
                <w:lang w:eastAsia="zh-CN"/>
              </w:rPr>
              <w:t>。</w:t>
            </w:r>
          </w:p>
        </w:tc>
      </w:tr>
    </w:tbl>
    <w:p>
      <w:pPr>
        <w:pageBreakBefore w:val="0"/>
        <w:widowControl w:val="0"/>
        <w:kinsoku/>
        <w:wordWrap/>
        <w:overflowPunct/>
        <w:topLinePunct w:val="0"/>
        <w:autoSpaceDE/>
        <w:autoSpaceDN/>
        <w:bidi w:val="0"/>
        <w:adjustRightInd/>
        <w:snapToGrid/>
        <w:spacing w:line="400" w:lineRule="exact"/>
        <w:textAlignment w:val="auto"/>
      </w:pPr>
    </w:p>
    <w:p>
      <w:pPr>
        <w:pageBreakBefore w:val="0"/>
        <w:widowControl w:val="0"/>
        <w:kinsoku/>
        <w:wordWrap/>
        <w:overflowPunct/>
        <w:topLinePunct w:val="0"/>
        <w:autoSpaceDE/>
        <w:autoSpaceDN/>
        <w:bidi w:val="0"/>
        <w:adjustRightInd/>
        <w:snapToGrid/>
        <w:spacing w:line="400" w:lineRule="exact"/>
        <w:textAlignment w:val="auto"/>
      </w:pPr>
    </w:p>
    <w:p>
      <w:pPr>
        <w:pStyle w:val="2"/>
      </w:pPr>
    </w:p>
    <w:tbl>
      <w:tblPr>
        <w:tblStyle w:val="8"/>
        <w:tblW w:w="9558"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018"/>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87" w:type="dxa"/>
            <w:vMerge w:val="restart"/>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vertAlign w:val="baseline"/>
                <w:lang w:val="en-US"/>
              </w:rPr>
            </w:pPr>
            <w:r>
              <w:rPr>
                <w:rFonts w:hint="eastAsia" w:ascii="Arial" w:hAnsi="Arial" w:eastAsia="黑体" w:cstheme="minorBidi"/>
                <w:b/>
                <w:kern w:val="2"/>
                <w:sz w:val="28"/>
                <w:szCs w:val="28"/>
                <w:lang w:val="en-US" w:eastAsia="zh-CN" w:bidi="ar-SA"/>
              </w:rPr>
              <w:t>公共文化服务供给</w:t>
            </w: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电视广播</w:t>
            </w:r>
          </w:p>
        </w:tc>
        <w:tc>
          <w:tcPr>
            <w:tcW w:w="7253" w:type="dxa"/>
            <w:vAlign w:val="top"/>
          </w:tcPr>
          <w:p>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vertAlign w:val="baseline"/>
              </w:rPr>
            </w:pPr>
            <w:r>
              <w:rPr>
                <w:rFonts w:hint="eastAsia"/>
                <w:sz w:val="24"/>
                <w:lang w:val="en-US" w:eastAsia="zh-CN"/>
              </w:rPr>
              <w:t>16.</w:t>
            </w:r>
            <w:r>
              <w:rPr>
                <w:sz w:val="24"/>
              </w:rPr>
              <w:t>提供广播节目、突发事件应急广播和电视服务。通过地面无线</w:t>
            </w:r>
            <w:r>
              <w:rPr>
                <w:spacing w:val="-7"/>
                <w:sz w:val="24"/>
              </w:rPr>
              <w:t xml:space="preserve">方式提供不少于 </w:t>
            </w:r>
            <w:r>
              <w:rPr>
                <w:sz w:val="24"/>
              </w:rPr>
              <w:t>15</w:t>
            </w:r>
            <w:r>
              <w:rPr>
                <w:spacing w:val="-11"/>
                <w:sz w:val="24"/>
              </w:rPr>
              <w:t xml:space="preserve"> 套广播、</w:t>
            </w:r>
            <w:r>
              <w:rPr>
                <w:sz w:val="24"/>
              </w:rPr>
              <w:t>15</w:t>
            </w:r>
            <w:r>
              <w:rPr>
                <w:spacing w:val="-8"/>
                <w:sz w:val="24"/>
              </w:rPr>
              <w:t xml:space="preserve"> 套电视节目；在直播卫星公共服务覆盖地区，通过直播卫星提供不少于 17 套广播节目、25</w:t>
            </w:r>
            <w:r>
              <w:rPr>
                <w:spacing w:val="-9"/>
                <w:sz w:val="24"/>
              </w:rPr>
              <w:t xml:space="preserve"> 套电视节目。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特殊群体服务</w:t>
            </w:r>
          </w:p>
        </w:tc>
        <w:tc>
          <w:tcPr>
            <w:tcW w:w="7253" w:type="dxa"/>
          </w:tcPr>
          <w:p>
            <w:pPr>
              <w:pageBreakBefore w:val="0"/>
              <w:widowControl w:val="0"/>
              <w:kinsoku/>
              <w:wordWrap/>
              <w:overflowPunct/>
              <w:topLinePunct w:val="0"/>
              <w:autoSpaceDE/>
              <w:autoSpaceDN/>
              <w:bidi w:val="0"/>
              <w:adjustRightInd/>
              <w:snapToGrid/>
              <w:spacing w:line="400" w:lineRule="exact"/>
              <w:ind w:firstLine="480" w:firstLineChars="200"/>
              <w:textAlignment w:val="auto"/>
              <w:rPr>
                <w:vertAlign w:val="baseline"/>
              </w:rPr>
            </w:pPr>
            <w:r>
              <w:rPr>
                <w:rFonts w:hint="eastAsia"/>
                <w:sz w:val="24"/>
                <w:lang w:val="en-US" w:eastAsia="zh-CN"/>
              </w:rPr>
              <w:t>17.</w:t>
            </w:r>
            <w:r>
              <w:rPr>
                <w:sz w:val="24"/>
              </w:rPr>
              <w:t>各类公共文化设施应按照《无障碍设计规范》，设置方便残疾</w:t>
            </w:r>
            <w:r>
              <w:rPr>
                <w:spacing w:val="-5"/>
                <w:sz w:val="24"/>
              </w:rPr>
              <w:t>人、老年人、少年儿童活动区域和服务项目，配置辅助设施设备；应有</w:t>
            </w:r>
            <w:r>
              <w:rPr>
                <w:spacing w:val="-15"/>
                <w:sz w:val="24"/>
              </w:rPr>
              <w:t>针对务工人员、农村留守老人妇女儿童、生活困难群众的特殊群体服务应采取有效措施解决老年人运用智能技术的困难。市级电视台按照《国家通用手语常用词表》开放手语节目或加配字幕。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流动服务</w:t>
            </w:r>
          </w:p>
        </w:tc>
        <w:tc>
          <w:tcPr>
            <w:tcW w:w="7253" w:type="dxa"/>
          </w:tcPr>
          <w:p>
            <w:pPr>
              <w:pStyle w:val="10"/>
              <w:pageBreakBefore w:val="0"/>
              <w:widowControl w:val="0"/>
              <w:numPr>
                <w:ilvl w:val="0"/>
                <w:numId w:val="0"/>
              </w:numPr>
              <w:tabs>
                <w:tab w:val="left" w:pos="847"/>
              </w:tabs>
              <w:kinsoku/>
              <w:wordWrap/>
              <w:overflowPunct/>
              <w:topLinePunct w:val="0"/>
              <w:autoSpaceDE/>
              <w:autoSpaceDN/>
              <w:bidi w:val="0"/>
              <w:adjustRightInd/>
              <w:snapToGrid/>
              <w:spacing w:line="400" w:lineRule="exact"/>
              <w:ind w:right="-15" w:rightChars="0" w:firstLine="480" w:firstLineChars="200"/>
              <w:jc w:val="left"/>
              <w:textAlignment w:val="auto"/>
              <w:rPr>
                <w:sz w:val="24"/>
              </w:rPr>
            </w:pPr>
            <w:r>
              <w:rPr>
                <w:rFonts w:hint="eastAsia"/>
                <w:sz w:val="24"/>
                <w:lang w:val="en-US" w:eastAsia="zh-CN"/>
              </w:rPr>
              <w:t>18.</w:t>
            </w:r>
            <w:r>
              <w:rPr>
                <w:sz w:val="24"/>
              </w:rPr>
              <w:t xml:space="preserve">县域内每年开展“戏曲进乡村”场次不低于本辖区内乡镇数， </w:t>
            </w:r>
            <w:r>
              <w:rPr>
                <w:spacing w:val="-5"/>
                <w:sz w:val="24"/>
              </w:rPr>
              <w:t xml:space="preserve">每年开展戏曲培训不少于 </w:t>
            </w:r>
            <w:r>
              <w:rPr>
                <w:sz w:val="24"/>
              </w:rPr>
              <w:t>4</w:t>
            </w:r>
            <w:r>
              <w:rPr>
                <w:spacing w:val="-10"/>
                <w:sz w:val="24"/>
              </w:rPr>
              <w:t xml:space="preserve"> 期。博物馆举办公益性公共教育下基层</w:t>
            </w:r>
            <w:r>
              <w:rPr>
                <w:sz w:val="24"/>
              </w:rPr>
              <w:t>活动每年不少于 2 次。</w:t>
            </w:r>
          </w:p>
          <w:p>
            <w:pPr>
              <w:pStyle w:val="10"/>
              <w:pageBreakBefore w:val="0"/>
              <w:widowControl w:val="0"/>
              <w:numPr>
                <w:ilvl w:val="0"/>
                <w:numId w:val="0"/>
              </w:numPr>
              <w:tabs>
                <w:tab w:val="left" w:pos="847"/>
              </w:tabs>
              <w:kinsoku/>
              <w:wordWrap/>
              <w:overflowPunct/>
              <w:topLinePunct w:val="0"/>
              <w:autoSpaceDE/>
              <w:autoSpaceDN/>
              <w:bidi w:val="0"/>
              <w:adjustRightInd/>
              <w:snapToGrid/>
              <w:spacing w:line="400" w:lineRule="exact"/>
              <w:ind w:right="-15" w:rightChars="0" w:firstLine="464" w:firstLineChars="200"/>
              <w:jc w:val="left"/>
              <w:textAlignment w:val="auto"/>
              <w:rPr>
                <w:sz w:val="24"/>
              </w:rPr>
            </w:pPr>
            <w:r>
              <w:rPr>
                <w:rFonts w:hint="eastAsia"/>
                <w:spacing w:val="-4"/>
                <w:sz w:val="24"/>
                <w:lang w:val="en-US" w:eastAsia="zh-CN"/>
              </w:rPr>
              <w:t>19.</w:t>
            </w:r>
            <w:r>
              <w:rPr>
                <w:spacing w:val="-4"/>
                <w:sz w:val="24"/>
              </w:rPr>
              <w:t xml:space="preserve">保障每名中小学生每学期至少观看 </w:t>
            </w:r>
            <w:r>
              <w:rPr>
                <w:sz w:val="24"/>
              </w:rPr>
              <w:t>2</w:t>
            </w:r>
            <w:r>
              <w:rPr>
                <w:spacing w:val="-5"/>
                <w:sz w:val="24"/>
              </w:rPr>
              <w:t xml:space="preserve"> 次优秀影片，每个行政村</w:t>
            </w:r>
          </w:p>
          <w:p>
            <w:pPr>
              <w:pageBreakBefore w:val="0"/>
              <w:widowControl w:val="0"/>
              <w:kinsoku/>
              <w:wordWrap/>
              <w:overflowPunct/>
              <w:topLinePunct w:val="0"/>
              <w:autoSpaceDE/>
              <w:autoSpaceDN/>
              <w:bidi w:val="0"/>
              <w:adjustRightInd/>
              <w:snapToGrid/>
              <w:spacing w:line="400" w:lineRule="exact"/>
              <w:textAlignment w:val="auto"/>
              <w:rPr>
                <w:vertAlign w:val="baseline"/>
              </w:rPr>
            </w:pPr>
            <w:r>
              <w:rPr>
                <w:spacing w:val="-12"/>
                <w:sz w:val="24"/>
              </w:rPr>
              <w:t xml:space="preserve">每月放映 </w:t>
            </w:r>
            <w:r>
              <w:rPr>
                <w:sz w:val="24"/>
              </w:rPr>
              <w:t>1</w:t>
            </w:r>
            <w:r>
              <w:rPr>
                <w:spacing w:val="-9"/>
                <w:sz w:val="24"/>
              </w:rPr>
              <w:t xml:space="preserve"> 场公益电影。每年国产新片</w:t>
            </w:r>
            <w:r>
              <w:rPr>
                <w:sz w:val="24"/>
              </w:rPr>
              <w:t>（</w:t>
            </w:r>
            <w:r>
              <w:rPr>
                <w:spacing w:val="-8"/>
                <w:sz w:val="24"/>
              </w:rPr>
              <w:t xml:space="preserve">院线上映不超过 </w:t>
            </w:r>
            <w:r>
              <w:rPr>
                <w:sz w:val="24"/>
              </w:rPr>
              <w:t>2</w:t>
            </w:r>
            <w:r>
              <w:rPr>
                <w:spacing w:val="-30"/>
                <w:sz w:val="24"/>
              </w:rPr>
              <w:t xml:space="preserve"> 年</w:t>
            </w:r>
            <w:r>
              <w:rPr>
                <w:spacing w:val="-10"/>
                <w:sz w:val="24"/>
              </w:rPr>
              <w:t>）</w:t>
            </w:r>
            <w:r>
              <w:rPr>
                <w:sz w:val="24"/>
              </w:rPr>
              <w:t>比例不</w:t>
            </w:r>
            <w:r>
              <w:rPr>
                <w:spacing w:val="-20"/>
                <w:sz w:val="24"/>
              </w:rPr>
              <w:t xml:space="preserve">低于 </w:t>
            </w:r>
            <w:r>
              <w:rPr>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数字化服务</w:t>
            </w:r>
          </w:p>
        </w:tc>
        <w:tc>
          <w:tcPr>
            <w:tcW w:w="7253" w:type="dxa"/>
          </w:tcPr>
          <w:p>
            <w:pPr>
              <w:pageBreakBefore w:val="0"/>
              <w:widowControl w:val="0"/>
              <w:kinsoku/>
              <w:wordWrap/>
              <w:overflowPunct/>
              <w:topLinePunct w:val="0"/>
              <w:autoSpaceDE/>
              <w:autoSpaceDN/>
              <w:bidi w:val="0"/>
              <w:adjustRightInd/>
              <w:snapToGrid/>
              <w:spacing w:line="400" w:lineRule="exact"/>
              <w:ind w:firstLine="480" w:firstLineChars="200"/>
              <w:textAlignment w:val="auto"/>
              <w:rPr>
                <w:vertAlign w:val="baseline"/>
              </w:rPr>
            </w:pPr>
            <w:r>
              <w:rPr>
                <w:rFonts w:hint="eastAsia"/>
                <w:sz w:val="24"/>
                <w:lang w:val="en-US" w:eastAsia="zh-CN"/>
              </w:rPr>
              <w:t>20.</w:t>
            </w:r>
            <w:r>
              <w:rPr>
                <w:sz w:val="24"/>
              </w:rPr>
              <w:t>以省级公共文化服务平台为依托，建成互联互通的一站式数字</w:t>
            </w:r>
            <w:r>
              <w:rPr>
                <w:spacing w:val="-5"/>
                <w:sz w:val="24"/>
              </w:rPr>
              <w:t>文化服务平台，形成省、市、县、乡、村互联互通的数字文化服务网络体系。各级公共图书馆、文化馆、博物馆</w:t>
            </w:r>
            <w:r>
              <w:rPr>
                <w:sz w:val="24"/>
              </w:rPr>
              <w:t>（纪念馆</w:t>
            </w:r>
            <w:r>
              <w:rPr>
                <w:spacing w:val="-3"/>
                <w:sz w:val="24"/>
              </w:rPr>
              <w:t xml:space="preserve">）、美术馆建有网站或数字服务平台，每月更新不少于 </w:t>
            </w:r>
            <w:r>
              <w:rPr>
                <w:sz w:val="24"/>
              </w:rPr>
              <w:t>10</w:t>
            </w:r>
            <w:r>
              <w:rPr>
                <w:spacing w:val="-5"/>
                <w:sz w:val="24"/>
              </w:rPr>
              <w:t xml:space="preserve"> 次。各级公共文化场馆设置免费</w:t>
            </w:r>
            <w:r>
              <w:rPr>
                <w:spacing w:val="-8"/>
                <w:sz w:val="24"/>
              </w:rPr>
              <w:t>无线网络，并在醒目位置公示。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287" w:type="dxa"/>
            <w:vMerge w:val="restart"/>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vertAlign w:val="baseline"/>
                <w:lang w:val="en-US" w:eastAsia="zh-CN"/>
              </w:rPr>
            </w:pPr>
            <w:r>
              <w:rPr>
                <w:rFonts w:hint="eastAsia" w:ascii="Arial" w:hAnsi="Arial" w:eastAsia="黑体" w:cstheme="minorBidi"/>
                <w:b/>
                <w:kern w:val="2"/>
                <w:sz w:val="28"/>
                <w:szCs w:val="28"/>
                <w:lang w:val="en-US" w:eastAsia="zh-CN" w:bidi="ar-SA"/>
              </w:rPr>
              <w:t>公共文化制度保障</w:t>
            </w: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保障组织</w:t>
            </w:r>
          </w:p>
        </w:tc>
        <w:tc>
          <w:tcPr>
            <w:tcW w:w="7253" w:type="dxa"/>
          </w:tcPr>
          <w:p>
            <w:pPr>
              <w:pageBreakBefore w:val="0"/>
              <w:widowControl w:val="0"/>
              <w:kinsoku/>
              <w:wordWrap/>
              <w:overflowPunct/>
              <w:topLinePunct w:val="0"/>
              <w:autoSpaceDE/>
              <w:autoSpaceDN/>
              <w:bidi w:val="0"/>
              <w:adjustRightInd/>
              <w:snapToGrid/>
              <w:spacing w:line="400" w:lineRule="exact"/>
              <w:ind w:firstLine="480" w:firstLineChars="200"/>
              <w:textAlignment w:val="auto"/>
              <w:rPr>
                <w:vertAlign w:val="baseline"/>
              </w:rPr>
            </w:pPr>
            <w:r>
              <w:rPr>
                <w:rFonts w:hint="eastAsia"/>
                <w:sz w:val="24"/>
                <w:lang w:val="en-US" w:eastAsia="zh-CN"/>
              </w:rPr>
              <w:t>21.</w:t>
            </w:r>
            <w:r>
              <w:rPr>
                <w:sz w:val="24"/>
              </w:rPr>
              <w:t>建立公共文化服务体系建设协调机制。定期召开协调</w:t>
            </w:r>
            <w:r>
              <w:rPr>
                <w:spacing w:val="-4"/>
                <w:sz w:val="24"/>
              </w:rPr>
              <w:t xml:space="preserve">单位联合组织的会议，每年不少于 </w:t>
            </w:r>
            <w:r>
              <w:rPr>
                <w:sz w:val="24"/>
              </w:rPr>
              <w:t>1</w:t>
            </w:r>
            <w:r>
              <w:rPr>
                <w:spacing w:val="-20"/>
                <w:sz w:val="24"/>
              </w:rPr>
              <w:t xml:space="preserve">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财政保障</w:t>
            </w:r>
          </w:p>
        </w:tc>
        <w:tc>
          <w:tcPr>
            <w:tcW w:w="7253" w:type="dxa"/>
          </w:tcPr>
          <w:p>
            <w:pPr>
              <w:pStyle w:val="10"/>
              <w:pageBreakBefore w:val="0"/>
              <w:widowControl w:val="0"/>
              <w:numPr>
                <w:ilvl w:val="0"/>
                <w:numId w:val="2"/>
              </w:numPr>
              <w:tabs>
                <w:tab w:val="left" w:pos="847"/>
                <w:tab w:val="clear" w:pos="312"/>
              </w:tabs>
              <w:kinsoku/>
              <w:wordWrap/>
              <w:overflowPunct/>
              <w:topLinePunct w:val="0"/>
              <w:autoSpaceDE/>
              <w:autoSpaceDN/>
              <w:bidi w:val="0"/>
              <w:adjustRightInd/>
              <w:snapToGrid/>
              <w:spacing w:line="400" w:lineRule="exact"/>
              <w:ind w:right="-15" w:rightChars="0" w:firstLine="480" w:firstLineChars="200"/>
              <w:jc w:val="both"/>
              <w:textAlignment w:val="auto"/>
              <w:rPr>
                <w:vertAlign w:val="baseline"/>
              </w:rPr>
            </w:pPr>
            <w:r>
              <w:rPr>
                <w:sz w:val="24"/>
              </w:rPr>
              <w:t>落实基本公共文化服务目录</w:t>
            </w:r>
            <w:r>
              <w:rPr>
                <w:rFonts w:hint="eastAsia"/>
                <w:sz w:val="24"/>
                <w:lang w:eastAsia="zh-CN"/>
              </w:rPr>
              <w:t>所必需的</w:t>
            </w:r>
            <w:r>
              <w:rPr>
                <w:sz w:val="24"/>
              </w:rPr>
              <w:t>免费开放经</w:t>
            </w:r>
            <w:r>
              <w:rPr>
                <w:spacing w:val="-5"/>
                <w:sz w:val="24"/>
              </w:rPr>
              <w:t>费、基层业务经费、图书购置经费、全民健身活动经费等资金，保障公</w:t>
            </w:r>
            <w:r>
              <w:rPr>
                <w:spacing w:val="-8"/>
                <w:sz w:val="24"/>
              </w:rPr>
              <w:t xml:space="preserve">共文化服务体系建设和运行。乡镇业务运行经费每年不少于 </w:t>
            </w:r>
            <w:r>
              <w:rPr>
                <w:rFonts w:ascii="Calibri" w:eastAsia="Calibri"/>
                <w:sz w:val="24"/>
              </w:rPr>
              <w:t>2</w:t>
            </w:r>
            <w:r>
              <w:rPr>
                <w:rFonts w:ascii="Calibri" w:eastAsia="Calibri"/>
                <w:spacing w:val="6"/>
                <w:sz w:val="24"/>
              </w:rPr>
              <w:t xml:space="preserve"> </w:t>
            </w:r>
            <w:r>
              <w:rPr>
                <w:spacing w:val="-6"/>
                <w:sz w:val="24"/>
              </w:rPr>
              <w:t>万元，村</w:t>
            </w:r>
            <w:r>
              <w:rPr>
                <w:spacing w:val="-5"/>
                <w:sz w:val="24"/>
              </w:rPr>
              <w:t xml:space="preserve">级业务运行经费每年不少于 </w:t>
            </w:r>
            <w:r>
              <w:rPr>
                <w:rFonts w:ascii="Calibri" w:eastAsia="Calibri"/>
                <w:sz w:val="24"/>
              </w:rPr>
              <w:t xml:space="preserve">0.3 </w:t>
            </w:r>
            <w:r>
              <w:rPr>
                <w:spacing w:val="-11"/>
                <w:sz w:val="24"/>
              </w:rPr>
              <w:t>万元</w:t>
            </w:r>
            <w:r>
              <w:rPr>
                <w:rFonts w:hint="eastAsia"/>
                <w:spacing w:val="-11"/>
                <w:sz w:val="24"/>
                <w:lang w:eastAsia="zh-CN"/>
              </w:rPr>
              <w:t>，</w:t>
            </w:r>
            <w:r>
              <w:rPr>
                <w:spacing w:val="-11"/>
                <w:sz w:val="24"/>
              </w:rPr>
              <w:t>对行政村</w:t>
            </w:r>
            <w:r>
              <w:rPr>
                <w:spacing w:val="-8"/>
                <w:sz w:val="24"/>
              </w:rPr>
              <w:t>社区</w:t>
            </w:r>
            <w:r>
              <w:rPr>
                <w:sz w:val="24"/>
              </w:rPr>
              <w:t>文化协管员发放专项补贴。</w:t>
            </w:r>
          </w:p>
          <w:p>
            <w:pPr>
              <w:pStyle w:val="10"/>
              <w:pageBreakBefore w:val="0"/>
              <w:widowControl w:val="0"/>
              <w:numPr>
                <w:ilvl w:val="0"/>
                <w:numId w:val="2"/>
              </w:numPr>
              <w:tabs>
                <w:tab w:val="left" w:pos="847"/>
                <w:tab w:val="clear" w:pos="312"/>
              </w:tabs>
              <w:kinsoku/>
              <w:wordWrap/>
              <w:overflowPunct/>
              <w:topLinePunct w:val="0"/>
              <w:autoSpaceDE/>
              <w:autoSpaceDN/>
              <w:bidi w:val="0"/>
              <w:adjustRightInd/>
              <w:snapToGrid/>
              <w:spacing w:line="400" w:lineRule="exact"/>
              <w:ind w:right="-15" w:rightChars="0" w:firstLine="480" w:firstLineChars="200"/>
              <w:jc w:val="both"/>
              <w:textAlignment w:val="auto"/>
              <w:rPr>
                <w:vertAlign w:val="baseline"/>
              </w:rPr>
            </w:pPr>
            <w:r>
              <w:rPr>
                <w:sz w:val="24"/>
              </w:rPr>
              <w:t>政府向社会力量购买公共文化服务所需资金列入财政预算，从</w:t>
            </w:r>
            <w:r>
              <w:rPr>
                <w:spacing w:val="-2"/>
                <w:sz w:val="24"/>
              </w:rPr>
              <w:t>部门预算经费或经批准的专项资金等既有预算中统筹安排。采取政府采</w:t>
            </w:r>
            <w:r>
              <w:rPr>
                <w:spacing w:val="-6"/>
                <w:sz w:val="24"/>
              </w:rPr>
              <w:t>购、项目补贴、定向资助、贷款贴息等政策措施，支持各类社会力量参</w:t>
            </w:r>
            <w:r>
              <w:rPr>
                <w:sz w:val="24"/>
              </w:rPr>
              <w:t>与提供公共文化服务和产品。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87" w:type="dxa"/>
            <w:vMerge w:val="continue"/>
          </w:tcPr>
          <w:p>
            <w:pPr>
              <w:pageBreakBefore w:val="0"/>
              <w:widowControl w:val="0"/>
              <w:kinsoku/>
              <w:wordWrap/>
              <w:overflowPunct/>
              <w:topLinePunct w:val="0"/>
              <w:autoSpaceDE/>
              <w:autoSpaceDN/>
              <w:bidi w:val="0"/>
              <w:adjustRightInd/>
              <w:snapToGrid/>
              <w:spacing w:line="400" w:lineRule="exact"/>
              <w:textAlignment w:val="auto"/>
              <w:rPr>
                <w:vertAlign w:val="baseline"/>
              </w:rPr>
            </w:pP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8"/>
                <w:szCs w:val="28"/>
                <w:vertAlign w:val="baseline"/>
                <w:lang w:val="en-US" w:eastAsia="zh-CN"/>
              </w:rPr>
            </w:pPr>
            <w:r>
              <w:rPr>
                <w:rFonts w:hint="eastAsia"/>
                <w:sz w:val="28"/>
                <w:szCs w:val="28"/>
                <w:vertAlign w:val="baseline"/>
                <w:lang w:val="en-US" w:eastAsia="zh-CN"/>
              </w:rPr>
              <w:t>队伍建设</w:t>
            </w:r>
          </w:p>
        </w:tc>
        <w:tc>
          <w:tcPr>
            <w:tcW w:w="7253" w:type="dxa"/>
          </w:tcPr>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24.</w:t>
            </w:r>
            <w:r>
              <w:rPr>
                <w:rFonts w:ascii="Times New Roman" w:hAnsi="Times New Roman"/>
                <w:sz w:val="24"/>
                <w:szCs w:val="24"/>
              </w:rPr>
              <w:t>县级公共文化机构按照核定的编制配备工作人员，其中业务人员占职工总数不低于 80%。乡镇（街道）文化站至少有 1—2 名专职工作人员，规模较大的可适当增加 1—2 名人员；村（社区）至少有 1 名专职工作人员负责社区文化宣传服务工作。文化站、村级综合性文化服务中心至少有 1 名专职人员负责文化宣传工作。每个行政村（社区）业余文艺团队不少于 1 支。</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25.</w:t>
            </w:r>
            <w:r>
              <w:rPr>
                <w:rFonts w:ascii="Times New Roman" w:hAnsi="Times New Roman"/>
                <w:sz w:val="24"/>
                <w:szCs w:val="24"/>
              </w:rPr>
              <w:t xml:space="preserve">县级公共文化机构从业人员每年参加业务培训时间不少于90 </w:t>
            </w:r>
            <w:r>
              <w:rPr>
                <w:rFonts w:hint="eastAsia" w:ascii="Times New Roman" w:hAnsi="Times New Roman"/>
                <w:sz w:val="24"/>
                <w:szCs w:val="24"/>
                <w:lang w:val="en-US" w:eastAsia="zh-CN"/>
              </w:rPr>
              <w:t>小</w:t>
            </w:r>
            <w:r>
              <w:rPr>
                <w:rFonts w:ascii="Times New Roman" w:hAnsi="Times New Roman"/>
                <w:sz w:val="24"/>
                <w:szCs w:val="24"/>
              </w:rPr>
              <w:t>时</w:t>
            </w:r>
            <w:r>
              <w:rPr>
                <w:rFonts w:hint="eastAsia" w:ascii="Times New Roman" w:hAnsi="Times New Roman"/>
                <w:sz w:val="24"/>
                <w:szCs w:val="24"/>
                <w:lang w:eastAsia="zh-CN"/>
              </w:rPr>
              <w:t>，</w:t>
            </w:r>
            <w:r>
              <w:rPr>
                <w:rFonts w:ascii="Times New Roman" w:hAnsi="Times New Roman"/>
                <w:sz w:val="24"/>
                <w:szCs w:val="24"/>
              </w:rPr>
              <w:t>乡镇（街道）、行政村（社区）文化专兼职人员参加集中培训</w:t>
            </w:r>
          </w:p>
          <w:p>
            <w:pPr>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4"/>
                <w:szCs w:val="24"/>
              </w:rPr>
            </w:pPr>
            <w:r>
              <w:rPr>
                <w:rFonts w:ascii="Times New Roman" w:hAnsi="Times New Roman"/>
                <w:sz w:val="24"/>
                <w:szCs w:val="24"/>
              </w:rPr>
              <w:t>时间每年不少于 30 小时。</w:t>
            </w:r>
          </w:p>
          <w:p>
            <w:pPr>
              <w:pageBreakBefore w:val="0"/>
              <w:widowControl w:val="0"/>
              <w:kinsoku/>
              <w:wordWrap/>
              <w:overflowPunct/>
              <w:topLinePunct w:val="0"/>
              <w:autoSpaceDE/>
              <w:autoSpaceDN/>
              <w:bidi w:val="0"/>
              <w:adjustRightInd/>
              <w:snapToGrid/>
              <w:spacing w:line="400" w:lineRule="exact"/>
              <w:textAlignment w:val="auto"/>
              <w:rPr>
                <w:vertAlign w:val="baseline"/>
              </w:rPr>
            </w:pPr>
            <w:r>
              <w:rPr>
                <w:rFonts w:hint="eastAsia" w:ascii="Times New Roman" w:hAnsi="Times New Roman"/>
                <w:sz w:val="24"/>
                <w:szCs w:val="24"/>
                <w:lang w:val="en-US" w:eastAsia="zh-CN"/>
              </w:rPr>
              <w:t>26.</w:t>
            </w:r>
            <w:r>
              <w:rPr>
                <w:rFonts w:ascii="Times New Roman" w:hAnsi="Times New Roman"/>
                <w:sz w:val="24"/>
                <w:szCs w:val="24"/>
              </w:rPr>
              <w:t>建立健全公共文化服务志愿机制和激励措施，加强项目管理和制度建设。公共图书馆、文化馆、博物馆、美术馆、科技馆等公共文化场馆有志愿者制度、志愿者服务队伍。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287"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kern w:val="2"/>
                <w:sz w:val="21"/>
                <w:szCs w:val="24"/>
                <w:lang w:val="en-US" w:eastAsia="zh-CN" w:bidi="zh-CN"/>
              </w:rPr>
            </w:pPr>
            <w:r>
              <w:rPr>
                <w:rFonts w:hint="eastAsia" w:ascii="Arial" w:hAnsi="Arial" w:eastAsia="黑体" w:cstheme="minorBidi"/>
                <w:b/>
                <w:kern w:val="2"/>
                <w:sz w:val="28"/>
                <w:szCs w:val="28"/>
                <w:lang w:val="en-US" w:eastAsia="zh-CN" w:bidi="ar-SA"/>
              </w:rPr>
              <w:t>公共文化反馈评估</w:t>
            </w:r>
          </w:p>
        </w:tc>
        <w:tc>
          <w:tcPr>
            <w:tcW w:w="1018" w:type="dxa"/>
            <w:vAlign w:val="center"/>
          </w:tcPr>
          <w:p>
            <w:pPr>
              <w:pageBreakBefore w:val="0"/>
              <w:widowControl w:val="0"/>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评估评价</w:t>
            </w:r>
          </w:p>
        </w:tc>
        <w:tc>
          <w:tcPr>
            <w:tcW w:w="7253" w:type="dxa"/>
          </w:tcPr>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27.</w:t>
            </w:r>
            <w:r>
              <w:rPr>
                <w:rFonts w:ascii="Times New Roman" w:hAnsi="Times New Roman"/>
                <w:sz w:val="24"/>
                <w:szCs w:val="24"/>
              </w:rPr>
              <w:t>建立和完善常态化的公共文化考核机制，考核包括群众满意度测评和第三方测评，强化考核结果运用。</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28.</w:t>
            </w:r>
            <w:r>
              <w:rPr>
                <w:rFonts w:ascii="Times New Roman" w:hAnsi="Times New Roman"/>
                <w:sz w:val="24"/>
                <w:szCs w:val="24"/>
              </w:rPr>
              <w:t>各级公共文化机构和场馆应建立意见箱、网页、公众号、视频号、电话等多种群众文化需求反馈渠道，回应周期原则上不超过7 个工作日</w:t>
            </w:r>
            <w:r>
              <w:rPr>
                <w:rFonts w:hint="eastAsia" w:ascii="Times New Roman" w:hAnsi="Times New Roman"/>
                <w:sz w:val="24"/>
                <w:szCs w:val="24"/>
                <w:lang w:eastAsia="zh-CN"/>
              </w:rPr>
              <w:t>。</w:t>
            </w:r>
          </w:p>
        </w:tc>
      </w:tr>
    </w:tbl>
    <w:p>
      <w:pPr>
        <w:bidi w:val="0"/>
        <w:rPr>
          <w:rFonts w:ascii="Times New Roman" w:hAnsi="Times New Roman"/>
        </w:rPr>
        <w:sectPr>
          <w:pgSz w:w="11910" w:h="16840"/>
          <w:pgMar w:top="1531" w:right="1474" w:bottom="1531" w:left="1587" w:header="720" w:footer="720" w:gutter="0"/>
          <w:pgBorders>
            <w:top w:val="none" w:sz="0" w:space="0"/>
            <w:left w:val="none" w:sz="0" w:space="0"/>
            <w:bottom w:val="none" w:sz="0" w:space="0"/>
            <w:right w:val="none" w:sz="0" w:space="0"/>
          </w:pgBorders>
          <w:cols w:space="720" w:num="1"/>
        </w:sectPr>
      </w:pPr>
      <w:r>
        <w:rPr>
          <w:rFonts w:hint="eastAsia" w:ascii="Times New Roman" w:hAnsi="Times New Roman"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page">
                  <wp:posOffset>929005</wp:posOffset>
                </wp:positionH>
                <wp:positionV relativeFrom="paragraph">
                  <wp:posOffset>78740</wp:posOffset>
                </wp:positionV>
                <wp:extent cx="2574925" cy="39096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74925" cy="3909695"/>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3.15pt;margin-top:6.2pt;height:307.85pt;width:202.75pt;mso-position-horizontal-relative:page;z-index:251659264;mso-width-relative:page;mso-height-relative:page;" filled="f" stroked="f" coordsize="21600,21600" o:gfxdata="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XddtjYAAAACgEAAA8AAAAAAAAAAQAgAAAAIgAAAGRycy9kb3ducmV2LnhtbFBL&#10;AQIUABQAAAAIAIdO4kBh5K/FvQEAAHMDAAAOAAAAAAAAAAEAIAAAACcBAABkcnMvZTJvRG9jLnht&#10;bFBLBQYAAAAABgAGAFkBAABWBQAAAAA=&#10;">
                <v:fill on="f" focussize="0,0"/>
                <v:stroke on="f"/>
                <v:imagedata o:title=""/>
                <o:lock v:ext="edit" aspectratio="f"/>
                <v:textbox inset="0mm,0mm,0mm,0mm">
                  <w:txbxContent>
                    <w:p/>
                  </w:txbxContent>
                </v:textbox>
              </v:shape>
            </w:pict>
          </mc:Fallback>
        </mc:AlternateContent>
      </w:r>
    </w:p>
    <w:p>
      <w:pPr>
        <w:bidi w:val="0"/>
        <w:rPr>
          <w:rFonts w:hint="default" w:ascii="Times New Roman" w:hAnsi="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4C734"/>
    <w:multiLevelType w:val="singleLevel"/>
    <w:tmpl w:val="C984C734"/>
    <w:lvl w:ilvl="0" w:tentative="0">
      <w:start w:val="22"/>
      <w:numFmt w:val="decimal"/>
      <w:lvlText w:val="%1."/>
      <w:lvlJc w:val="left"/>
      <w:pPr>
        <w:tabs>
          <w:tab w:val="left" w:pos="312"/>
        </w:tabs>
      </w:pPr>
    </w:lvl>
  </w:abstractNum>
  <w:abstractNum w:abstractNumId="1">
    <w:nsid w:val="0053208E"/>
    <w:multiLevelType w:val="multilevel"/>
    <w:tmpl w:val="0053208E"/>
    <w:lvl w:ilvl="0" w:tentative="0">
      <w:start w:val="1"/>
      <w:numFmt w:val="decimal"/>
      <w:lvlText w:val="%1."/>
      <w:lvlJc w:val="left"/>
      <w:pPr>
        <w:ind w:left="-60" w:hanging="243"/>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677" w:hanging="243"/>
      </w:pPr>
      <w:rPr>
        <w:rFonts w:hint="default"/>
        <w:lang w:val="zh-CN" w:eastAsia="zh-CN" w:bidi="zh-CN"/>
      </w:rPr>
    </w:lvl>
    <w:lvl w:ilvl="2" w:tentative="0">
      <w:start w:val="0"/>
      <w:numFmt w:val="bullet"/>
      <w:lvlText w:val="•"/>
      <w:lvlJc w:val="left"/>
      <w:pPr>
        <w:ind w:left="1419" w:hanging="243"/>
      </w:pPr>
      <w:rPr>
        <w:rFonts w:hint="default"/>
        <w:lang w:val="zh-CN" w:eastAsia="zh-CN" w:bidi="zh-CN"/>
      </w:rPr>
    </w:lvl>
    <w:lvl w:ilvl="3" w:tentative="0">
      <w:start w:val="0"/>
      <w:numFmt w:val="bullet"/>
      <w:lvlText w:val="•"/>
      <w:lvlJc w:val="left"/>
      <w:pPr>
        <w:ind w:left="2160" w:hanging="243"/>
      </w:pPr>
      <w:rPr>
        <w:rFonts w:hint="default"/>
        <w:lang w:val="zh-CN" w:eastAsia="zh-CN" w:bidi="zh-CN"/>
      </w:rPr>
    </w:lvl>
    <w:lvl w:ilvl="4" w:tentative="0">
      <w:start w:val="0"/>
      <w:numFmt w:val="bullet"/>
      <w:lvlText w:val="•"/>
      <w:lvlJc w:val="left"/>
      <w:pPr>
        <w:ind w:left="2902" w:hanging="243"/>
      </w:pPr>
      <w:rPr>
        <w:rFonts w:hint="default"/>
        <w:lang w:val="zh-CN" w:eastAsia="zh-CN" w:bidi="zh-CN"/>
      </w:rPr>
    </w:lvl>
    <w:lvl w:ilvl="5" w:tentative="0">
      <w:start w:val="0"/>
      <w:numFmt w:val="bullet"/>
      <w:lvlText w:val="•"/>
      <w:lvlJc w:val="left"/>
      <w:pPr>
        <w:ind w:left="3643" w:hanging="243"/>
      </w:pPr>
      <w:rPr>
        <w:rFonts w:hint="default"/>
        <w:lang w:val="zh-CN" w:eastAsia="zh-CN" w:bidi="zh-CN"/>
      </w:rPr>
    </w:lvl>
    <w:lvl w:ilvl="6" w:tentative="0">
      <w:start w:val="0"/>
      <w:numFmt w:val="bullet"/>
      <w:lvlText w:val="•"/>
      <w:lvlJc w:val="left"/>
      <w:pPr>
        <w:ind w:left="4385" w:hanging="243"/>
      </w:pPr>
      <w:rPr>
        <w:rFonts w:hint="default"/>
        <w:lang w:val="zh-CN" w:eastAsia="zh-CN" w:bidi="zh-CN"/>
      </w:rPr>
    </w:lvl>
    <w:lvl w:ilvl="7" w:tentative="0">
      <w:start w:val="0"/>
      <w:numFmt w:val="bullet"/>
      <w:lvlText w:val="•"/>
      <w:lvlJc w:val="left"/>
      <w:pPr>
        <w:ind w:left="5126" w:hanging="243"/>
      </w:pPr>
      <w:rPr>
        <w:rFonts w:hint="default"/>
        <w:lang w:val="zh-CN" w:eastAsia="zh-CN" w:bidi="zh-CN"/>
      </w:rPr>
    </w:lvl>
    <w:lvl w:ilvl="8" w:tentative="0">
      <w:start w:val="0"/>
      <w:numFmt w:val="bullet"/>
      <w:lvlText w:val="•"/>
      <w:lvlJc w:val="left"/>
      <w:pPr>
        <w:ind w:left="5868" w:hanging="243"/>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mY3M2Y5YjE0MDNkNDkxOGUxMjNiZmNiYzZjZTgifQ=="/>
    <w:docVar w:name="KSO_WPS_MARK_KEY" w:val="b68ce240-15e2-4eb3-a5fc-c142e7895f2c"/>
  </w:docVars>
  <w:rsids>
    <w:rsidRoot w:val="2C211976"/>
    <w:rsid w:val="03BB4F42"/>
    <w:rsid w:val="2C211976"/>
    <w:rsid w:val="43D94787"/>
    <w:rsid w:val="44F800F8"/>
    <w:rsid w:val="5CB237AC"/>
    <w:rsid w:val="701D53AF"/>
    <w:rsid w:val="734515F1"/>
    <w:rsid w:val="7A360BD7"/>
    <w:rsid w:val="7F99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sz w:val="24"/>
    </w:rPr>
  </w:style>
  <w:style w:type="paragraph" w:styleId="3">
    <w:name w:val="Body Text Indent"/>
    <w:basedOn w:val="1"/>
    <w:qFormat/>
    <w:uiPriority w:val="0"/>
    <w:pPr>
      <w:ind w:firstLine="560"/>
    </w:pPr>
    <w:rPr>
      <w:rFonts w:hint="eastAsia" w:ascii="楷体_GB2312" w:eastAsia="楷体_GB2312"/>
      <w:sz w:val="32"/>
    </w:rPr>
  </w:style>
  <w:style w:type="paragraph" w:styleId="6">
    <w:name w:val="Body Text"/>
    <w:basedOn w:val="1"/>
    <w:qFormat/>
    <w:uiPriority w:val="1"/>
    <w:rPr>
      <w:rFonts w:ascii="宋体" w:hAnsi="宋体" w:eastAsia="宋体" w:cs="宋体"/>
      <w:sz w:val="44"/>
      <w:szCs w:val="44"/>
      <w:lang w:val="zh-CN" w:eastAsia="zh-CN" w:bidi="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2937</Words>
  <Characters>3046</Characters>
  <Lines>0</Lines>
  <Paragraphs>0</Paragraphs>
  <TotalTime>6</TotalTime>
  <ScaleCrop>false</ScaleCrop>
  <LinksUpToDate>false</LinksUpToDate>
  <CharactersWithSpaces>3236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2022-06-09T07:46:00Z</dcterms:created>
  <dc:creator>笑容带来好运。</dc:creator>
  <cp:lastModifiedBy>张小乐啊</cp:lastModifiedBy>
  <dcterms:modified xsi:type="dcterms:W3CDTF">2024-06-17T08:18:28Z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3903E94A6E134E52AA4F49B9733CEEE9</vt:lpwstr>
  </property>
</Properties>
</file>