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医疗保障局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医疗保障局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个归口预算管理单位。</w:t>
      </w:r>
    </w:p>
    <w:tbl>
      <w:tblPr>
        <w:tblStyle w:val="5"/>
        <w:tblpPr w:leftFromText="180" w:rightFromText="180" w:vertAnchor="text" w:horzAnchor="page" w:tblpX="1920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default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医保局机关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spacing w:line="600" w:lineRule="exact"/>
              <w:rPr>
                <w:rFonts w:hint="default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新县社会医疗保险中心</w:t>
            </w:r>
          </w:p>
        </w:tc>
      </w:tr>
    </w:tbl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贯彻落实县城乡居民医疗保险、生育保险、离休人员医疗保障、移交政府安置的军队离退休干部医疗保障、医疗救助等医疗保障制度的方案、政策、规划、标准并组织实施。依据国家、省市有关法律法规政策组织实施全县医疗保障基金监督管理办法，建立健全医疗保障基金安全防控机制，推进医疗保障基金支付方式改革，贯彻执行全县医疗保障筹资和待遇政策，完善动态调整和区域调剂平衡机制。贯彻执行国家、省、市城乡统一的药品、医用耗材、医疗服务项目、医疗服务设施等医保目录和支付标准。贯彻执行国家、省、市有关药品收费、医用耗材价格和医疗服务项目、医疗服务设施收费等政策，履行管理职责，推动建立市场主导的社会医药服务价格形成机制，建立价格信息监测和信息发布制度。组织落实有关药品、医用耗材的招标采购政策并监督实施，指导药品、医用耗材招标采购平台建设。拟订全县定点医药机构协议和支付管理办法并组织实施。负责全县医疗保障经办管理、公共服务体系和信息化建设。指导全县医疗保险、生育保险经办机构开展业务工作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医疗保障</w:t>
      </w:r>
      <w:r>
        <w:rPr>
          <w:rFonts w:eastAsia="仿宋_GB2312"/>
          <w:color w:val="000000"/>
          <w:sz w:val="32"/>
          <w:szCs w:val="32"/>
        </w:rPr>
        <w:t>局机关及归口预算管理单位共有编制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54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人，其中：行政编制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人，事业编制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eastAsia="仿宋_GB2312"/>
          <w:color w:val="000000"/>
          <w:sz w:val="32"/>
          <w:szCs w:val="32"/>
        </w:rPr>
        <w:t>人；退休人员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保</w:t>
      </w:r>
      <w:r>
        <w:rPr>
          <w:rFonts w:eastAsia="仿宋_GB2312"/>
          <w:color w:val="000000"/>
          <w:sz w:val="32"/>
          <w:szCs w:val="32"/>
        </w:rPr>
        <w:t>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全县医疗保障服务工作的</w:t>
      </w:r>
      <w:r>
        <w:rPr>
          <w:rFonts w:eastAsia="仿宋_GB2312"/>
          <w:color w:val="000000"/>
          <w:sz w:val="32"/>
          <w:szCs w:val="32"/>
        </w:rPr>
        <w:t>正常运转，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全局</w:t>
      </w:r>
      <w:r>
        <w:rPr>
          <w:rFonts w:hint="eastAsia" w:eastAsia="仿宋_GB2312"/>
          <w:color w:val="000000"/>
          <w:sz w:val="32"/>
          <w:szCs w:val="32"/>
        </w:rPr>
        <w:t>财务预算执行的分析，完善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全局</w:t>
      </w:r>
      <w:r>
        <w:rPr>
          <w:rFonts w:hint="eastAsia" w:eastAsia="仿宋_GB2312"/>
          <w:color w:val="000000"/>
          <w:sz w:val="32"/>
          <w:szCs w:val="32"/>
        </w:rPr>
        <w:t>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部门收支预算为汇总预算，含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所下属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二级机构。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eastAsia="仿宋_GB2312"/>
          <w:color w:val="000000"/>
          <w:kern w:val="0"/>
          <w:sz w:val="32"/>
          <w:szCs w:val="32"/>
        </w:rPr>
        <w:t>万元，增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7.59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  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局机关专项工作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/>
          <w:color w:val="000000"/>
          <w:kern w:val="0"/>
          <w:sz w:val="32"/>
          <w:szCs w:val="32"/>
        </w:rPr>
        <w:t xml:space="preserve">增加。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487.2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487.2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7.59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局机关专项工作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/>
          <w:color w:val="000000"/>
          <w:kern w:val="0"/>
          <w:sz w:val="32"/>
          <w:szCs w:val="32"/>
        </w:rPr>
        <w:t>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348.8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137.6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348.8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万元，商品和服务支出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137.6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348.8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176.6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2.1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42.2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18.1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62.2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29.3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137.6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31.9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3.4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75.3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减少162.9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减少5.05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万元，比上年下降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下降162.9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val="en-US" w:eastAsia="zh-CN"/>
        </w:rPr>
        <w:t>下降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公务接待费减少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5.05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比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下降162.9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%。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下降的原因：倡导厉行节俭，减少公务接待方面的支出。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其中：政府采购货物预算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万元、政府采购服务类预算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万元。采购内容包括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设备购置、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实施费用等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ind w:firstLine="321" w:firstLineChars="1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</w:t>
      </w:r>
      <w:r>
        <w:rPr>
          <w:rFonts w:hint="eastAsia" w:eastAsia="仿宋_GB2312"/>
          <w:color w:val="000000"/>
          <w:kern w:val="0"/>
          <w:sz w:val="32"/>
          <w:szCs w:val="32"/>
        </w:rPr>
        <w:t>局2020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487.2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医疗保障</w:t>
      </w:r>
      <w:r>
        <w:rPr>
          <w:rFonts w:hint="eastAsia" w:eastAsia="仿宋_GB2312"/>
          <w:color w:val="000000"/>
          <w:kern w:val="0"/>
          <w:sz w:val="32"/>
          <w:szCs w:val="32"/>
        </w:rPr>
        <w:t>局没有开展项目预算绩效评价。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年期末，新县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医保局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套，单位价值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5014924"/>
    <w:rsid w:val="060851AE"/>
    <w:rsid w:val="06611992"/>
    <w:rsid w:val="07730F80"/>
    <w:rsid w:val="09AD7FDD"/>
    <w:rsid w:val="0A612137"/>
    <w:rsid w:val="0BF673EF"/>
    <w:rsid w:val="0D0F4095"/>
    <w:rsid w:val="0D7A7A4D"/>
    <w:rsid w:val="117B6A7C"/>
    <w:rsid w:val="122B2F69"/>
    <w:rsid w:val="14D74AEB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1C666DD4"/>
    <w:rsid w:val="1F381B3F"/>
    <w:rsid w:val="20B339E5"/>
    <w:rsid w:val="2277732E"/>
    <w:rsid w:val="24303D7F"/>
    <w:rsid w:val="24AF1C22"/>
    <w:rsid w:val="27482479"/>
    <w:rsid w:val="282961A7"/>
    <w:rsid w:val="29CF33F0"/>
    <w:rsid w:val="2AC90564"/>
    <w:rsid w:val="2C661EBC"/>
    <w:rsid w:val="2DB44B27"/>
    <w:rsid w:val="2E2A460D"/>
    <w:rsid w:val="30765ABF"/>
    <w:rsid w:val="33C05CD4"/>
    <w:rsid w:val="356C0AB1"/>
    <w:rsid w:val="361C6558"/>
    <w:rsid w:val="38977CFD"/>
    <w:rsid w:val="3CED4AB5"/>
    <w:rsid w:val="3D8B1F1E"/>
    <w:rsid w:val="3E6C32B5"/>
    <w:rsid w:val="3E750556"/>
    <w:rsid w:val="3F592B17"/>
    <w:rsid w:val="4223430F"/>
    <w:rsid w:val="46FF3E4D"/>
    <w:rsid w:val="474343A9"/>
    <w:rsid w:val="48B56278"/>
    <w:rsid w:val="4A107018"/>
    <w:rsid w:val="4A7375D3"/>
    <w:rsid w:val="4D22049D"/>
    <w:rsid w:val="4D6A227E"/>
    <w:rsid w:val="4FEB0E79"/>
    <w:rsid w:val="529F0B53"/>
    <w:rsid w:val="54CC0087"/>
    <w:rsid w:val="555E040B"/>
    <w:rsid w:val="579D2375"/>
    <w:rsid w:val="57AE21F7"/>
    <w:rsid w:val="57D86DBC"/>
    <w:rsid w:val="5AA500EE"/>
    <w:rsid w:val="5C215167"/>
    <w:rsid w:val="5E631320"/>
    <w:rsid w:val="5EC76B76"/>
    <w:rsid w:val="5ECB5A06"/>
    <w:rsid w:val="5F585608"/>
    <w:rsid w:val="62452ADD"/>
    <w:rsid w:val="654518D0"/>
    <w:rsid w:val="655F5EA9"/>
    <w:rsid w:val="666D1AAF"/>
    <w:rsid w:val="6ECA7AC4"/>
    <w:rsid w:val="6F7F1AA3"/>
    <w:rsid w:val="72044DF8"/>
    <w:rsid w:val="759C4C0A"/>
    <w:rsid w:val="76EC5AE4"/>
    <w:rsid w:val="78D6471C"/>
    <w:rsid w:val="79E2707E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1</TotalTime>
  <ScaleCrop>false</ScaleCrop>
  <LinksUpToDate>false</LinksUpToDate>
  <CharactersWithSpaces>3110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燊</cp:lastModifiedBy>
  <cp:lastPrinted>2018-04-10T07:07:00Z</cp:lastPrinted>
  <dcterms:modified xsi:type="dcterms:W3CDTF">2021-06-10T08:05:58Z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EA658DF57FD74A75AACC46B242359C56</vt:lpwstr>
  </property>
</Properties>
</file>