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关于2019年“三公”经费支出决算增减变化情况的说明</w:t>
      </w:r>
    </w:p>
    <w:p>
      <w:pPr>
        <w:ind w:firstLine="420" w:firstLineChars="200"/>
        <w:rPr>
          <w:rFonts w:ascii="微软雅黑" w:hAnsi="微软雅黑" w:eastAsia="微软雅黑"/>
          <w:color w:val="666666"/>
          <w:shd w:val="clear" w:color="auto" w:fill="FFFFFF"/>
        </w:rPr>
      </w:pPr>
    </w:p>
    <w:p>
      <w:pPr>
        <w:ind w:firstLine="640" w:firstLineChars="200"/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2019年，全县一般公共预算安排“三公”经费支出决算2125万元，较上年决算数下降24%，较年初预算数下降22%。其中：公务接待费支出1766万元，较上年支出决算数下降17%，较年初预算数下降21%，下降原因是机关事业单位严格执行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eastAsia="zh-CN"/>
        </w:rPr>
        <w:t>中央八项规定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，从严从紧开展公务接待活动;公务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用车运行维护费支出350万元，较上年支出决算数下降48%，较年初预算数上涨13%，原因是有关部门进一步加强公务车辆管理以及公务活动相对减少;公务用车购置费支出0万元，没有发生支出原因是机关事业单位没有采购车辆;因公出国(境)费支出9万元，较上年支出决算数上涨50%，较年初预算数上涨125%，上涨原因是县委办、旅游局因公出国(境)开支略有上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FkZTRmZDMyMTFmMWVmOWJmYzNjY2VjM2JhMzBkNzAifQ=="/>
  </w:docVars>
  <w:rsids>
    <w:rsidRoot w:val="00A55417"/>
    <w:rsid w:val="000B0B46"/>
    <w:rsid w:val="003B7ECB"/>
    <w:rsid w:val="006D0B16"/>
    <w:rsid w:val="009A626C"/>
    <w:rsid w:val="00A55417"/>
    <w:rsid w:val="00B562A4"/>
    <w:rsid w:val="30F9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50</Words>
  <Characters>290</Characters>
  <Lines>2</Lines>
  <Paragraphs>1</Paragraphs>
  <TotalTime>7</TotalTime>
  <ScaleCrop>false</ScaleCrop>
  <LinksUpToDate>false</LinksUpToDate>
  <CharactersWithSpaces>339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2020-08-31T07:06:00Z</dcterms:created>
  <dc:creator>Administrator</dc:creator>
  <cp:lastModifiedBy>张小乐啊</cp:lastModifiedBy>
  <dcterms:modified xsi:type="dcterms:W3CDTF">2024-03-14T09:36:17Z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E48F25D3B6D94BD2A8D5C829ABDC8220_12</vt:lpwstr>
  </property>
</Properties>
</file>