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发改委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新县发展和改革委员会</w:t>
      </w:r>
      <w:r>
        <w:rPr>
          <w:rFonts w:hint="eastAsia" w:eastAsia="仿宋_GB2312"/>
          <w:color w:val="000000"/>
          <w:sz w:val="32"/>
          <w:szCs w:val="32"/>
        </w:rPr>
        <w:t>内设机构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</w:rPr>
        <w:t>个,分别为</w:t>
      </w:r>
      <w:r>
        <w:rPr>
          <w:rFonts w:eastAsia="仿宋_GB2312"/>
          <w:color w:val="000000"/>
          <w:sz w:val="32"/>
          <w:szCs w:val="32"/>
        </w:rPr>
        <w:t>办公室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国民经济综合股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固定资产投资股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地区振兴股、</w:t>
      </w:r>
      <w:r>
        <w:rPr>
          <w:rFonts w:eastAsia="仿宋_GB2312"/>
          <w:color w:val="000000"/>
          <w:sz w:val="32"/>
          <w:szCs w:val="32"/>
        </w:rPr>
        <w:t>经济发展股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城市发展股、</w:t>
      </w:r>
      <w:r>
        <w:rPr>
          <w:rFonts w:eastAsia="仿宋_GB2312"/>
          <w:color w:val="000000"/>
          <w:sz w:val="32"/>
          <w:szCs w:val="32"/>
        </w:rPr>
        <w:t>社会发展股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价费管理股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下设</w:t>
      </w:r>
      <w:r>
        <w:rPr>
          <w:rFonts w:hint="eastAsia" w:eastAsia="仿宋_GB2312"/>
          <w:color w:val="000000"/>
          <w:sz w:val="32"/>
          <w:szCs w:val="32"/>
        </w:rPr>
        <w:t>事业单位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个，分别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新县重大建设项目服务中心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、新县营商环境服务中心、资源节约与环境保护中心和价格认证中心，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财务均未单独核算。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重点拟订和组织实施全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国民经济和社会发展战略、总体规划、年度计划，完善规划制度，精简规划数量，提高规划质量。强化宏观经济和社会发展的预测预警和信息引导，搞好国民经济综合平衡，增强宏观调控的前瞻性、针对性、协同性，协调解决经济运行中的重大问题。深化价格改革，做好价格总水平调控，健全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场供求的定价机制。深入推进简政放权，全面实施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场准入负面清单制度；深化投融资体制改革，最大限度减少项目审批、核准范围；加快推进政府监管和公共信用信息共享；进一步减少政府对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场资源的直接配置，最大限度减少政府对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场活动的直接干预，提高资源配置效率和公平性，激发各类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场主体活力</w:t>
      </w:r>
      <w:r>
        <w:rPr>
          <w:rFonts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发改委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51人，其中：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正科级实职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人，副科级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实职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人，主任科员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人，副主任科员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人，工勤人员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，一般人员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26人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离退休人员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人（其中离休人员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default" w:ascii="仿宋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发改委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年度承担的主要工作任务：</w:t>
      </w:r>
      <w:r>
        <w:rPr>
          <w:rFonts w:eastAsia="仿宋_GB2312"/>
          <w:color w:val="auto"/>
          <w:sz w:val="32"/>
          <w:szCs w:val="32"/>
        </w:rPr>
        <w:t>保障单位正常运转，服务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全县经济社会发展。</w:t>
      </w:r>
      <w:r>
        <w:rPr>
          <w:rFonts w:hint="eastAsia" w:ascii="仿宋_GB2312" w:eastAsia="仿宋_GB2312"/>
          <w:color w:val="auto"/>
          <w:sz w:val="32"/>
          <w:szCs w:val="32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保障全县经济社会平稳健康发展</w:t>
      </w:r>
      <w:r>
        <w:rPr>
          <w:rFonts w:hint="eastAsia" w:ascii="仿宋_GB2312" w:eastAsia="仿宋_GB2312"/>
          <w:color w:val="auto"/>
          <w:sz w:val="32"/>
          <w:szCs w:val="32"/>
        </w:rPr>
        <w:t>。二是抓好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固定资产投资和重大项目建设</w:t>
      </w:r>
      <w:r>
        <w:rPr>
          <w:rFonts w:hint="eastAsia" w:ascii="仿宋_GB2312" w:eastAsia="仿宋_GB2312"/>
          <w:color w:val="auto"/>
          <w:sz w:val="32"/>
          <w:szCs w:val="32"/>
        </w:rPr>
        <w:t>。三是积极争取项目，结合上级投资政策积极跑项争资、招商引资。四是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积极推进经济体制改革</w:t>
      </w:r>
      <w:r>
        <w:rPr>
          <w:rFonts w:hint="eastAsia" w:ascii="仿宋_GB2312" w:eastAsia="仿宋_GB2312"/>
          <w:color w:val="auto"/>
          <w:sz w:val="32"/>
          <w:szCs w:val="32"/>
        </w:rPr>
        <w:t>。五是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积极推进乡村振兴工作。六是</w:t>
      </w:r>
      <w:r>
        <w:rPr>
          <w:rFonts w:hint="eastAsia" w:ascii="仿宋_GB2312" w:eastAsia="仿宋_GB2312"/>
          <w:color w:val="auto"/>
          <w:sz w:val="32"/>
          <w:szCs w:val="32"/>
        </w:rPr>
        <w:t>发展清洁能源，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积极推进</w:t>
      </w:r>
      <w:r>
        <w:rPr>
          <w:rFonts w:hint="eastAsia" w:ascii="仿宋_GB2312" w:eastAsia="仿宋_GB2312"/>
          <w:color w:val="auto"/>
          <w:sz w:val="32"/>
          <w:szCs w:val="32"/>
        </w:rPr>
        <w:t>风电、碳交易试点等清洁能源的开发利用。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是加快推进新型城镇化建设。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是加快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推进社会事业和服务业发展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</w:rPr>
        <w:t>是积极推进我县社会信用体系建设。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color w:val="auto"/>
          <w:sz w:val="32"/>
          <w:szCs w:val="32"/>
        </w:rPr>
        <w:t>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做好全县行政事业性收费机、政府定价管理的经营服务性收费、公益公益性管理工作。十一是做好价格成本监审、成本调查及价格认定等工作。十二是做好优化营商环境</w:t>
      </w:r>
      <w:r>
        <w:rPr>
          <w:rFonts w:hint="eastAsia" w:ascii="仿宋_GB2312" w:eastAsia="仿宋_GB2312"/>
          <w:color w:val="auto"/>
          <w:sz w:val="32"/>
          <w:szCs w:val="32"/>
        </w:rPr>
        <w:t>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发改委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汇总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预算，所有下属单位均未独立核算。包括局机关本级预算和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属单位预算，具体是：</w:t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eastAsia="仿宋_GB2312"/>
          <w:color w:val="000000"/>
          <w:sz w:val="32"/>
          <w:szCs w:val="32"/>
        </w:rPr>
        <w:t>新县发展和改革委员会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本级。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522.94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522.94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31.14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5.62%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减少，人员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减少，压缩办公经费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522.94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522.94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522.94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522.94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522.94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522.94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31.14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5.62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减少，人员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减少，压缩办公经费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522.94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522.94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100%；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</w:t>
      </w:r>
      <w:r>
        <w:rPr>
          <w:rFonts w:hint="eastAsia" w:eastAsia="仿宋_GB2312"/>
          <w:color w:val="000000"/>
          <w:kern w:val="0"/>
          <w:sz w:val="32"/>
          <w:szCs w:val="32"/>
        </w:rPr>
        <w:t>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399.26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10.84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112.84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522.94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399.26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10.84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112.84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399.26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206.18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2.42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32.92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10.61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13.71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20.58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8.82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67.77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32.51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，其他工资福利支出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3.74万元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10.84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8.39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2.45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112.84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9.68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5.49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2.63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25.04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培训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持平的原因为：机构改革后我单位新增了部分业务，但根据规定“三公”经费逐年递减，严格控制公务接待费支出，所以2021年“三公”经费并未增加，与上年持平。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与上年持平，持平的原因为：机构改革后我单位新增了部分业务，但根据规定“三公”经费逐年递减，严格控制公务接待费支出，所以公务接待经费并未增加，与上年持平；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与上年持平，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持平的原因为：本单位参加了车改，公务用车被收回，无公车运行维护费。因公出国（境）费0万元，与上年持平，无变动。</w:t>
      </w:r>
      <w:r>
        <w:rPr>
          <w:rFonts w:eastAsia="仿宋_GB2312"/>
          <w:color w:val="000000"/>
          <w:spacing w:val="-1"/>
          <w:kern w:val="0"/>
          <w:sz w:val="32"/>
          <w:szCs w:val="32"/>
          <w:highlight w:val="none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与上年持平，无</w:t>
      </w:r>
      <w:r>
        <w:rPr>
          <w:rFonts w:eastAsia="仿宋_GB2312"/>
          <w:color w:val="000000"/>
          <w:spacing w:val="-1"/>
          <w:kern w:val="0"/>
          <w:sz w:val="32"/>
          <w:szCs w:val="32"/>
          <w:highlight w:val="none"/>
        </w:rPr>
        <w:t>因公出国（境）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highlight w:val="none"/>
          <w:lang w:eastAsia="zh-CN"/>
        </w:rPr>
        <w:t>情况。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与上年持平，持平的原因为：机构改革后我单位新增了部分业务，但根据规定“三公”经费逐年递减，严格控制公务接待费支出，所以2021年“三公”经费并未增加，与上年持平。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具体支出情况如下：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  <w:highlight w:val="none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  <w:highlight w:val="none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持平的原因为：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本单位历年来无因公出国（境）费用。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2、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highlight w:val="none"/>
        </w:rPr>
        <w:t>，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比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，与上年持平，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持平的原因为：本单位参加了车改，公务用车被收回，无公车运行维护费。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公务用车购置费为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  <w:highlight w:val="none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  <w:highlight w:val="none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。主要用于各类公务接待支出。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持平的原因为：机构改革后我单位新增了部分业务，但根据规定“三公”经费逐年递减，严格控制公务接待费支出，所以2021年“三公”经费并未增加，与上年持平。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  <w:highlight w:val="none"/>
        </w:rPr>
      </w:pPr>
      <w:r>
        <w:rPr>
          <w:rFonts w:ascii="楷体_GB2312" w:eastAsia="楷体_GB2312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  <w:highlight w:val="none"/>
        </w:rPr>
        <w:t>八</w:t>
      </w:r>
      <w:r>
        <w:rPr>
          <w:rFonts w:ascii="楷体_GB2312" w:eastAsia="楷体_GB2312"/>
          <w:b/>
          <w:color w:val="000000"/>
          <w:sz w:val="32"/>
          <w:szCs w:val="32"/>
          <w:highlight w:val="none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  <w:highlight w:val="none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  <w:highlight w:val="none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  <w:highlight w:val="none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  <w:highlight w:val="none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发改委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预算数据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  <w:highlight w:val="none"/>
        </w:rPr>
      </w:pPr>
      <w:r>
        <w:rPr>
          <w:rFonts w:ascii="楷体_GB2312" w:eastAsia="楷体_GB2312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  <w:highlight w:val="none"/>
        </w:rPr>
        <w:t>九</w:t>
      </w:r>
      <w:r>
        <w:rPr>
          <w:rFonts w:ascii="楷体_GB2312" w:eastAsia="楷体_GB2312"/>
          <w:b/>
          <w:color w:val="000000"/>
          <w:sz w:val="32"/>
          <w:szCs w:val="32"/>
          <w:highlight w:val="none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  <w:highlight w:val="none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  <w:highlight w:val="none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发改委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其他重要事项情况说明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发改委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112.84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2020年减少0.44万元，下降0.4%，下降原因：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厉行节俭，降低机关运行成本。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发改委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2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widowControl/>
        <w:numPr>
          <w:ilvl w:val="0"/>
          <w:numId w:val="2"/>
        </w:numPr>
        <w:spacing w:line="600" w:lineRule="exact"/>
        <w:ind w:left="0" w:leftChars="0" w:firstLine="64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国有资产占用情况说明。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2020年期末，新县发改委共有车辆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辆、一般执法执勤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5C479D2"/>
    <w:multiLevelType w:val="singleLevel"/>
    <w:tmpl w:val="65C479D2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Tg4YjczOWI5ZGNlMDJkNWE4MDYwNjYyZTNmZjU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8863E9F"/>
    <w:rsid w:val="09AD7FDD"/>
    <w:rsid w:val="0A612137"/>
    <w:rsid w:val="0F9B7EEF"/>
    <w:rsid w:val="0FDB190C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3163B12"/>
    <w:rsid w:val="23212623"/>
    <w:rsid w:val="282961A7"/>
    <w:rsid w:val="2AC90564"/>
    <w:rsid w:val="30726FE8"/>
    <w:rsid w:val="30765ABF"/>
    <w:rsid w:val="33C05CD4"/>
    <w:rsid w:val="36D854BD"/>
    <w:rsid w:val="38977CFD"/>
    <w:rsid w:val="3C726016"/>
    <w:rsid w:val="3CA836C3"/>
    <w:rsid w:val="3CED4AB5"/>
    <w:rsid w:val="3D8B1F1E"/>
    <w:rsid w:val="3E750556"/>
    <w:rsid w:val="3F592B17"/>
    <w:rsid w:val="45602CF5"/>
    <w:rsid w:val="464C0751"/>
    <w:rsid w:val="46931BC1"/>
    <w:rsid w:val="46EC3467"/>
    <w:rsid w:val="46FF3E4D"/>
    <w:rsid w:val="474343A9"/>
    <w:rsid w:val="484251A6"/>
    <w:rsid w:val="48B56278"/>
    <w:rsid w:val="4A7375D3"/>
    <w:rsid w:val="4A8B215C"/>
    <w:rsid w:val="4D22049D"/>
    <w:rsid w:val="4E0E7D22"/>
    <w:rsid w:val="4FEB0E79"/>
    <w:rsid w:val="515732C6"/>
    <w:rsid w:val="5285190A"/>
    <w:rsid w:val="529F0B53"/>
    <w:rsid w:val="52C03031"/>
    <w:rsid w:val="53AE1BA4"/>
    <w:rsid w:val="54CC0087"/>
    <w:rsid w:val="555E040B"/>
    <w:rsid w:val="57D86DBC"/>
    <w:rsid w:val="5A3F3ED5"/>
    <w:rsid w:val="5AA500EE"/>
    <w:rsid w:val="5C215167"/>
    <w:rsid w:val="5DCE2ABB"/>
    <w:rsid w:val="5E631320"/>
    <w:rsid w:val="5EC76B76"/>
    <w:rsid w:val="5ECB5A06"/>
    <w:rsid w:val="5F585608"/>
    <w:rsid w:val="62452ADD"/>
    <w:rsid w:val="63E9331F"/>
    <w:rsid w:val="654518D0"/>
    <w:rsid w:val="655F5EA9"/>
    <w:rsid w:val="666D1AAF"/>
    <w:rsid w:val="6683072B"/>
    <w:rsid w:val="692A5AEE"/>
    <w:rsid w:val="6E26060E"/>
    <w:rsid w:val="6F7F1AA3"/>
    <w:rsid w:val="76EC5AE4"/>
    <w:rsid w:val="775E1983"/>
    <w:rsid w:val="78D6471C"/>
    <w:rsid w:val="79F71B1B"/>
    <w:rsid w:val="7AAB2D44"/>
    <w:rsid w:val="7BC65872"/>
    <w:rsid w:val="7BFC5A1B"/>
    <w:rsid w:val="7CA26406"/>
    <w:rsid w:val="7D324318"/>
    <w:rsid w:val="7EC45FD4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3633</Words>
  <Characters>3960</Characters>
  <Lines>22</Lines>
  <Paragraphs>6</Paragraphs>
  <TotalTime>0</TotalTime>
  <ScaleCrop>false</ScaleCrop>
  <LinksUpToDate>false</LinksUpToDate>
  <CharactersWithSpaces>3969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AA</cp:lastModifiedBy>
  <cp:lastPrinted>2020-07-07T08:04:00Z</cp:lastPrinted>
  <dcterms:modified xsi:type="dcterms:W3CDTF">2022-09-13T03:21:51Z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66C61FE59FF945EF9AE7A3427682F228</vt:lpwstr>
  </property>
</Properties>
</file>