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eastAsia="zh-CN"/>
        </w:rPr>
        <w:t>信访局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单位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新县</w:t>
      </w:r>
      <w:r>
        <w:rPr>
          <w:rFonts w:hint="eastAsia" w:ascii="仿宋_GB2312" w:hAnsi="文星标宋" w:eastAsia="仿宋_GB2312"/>
          <w:sz w:val="32"/>
          <w:szCs w:val="32"/>
        </w:rPr>
        <w:t>信访局是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文星标宋" w:eastAsia="仿宋_GB2312"/>
          <w:sz w:val="32"/>
          <w:szCs w:val="32"/>
        </w:rPr>
        <w:t>政府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工作部门，内设办公室、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/>
        </w:rPr>
        <w:t>办信与人民建议征集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 w:eastAsia="zh-CN"/>
        </w:rPr>
        <w:t>室、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/>
        </w:rPr>
        <w:t>接访与法律咨询服务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 w:eastAsia="zh-CN"/>
        </w:rPr>
        <w:t>室、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/>
        </w:rPr>
        <w:t>协调联络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 w:eastAsia="zh-CN"/>
        </w:rPr>
        <w:t>室、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/>
        </w:rPr>
        <w:t>复查复核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GB" w:eastAsia="zh-CN"/>
        </w:rPr>
        <w:t>办公室</w:t>
      </w:r>
      <w:r>
        <w:rPr>
          <w:rFonts w:hint="eastAsia" w:ascii="仿宋_GB2312" w:hAnsi="文星标宋" w:eastAsia="仿宋_GB2312"/>
          <w:b w:val="0"/>
          <w:bCs w:val="0"/>
          <w:sz w:val="32"/>
          <w:szCs w:val="32"/>
          <w:lang w:val="en-US" w:eastAsia="zh-CN"/>
        </w:rPr>
        <w:t>6个股室，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另下设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1个事业单位（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新县人民群众来访接待中心）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贯彻落实党中央关于信访工作的方针政策和决策部署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协调指导全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信访工作，</w:t>
      </w:r>
      <w:r>
        <w:rPr>
          <w:rFonts w:hint="eastAsia" w:ascii="仿宋_GB2312" w:hAnsi="文星标宋" w:eastAsia="仿宋_GB2312"/>
          <w:sz w:val="32"/>
          <w:szCs w:val="32"/>
        </w:rPr>
        <w:t>切实依法及时就地解决群众合理诉求</w:t>
      </w:r>
      <w:r>
        <w:rPr>
          <w:rFonts w:hint="eastAsia" w:ascii="仿宋_GB2312" w:hAnsi="文星标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受理人民群众给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文星标宋" w:eastAsia="仿宋_GB2312"/>
          <w:sz w:val="32"/>
          <w:szCs w:val="32"/>
        </w:rPr>
        <w:t>政府及领导同志的来信来电</w:t>
      </w:r>
      <w:r>
        <w:rPr>
          <w:rFonts w:hint="eastAsia" w:ascii="仿宋_GB2312" w:eastAsia="仿宋_GB2312"/>
          <w:sz w:val="32"/>
          <w:szCs w:val="32"/>
        </w:rPr>
        <w:t>来访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和网上信访、民生手机短信，</w:t>
      </w:r>
      <w:r>
        <w:rPr>
          <w:rFonts w:hint="eastAsia" w:ascii="仿宋_GB2312" w:hAnsi="文星标宋" w:eastAsia="仿宋_GB2312"/>
          <w:sz w:val="32"/>
          <w:szCs w:val="32"/>
        </w:rPr>
        <w:t>承办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上级党和</w:t>
      </w:r>
      <w:r>
        <w:rPr>
          <w:rFonts w:hint="eastAsia" w:ascii="仿宋_GB2312" w:hAnsi="文星标宋" w:eastAsia="仿宋_GB2312"/>
          <w:sz w:val="32"/>
          <w:szCs w:val="32"/>
        </w:rPr>
        <w:t>国家机关向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文星标宋" w:eastAsia="仿宋_GB2312"/>
          <w:sz w:val="32"/>
          <w:szCs w:val="32"/>
        </w:rPr>
        <w:t>委、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文星标宋" w:eastAsia="仿宋_GB2312"/>
          <w:sz w:val="32"/>
          <w:szCs w:val="32"/>
        </w:rPr>
        <w:t>政府交办的信访事项，</w:t>
      </w:r>
      <w:r>
        <w:rPr>
          <w:rFonts w:hint="eastAsia" w:ascii="仿宋_GB2312" w:eastAsia="仿宋_GB2312"/>
          <w:sz w:val="32"/>
          <w:szCs w:val="32"/>
        </w:rPr>
        <w:t>协调处理信访突出问题和突发信访事件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负责重要时期的信访稳定工作</w:t>
      </w:r>
      <w:r>
        <w:rPr>
          <w:rFonts w:hint="eastAsia" w:ascii="仿宋_GB2312" w:eastAsia="仿宋_GB2312"/>
          <w:sz w:val="32"/>
          <w:szCs w:val="32"/>
          <w:lang w:eastAsia="zh-CN"/>
        </w:rPr>
        <w:t>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新县信访局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现有编制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24人，其中：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行政编制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人，事业编制14人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；截至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2021年初，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实际在职人员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，离退休人员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习近平关于加强和改进信访工作重要思想为指导，以人民为中心，以创建“人民满意窗口”为契机，集中力量，综合施策，重点化解信访突出问题、疑难复杂信访事项和信访积案，切实解决群众合理诉求。做到“诉求合理的解决问题到位，诉求无理的思想教育到位，生活困难的帮扶救助到位，行为违法的依法处理”，实现“小事不出村，大事不出乡，难事不出县，矛盾不上行”，切实提升基层化解矛盾纠纷的能力和水平，巩固提升全国信访工作“三无”县的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成果，持续创建全国信访工作“三好”示范县。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、部门预算单位构成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新县信访局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部门机关本级；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新县信访局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部门收支预算为本级预算，无下属预算单位。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308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308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3.6%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/>
          <w:color w:val="000000"/>
          <w:kern w:val="0"/>
          <w:sz w:val="32"/>
          <w:szCs w:val="32"/>
        </w:rPr>
        <w:t xml:space="preserve">增加。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308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308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308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303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308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308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3.6%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/>
          <w:color w:val="000000"/>
          <w:kern w:val="0"/>
          <w:sz w:val="32"/>
          <w:szCs w:val="32"/>
        </w:rPr>
        <w:t>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308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98.3%。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1.7%</w:t>
      </w:r>
      <w:r>
        <w:rPr>
          <w:rFonts w:hint="eastAsia" w:eastAsia="仿宋_GB2312"/>
          <w:color w:val="000000"/>
          <w:kern w:val="0"/>
          <w:sz w:val="32"/>
          <w:szCs w:val="32"/>
        </w:rPr>
        <w:t>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56%，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0.1%，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137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42.2%，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1.7%，</w:t>
      </w:r>
      <w:r>
        <w:rPr>
          <w:rFonts w:hint="eastAsia" w:eastAsia="仿宋_GB2312"/>
          <w:color w:val="000000"/>
          <w:kern w:val="0"/>
          <w:sz w:val="32"/>
          <w:szCs w:val="32"/>
        </w:rPr>
        <w:t>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137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</w:t>
      </w:r>
      <w:r>
        <w:rPr>
          <w:rFonts w:hint="eastAsia" w:eastAsia="仿宋_GB2312"/>
          <w:color w:val="000000"/>
          <w:kern w:val="0"/>
          <w:sz w:val="32"/>
          <w:szCs w:val="32"/>
        </w:rPr>
        <w:t>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持平；主要原因为：加强管理，节约开支。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持平；主要原因为：加强管理，节约开支。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信访局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信访局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信访局</w:t>
      </w:r>
      <w:r>
        <w:rPr>
          <w:rFonts w:hint="eastAsia" w:eastAsia="仿宋_GB2312"/>
          <w:color w:val="000000"/>
          <w:kern w:val="0"/>
          <w:sz w:val="32"/>
          <w:szCs w:val="32"/>
        </w:rPr>
        <w:t>2021年机关运行经费支出预算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万元，主要保障机构正常运转及正常履职需要，比2020年减少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%，主要原因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：加强管理，节约开支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信访局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信访局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kZWNkNTU4OGM0NmE4NTU5YWI4OWIzNTBkMz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9ED69F7"/>
    <w:rsid w:val="0A612137"/>
    <w:rsid w:val="0F9B7EEF"/>
    <w:rsid w:val="0FDB190C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1DB93603"/>
    <w:rsid w:val="2277732E"/>
    <w:rsid w:val="23163B12"/>
    <w:rsid w:val="23212623"/>
    <w:rsid w:val="282961A7"/>
    <w:rsid w:val="2AC90564"/>
    <w:rsid w:val="2DC35C30"/>
    <w:rsid w:val="2E2F16B4"/>
    <w:rsid w:val="30765ABF"/>
    <w:rsid w:val="33C05CD4"/>
    <w:rsid w:val="38977CFD"/>
    <w:rsid w:val="3C726016"/>
    <w:rsid w:val="3CA836C3"/>
    <w:rsid w:val="3CED4AB5"/>
    <w:rsid w:val="3D8B1F1E"/>
    <w:rsid w:val="3E750556"/>
    <w:rsid w:val="3F592B17"/>
    <w:rsid w:val="45602CF5"/>
    <w:rsid w:val="46931BC1"/>
    <w:rsid w:val="46FF3E4D"/>
    <w:rsid w:val="474343A9"/>
    <w:rsid w:val="484251A6"/>
    <w:rsid w:val="48B56278"/>
    <w:rsid w:val="49692BA2"/>
    <w:rsid w:val="4A7375D3"/>
    <w:rsid w:val="4A8B215C"/>
    <w:rsid w:val="4D22049D"/>
    <w:rsid w:val="4E0E7D22"/>
    <w:rsid w:val="4FEB0E79"/>
    <w:rsid w:val="5285190A"/>
    <w:rsid w:val="529F0B53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54518D0"/>
    <w:rsid w:val="655F5EA9"/>
    <w:rsid w:val="666D1AAF"/>
    <w:rsid w:val="6683072B"/>
    <w:rsid w:val="692A5AEE"/>
    <w:rsid w:val="6E26060E"/>
    <w:rsid w:val="6F7F1AA3"/>
    <w:rsid w:val="74C61C5E"/>
    <w:rsid w:val="76EC5AE4"/>
    <w:rsid w:val="775E1983"/>
    <w:rsid w:val="78D6471C"/>
    <w:rsid w:val="79F71B1B"/>
    <w:rsid w:val="7AAB2D44"/>
    <w:rsid w:val="7BC65872"/>
    <w:rsid w:val="7F1E3DC4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after="120" w:line="360" w:lineRule="auto"/>
      <w:ind w:firstLine="567" w:firstLineChars="0"/>
    </w:pPr>
    <w:rPr>
      <w:szCs w:val="2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widowControl w:val="0"/>
      <w:ind w:firstLine="100" w:firstLineChars="100"/>
    </w:pPr>
    <w:rPr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3007</Words>
  <Characters>3209</Characters>
  <Lines>22</Lines>
  <Paragraphs>6</Paragraphs>
  <TotalTime>1</TotalTime>
  <ScaleCrop>false</ScaleCrop>
  <LinksUpToDate>false</LinksUpToDate>
  <CharactersWithSpaces>3253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2020-07-07T08:04:00Z</cp:lastPrinted>
  <dcterms:modified xsi:type="dcterms:W3CDTF">2023-06-14T01:37:38Z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66C61FE59FF945EF9AE7A3427682F228</vt:lpwstr>
  </property>
</Properties>
</file>