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新县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  <w:lang w:val="en-US" w:eastAsia="zh-CN"/>
        </w:rPr>
        <w:t>政务服务和大数据管理局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202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年部门预算收支情况说明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 w:val="0"/>
          <w:bCs w:val="0"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 w:val="0"/>
          <w:bCs w:val="0"/>
          <w:color w:val="000000"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、部门基本情况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（三）人员情况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年度部门预算情况说明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 名词解释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年度部门预算表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年单位部门预算收入总表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03、202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04、202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05、202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年单位部门预算财政拨款一般公共预算支出总表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06、202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单位部门预算财政拨款一般公共预算基本支出总表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07-1、202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年单位财政拨款“三公”经费支出预算明细表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08、202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年单位财政拨款政府性基金预算支出预算明细表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09、202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年单位政府采购支出预算明细表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年预算单位国有资本经营收支预算表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新县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政务服务和大数据管理局机关内设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办公室、电子政务股、审批改革协调股（政务服务环境股）、数据资源股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个股室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和县大数据发展中心、智慧新县建设服务中心2个所属股级事业单位；局管理的正科级事业单位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新县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政务服务中心，实行财务独立核算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eastAsia="仿宋_GB2312"/>
          <w:color w:val="000000"/>
          <w:sz w:val="32"/>
          <w:szCs w:val="32"/>
        </w:rPr>
        <w:t>负责拟订全县政务服务、政务信息化、数据管理的相关地方标准和管理制度并组织实施。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eastAsia="仿宋_GB2312"/>
          <w:color w:val="000000"/>
          <w:sz w:val="32"/>
          <w:szCs w:val="32"/>
        </w:rPr>
        <w:t>负责拟订全县“数字政府”建设中长期规划和年度建设计划并组织实施。统筹智慧城市建设工作。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3、</w:t>
      </w:r>
      <w:r>
        <w:rPr>
          <w:rFonts w:hint="eastAsia" w:eastAsia="仿宋_GB2312"/>
          <w:color w:val="000000"/>
          <w:sz w:val="32"/>
          <w:szCs w:val="32"/>
        </w:rPr>
        <w:t>负责全县行政审批改革、审批服务便民化相关工作，负责全县政务服务事项目录管理和标准化建设。统筹推进全县“一网通办”前提下“最多跑一次”改革工作。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4、</w:t>
      </w:r>
      <w:r>
        <w:rPr>
          <w:rFonts w:hint="eastAsia" w:eastAsia="仿宋_GB2312"/>
          <w:color w:val="000000"/>
          <w:spacing w:val="-11"/>
          <w:sz w:val="32"/>
          <w:szCs w:val="32"/>
        </w:rPr>
        <w:t>统筹县级政务信息系统建设规划，提出项目建设具体意见。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5、</w:t>
      </w:r>
      <w:r>
        <w:rPr>
          <w:rFonts w:hint="eastAsia" w:eastAsia="仿宋_GB2312"/>
          <w:color w:val="000000"/>
          <w:sz w:val="32"/>
          <w:szCs w:val="32"/>
        </w:rPr>
        <w:t>统筹管理政务云平台、政务服务平台、金融服务共享平台和电子政务网络等。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6、</w:t>
      </w:r>
      <w:r>
        <w:rPr>
          <w:rFonts w:hint="eastAsia" w:eastAsia="仿宋_GB2312"/>
          <w:color w:val="000000"/>
          <w:sz w:val="32"/>
          <w:szCs w:val="32"/>
        </w:rPr>
        <w:t>统筹推进全县政务服务和数据管理体系建设，指导各级各部门政务服务和数据管理机构开展工作。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7、</w:t>
      </w:r>
      <w:r>
        <w:rPr>
          <w:rFonts w:hint="eastAsia" w:eastAsia="仿宋_GB2312"/>
          <w:color w:val="000000"/>
          <w:sz w:val="32"/>
          <w:szCs w:val="32"/>
        </w:rPr>
        <w:t>统筹全县数据资源管理和建设工作。组织推动大数据研究、开发、应用和对外合作交流。承担大数据人才队伍建设工作。协调服务大数据产业发展。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8、</w:t>
      </w:r>
      <w:r>
        <w:rPr>
          <w:rFonts w:hint="eastAsia" w:eastAsia="仿宋_GB2312"/>
          <w:color w:val="000000"/>
          <w:sz w:val="32"/>
          <w:szCs w:val="32"/>
        </w:rPr>
        <w:t>统筹全县电子政务基础设施、信息系统、数据资源等安全保障工作，负责“数字政府”平台安全技术和运营体系建设，监督管理县级政务信息系统和数据库。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9、</w:t>
      </w:r>
      <w:r>
        <w:rPr>
          <w:rFonts w:hint="eastAsia" w:eastAsia="仿宋_GB2312"/>
          <w:color w:val="000000"/>
          <w:sz w:val="32"/>
          <w:szCs w:val="32"/>
        </w:rPr>
        <w:t>组织协调全县政务服务环境优化和评价工作，负责县级政务服务质量的监督管理。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10、</w:t>
      </w:r>
      <w:r>
        <w:rPr>
          <w:rFonts w:hint="eastAsia" w:eastAsia="仿宋_GB2312"/>
          <w:color w:val="000000"/>
          <w:sz w:val="32"/>
          <w:szCs w:val="32"/>
        </w:rPr>
        <w:t>完成县委、县政府交办的其他任务。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政务数据局及所属管理单位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现有在职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33人，其中：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正科级实职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人，副科级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实职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人，主任科员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人，副主任科员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一般干部22人，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工勤人员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离退休人员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人（其中离休人员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人），共计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认真贯彻落实上级政务服务和大数据管理各项决策部署，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持续深化“放管服”改革，扎实推进“一网通办”前提下“最多跑一次”改革，推动审批服务提质增效，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促进营商环境持续改善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；统筹做好全县政务服务、公共资源交易、政务信息化、大数据管理、行政审批改革和审批服务便民化等相关工作；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认真落实全县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巩固拓展脱贫攻坚成果同乡村振兴有效衔接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总体部署，捆绑驻村帮扶责任，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办好惠民实事，巩固提升脱贫攻坚成果；加强财务预算执行的分析，完善财务预算的精细化、科学化管理，完成好财务预算管理各项工作。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</w:t>
      </w:r>
      <w:bookmarkStart w:id="0" w:name="_GoBack"/>
      <w:bookmarkEnd w:id="0"/>
      <w:r>
        <w:rPr>
          <w:rFonts w:ascii="黑体" w:hAnsi="黑体" w:eastAsia="黑体" w:cs="宋体"/>
          <w:bCs/>
          <w:kern w:val="0"/>
          <w:sz w:val="32"/>
          <w:szCs w:val="32"/>
        </w:rPr>
        <w:t>部门预算单位构成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根据部门预算管理有关规定，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本预算为汇总预算，包括局机关本级预算和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个局属单位</w:t>
      </w:r>
      <w:r>
        <w:rPr>
          <w:rFonts w:ascii="仿宋" w:hAnsi="仿宋" w:eastAsia="仿宋" w:cs="宋体"/>
          <w:kern w:val="0"/>
          <w:sz w:val="32"/>
          <w:szCs w:val="32"/>
        </w:rPr>
        <w:t>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，具体是：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政务服务和大数据管理局</w:t>
      </w:r>
      <w:r>
        <w:rPr>
          <w:rFonts w:hint="eastAsia" w:ascii="仿宋" w:hAnsi="仿宋" w:eastAsia="仿宋" w:cs="宋体"/>
          <w:kern w:val="0"/>
          <w:sz w:val="32"/>
          <w:szCs w:val="32"/>
        </w:rPr>
        <w:t>部门机关本级；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新鲜政务服务中心</w:t>
      </w:r>
      <w:r>
        <w:rPr>
          <w:rFonts w:hint="eastAsia" w:ascii="仿宋" w:hAnsi="仿宋" w:eastAsia="仿宋" w:cs="宋体"/>
          <w:kern w:val="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21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</w:rPr>
        <w:t>年新县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政务服务和大数据管理局</w:t>
      </w:r>
      <w:r>
        <w:rPr>
          <w:rFonts w:hint="eastAsia" w:eastAsia="仿宋_GB2312"/>
          <w:color w:val="000000"/>
          <w:kern w:val="0"/>
          <w:sz w:val="32"/>
          <w:szCs w:val="32"/>
        </w:rPr>
        <w:t>部门收支预算为汇总预算，含所有下属单位，所有下属单位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为</w:t>
      </w:r>
      <w:r>
        <w:rPr>
          <w:rFonts w:hint="eastAsia" w:eastAsia="仿宋_GB2312"/>
          <w:color w:val="000000"/>
          <w:kern w:val="0"/>
          <w:sz w:val="32"/>
          <w:szCs w:val="32"/>
        </w:rPr>
        <w:t>独立核算。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（一）收支预算总体说明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444.1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444.1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增加151.5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增加52%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1、人员增加，人员经费增加；2、专项经费增加，其中增加了数据维护费95万元，物业服务费20万元。 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444.1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444.1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国有资本经营预算收入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，部门结余资金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444.1</w:t>
      </w:r>
      <w:r>
        <w:rPr>
          <w:rFonts w:hint="eastAsia" w:eastAsia="仿宋_GB2312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444.1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left="105" w:leftChars="50" w:firstLine="480" w:firstLineChars="150"/>
        <w:jc w:val="left"/>
        <w:rPr>
          <w:rFonts w:hint="eastAsia" w:eastAsia="仿宋_GB2312"/>
          <w:color w:val="FF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444.1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，财政拨款支出预算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444.1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与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151.5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52</w:t>
      </w:r>
      <w:r>
        <w:rPr>
          <w:rFonts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1、人员增加，人员经费增加；2、专项经费增加，其中增加了数据维护费95万元，物业服务费20万元。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444.1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444.1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100%，</w:t>
      </w:r>
      <w:r>
        <w:rPr>
          <w:rFonts w:hint="eastAsia" w:eastAsia="仿宋_GB2312"/>
          <w:color w:val="000000"/>
          <w:kern w:val="0"/>
          <w:sz w:val="32"/>
          <w:szCs w:val="32"/>
        </w:rPr>
        <w:t>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万元。基本支出中工资福利支出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219.5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49.4%，</w:t>
      </w:r>
      <w:r>
        <w:rPr>
          <w:rFonts w:hint="eastAsia" w:eastAsia="仿宋_GB2312"/>
          <w:color w:val="000000"/>
          <w:kern w:val="0"/>
          <w:sz w:val="32"/>
          <w:szCs w:val="32"/>
        </w:rPr>
        <w:t>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1.4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0.3%，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223.2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50.3%.</w:t>
      </w:r>
      <w:r>
        <w:rPr>
          <w:rFonts w:hint="eastAsia" w:eastAsia="仿宋_GB2312"/>
          <w:color w:val="000000"/>
          <w:kern w:val="0"/>
          <w:sz w:val="32"/>
          <w:szCs w:val="32"/>
        </w:rPr>
        <w:t>项目支出中房屋建筑物购建支出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万元，设备购置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万元，基础设施建设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万元，大型修缮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万元，其他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444.1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219.5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1.4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223.2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219.5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112.2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11.3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6.3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4.3</w:t>
      </w:r>
      <w:r>
        <w:rPr>
          <w:rFonts w:hint="eastAsia" w:eastAsia="仿宋_GB2312"/>
          <w:color w:val="000000"/>
          <w:sz w:val="32"/>
          <w:szCs w:val="32"/>
        </w:rPr>
        <w:t>万元、基础性绩效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eastAsia="仿宋_GB2312"/>
          <w:color w:val="000000"/>
          <w:sz w:val="32"/>
          <w:szCs w:val="32"/>
        </w:rPr>
        <w:t>万元、奖励性绩效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8.1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其他工资福利支出（邮电费）2.2万元，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38</w:t>
      </w:r>
      <w:r>
        <w:rPr>
          <w:rFonts w:hint="eastAsia" w:eastAsia="仿宋_GB2312"/>
          <w:color w:val="000000"/>
          <w:sz w:val="32"/>
          <w:szCs w:val="32"/>
        </w:rPr>
        <w:t>万元、住房公积金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18.1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2、对个人和家庭补助支出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1.4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万元、其他对个人和家庭的补助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223.2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31.9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30.3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2.8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3.8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2.5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6.2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eastAsia="仿宋_GB2312"/>
          <w:color w:val="000000"/>
          <w:sz w:val="32"/>
          <w:szCs w:val="32"/>
        </w:rPr>
        <w:t>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1.2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、公务接待费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103.8</w:t>
      </w:r>
      <w:r>
        <w:rPr>
          <w:rFonts w:hint="eastAsia" w:eastAsia="仿宋_GB2312"/>
          <w:color w:val="000000"/>
          <w:sz w:val="32"/>
          <w:szCs w:val="32"/>
        </w:rPr>
        <w:t>万元、其他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28.7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 xml:space="preserve"> 年“三公”经费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10万</w:t>
      </w:r>
      <w:r>
        <w:rPr>
          <w:rFonts w:eastAsia="仿宋_GB2312"/>
          <w:color w:val="000000"/>
          <w:kern w:val="0"/>
          <w:sz w:val="32"/>
          <w:szCs w:val="32"/>
        </w:rPr>
        <w:t>元</w:t>
      </w:r>
      <w:r>
        <w:rPr>
          <w:rFonts w:hint="eastAsia" w:eastAsia="仿宋_GB2312"/>
          <w:color w:val="000000"/>
          <w:kern w:val="0"/>
          <w:sz w:val="32"/>
          <w:szCs w:val="32"/>
        </w:rPr>
        <w:t>，比上年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75</w:t>
      </w:r>
      <w:r>
        <w:rPr>
          <w:rFonts w:hint="eastAsia" w:eastAsia="仿宋_GB2312"/>
          <w:color w:val="000000"/>
          <w:kern w:val="0"/>
          <w:sz w:val="32"/>
          <w:szCs w:val="32"/>
        </w:rPr>
        <w:t>%，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原因为：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单位业务量扩增，公务接待费相应增加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其中，公务接待费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75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color w:val="000000"/>
          <w:kern w:val="0"/>
          <w:sz w:val="32"/>
          <w:szCs w:val="32"/>
        </w:rPr>
        <w:t>公务车运行维护费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万元，比上年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75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原因为：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单位业务量扩增，公务接待费相应增加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  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费年初预算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运行费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比上年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/</w:t>
      </w:r>
      <w:r>
        <w:rPr>
          <w:rFonts w:hint="eastAsia" w:eastAsia="仿宋_GB2312"/>
          <w:color w:val="000000"/>
          <w:kern w:val="0"/>
          <w:sz w:val="32"/>
          <w:szCs w:val="32"/>
        </w:rPr>
        <w:t>下降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；公务用车购置费为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公务用</w:t>
      </w:r>
      <w:r>
        <w:rPr>
          <w:rFonts w:hint="eastAsia" w:eastAsia="仿宋_GB2312"/>
          <w:color w:val="000000"/>
          <w:spacing w:val="-11"/>
          <w:kern w:val="0"/>
          <w:sz w:val="32"/>
          <w:szCs w:val="32"/>
          <w:lang w:eastAsia="zh-CN"/>
        </w:rPr>
        <w:t>车车</w:t>
      </w:r>
      <w:r>
        <w:rPr>
          <w:rFonts w:hint="eastAsia" w:eastAsia="仿宋_GB2312"/>
          <w:color w:val="000000"/>
          <w:spacing w:val="-11"/>
          <w:kern w:val="0"/>
          <w:sz w:val="32"/>
          <w:szCs w:val="32"/>
          <w:lang w:val="en-US" w:eastAsia="zh-CN"/>
        </w:rPr>
        <w:t>辆为0辆，公车保有量为0辆。</w:t>
      </w:r>
      <w:r>
        <w:rPr>
          <w:rFonts w:eastAsia="仿宋_GB2312"/>
          <w:color w:val="000000"/>
          <w:spacing w:val="-11"/>
          <w:kern w:val="0"/>
          <w:sz w:val="32"/>
          <w:szCs w:val="32"/>
        </w:rPr>
        <w:t>公务用车运行维护费</w:t>
      </w:r>
      <w:r>
        <w:rPr>
          <w:rFonts w:hint="eastAsia" w:eastAsia="仿宋_GB2312"/>
          <w:color w:val="000000"/>
          <w:spacing w:val="-11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1"/>
          <w:kern w:val="0"/>
          <w:sz w:val="32"/>
          <w:szCs w:val="32"/>
        </w:rPr>
        <w:t>。</w:t>
      </w:r>
    </w:p>
    <w:p>
      <w:pPr>
        <w:spacing w:line="600" w:lineRule="exact"/>
        <w:ind w:firstLine="636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</w:rPr>
        <w:t>比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上升75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kern w:val="0"/>
          <w:sz w:val="32"/>
          <w:szCs w:val="32"/>
        </w:rPr>
        <w:t>。主要用于各类公务接待支出。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  <w:lang w:eastAsia="zh-CN"/>
        </w:rPr>
        <w:t>上升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>原因为：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单位业务量扩增，公务接待费相应增加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新县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政务服务和大数据管理局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2020年单位政府采购支出预算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新县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政务服务和大数据管理局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政府采购预算安排 0万元，其中：政府采购货物预算0万元、政府采购工程预算0万元、政府采购服务预算0万元。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新县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政务服务和大数据管理局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444.1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ascii="仿宋" w:hAnsi="仿宋" w:eastAsia="仿宋" w:cs="宋体"/>
          <w:kern w:val="0"/>
          <w:sz w:val="32"/>
          <w:szCs w:val="32"/>
        </w:rPr>
        <w:t>主要保障</w:t>
      </w:r>
      <w:r>
        <w:rPr>
          <w:rFonts w:hint="eastAsia" w:ascii="仿宋" w:hAnsi="仿宋" w:eastAsia="仿宋" w:cs="宋体"/>
          <w:kern w:val="0"/>
          <w:sz w:val="32"/>
          <w:szCs w:val="32"/>
        </w:rPr>
        <w:t>机构</w:t>
      </w:r>
      <w:r>
        <w:rPr>
          <w:rFonts w:ascii="仿宋" w:hAnsi="仿宋" w:eastAsia="仿宋" w:cs="宋体"/>
          <w:kern w:val="0"/>
          <w:sz w:val="32"/>
          <w:szCs w:val="32"/>
        </w:rPr>
        <w:t>正常运转及正常履职需要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，比20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4.5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%，主要原因：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加强管理，节约开支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新县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政务服务和大数据管理局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没有开展项目预算绩效评价。</w:t>
      </w:r>
    </w:p>
    <w:p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</w:rPr>
        <w:t>年，本单位国有资本经营收支预算为零。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4、国有资产占用情况说明。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ascii="仿宋" w:hAnsi="仿宋" w:eastAsia="仿宋" w:cs="宋体"/>
          <w:kern w:val="0"/>
          <w:sz w:val="32"/>
          <w:szCs w:val="32"/>
        </w:rPr>
        <w:t>年期末，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宋体"/>
          <w:kern w:val="0"/>
          <w:sz w:val="32"/>
          <w:szCs w:val="32"/>
        </w:rPr>
        <w:t>部门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</w:t>
      </w:r>
      <w:r>
        <w:rPr>
          <w:rFonts w:ascii="仿宋" w:hAnsi="仿宋" w:eastAsia="仿宋" w:cs="宋体"/>
          <w:kern w:val="0"/>
          <w:sz w:val="32"/>
          <w:szCs w:val="32"/>
        </w:rPr>
        <w:t>；单价50万元以上通用设备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ind w:firstLine="56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1、财政拨款收入：是指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adjustRightInd w:val="0"/>
        <w:snapToGrid w:val="0"/>
        <w:spacing w:line="600" w:lineRule="exact"/>
        <w:ind w:firstLine="56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</w:t>
      </w:r>
      <w:r>
        <w:rPr>
          <w:rFonts w:eastAsia="仿宋_GB2312"/>
          <w:color w:val="000000"/>
          <w:spacing w:val="-11"/>
          <w:kern w:val="0"/>
          <w:sz w:val="32"/>
          <w:szCs w:val="32"/>
        </w:rPr>
        <w:t>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</w:t>
      </w:r>
      <w:r>
        <w:rPr>
          <w:rFonts w:eastAsia="仿宋_GB2312"/>
          <w:color w:val="000000"/>
          <w:spacing w:val="-11"/>
          <w:kern w:val="0"/>
          <w:sz w:val="32"/>
          <w:szCs w:val="32"/>
        </w:rPr>
        <w:t>接待费反映单位按规定开支的各类公务接待（含外宾接待）支出。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644" w:bottom="1440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Y2RkZWNkNTU4OGM0NmE4NTU5YWI4OWIzNTBkMzAifQ=="/>
  </w:docVars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B11122"/>
    <w:rsid w:val="02D77EA0"/>
    <w:rsid w:val="037778A1"/>
    <w:rsid w:val="03EE51CE"/>
    <w:rsid w:val="060851AE"/>
    <w:rsid w:val="06611992"/>
    <w:rsid w:val="07730F80"/>
    <w:rsid w:val="09AD7FDD"/>
    <w:rsid w:val="0A612137"/>
    <w:rsid w:val="0D8A1477"/>
    <w:rsid w:val="0F9B7EEF"/>
    <w:rsid w:val="0FDB190C"/>
    <w:rsid w:val="122B2F69"/>
    <w:rsid w:val="14FF742E"/>
    <w:rsid w:val="16381B6E"/>
    <w:rsid w:val="174732FD"/>
    <w:rsid w:val="1763569E"/>
    <w:rsid w:val="17907916"/>
    <w:rsid w:val="1911064F"/>
    <w:rsid w:val="194154CC"/>
    <w:rsid w:val="1A3E6E3B"/>
    <w:rsid w:val="1B25447F"/>
    <w:rsid w:val="1B8E56DE"/>
    <w:rsid w:val="206155F1"/>
    <w:rsid w:val="212522D6"/>
    <w:rsid w:val="2277732E"/>
    <w:rsid w:val="23163B12"/>
    <w:rsid w:val="23212623"/>
    <w:rsid w:val="282961A7"/>
    <w:rsid w:val="2AC90564"/>
    <w:rsid w:val="2DA1401C"/>
    <w:rsid w:val="2FBD345F"/>
    <w:rsid w:val="30765ABF"/>
    <w:rsid w:val="33C05CD4"/>
    <w:rsid w:val="38977CFD"/>
    <w:rsid w:val="3A892668"/>
    <w:rsid w:val="3C726016"/>
    <w:rsid w:val="3CA836C3"/>
    <w:rsid w:val="3CED4AB5"/>
    <w:rsid w:val="3D8B1F1E"/>
    <w:rsid w:val="3E750556"/>
    <w:rsid w:val="3F592B17"/>
    <w:rsid w:val="45602CF5"/>
    <w:rsid w:val="46931BC1"/>
    <w:rsid w:val="46FF3E4D"/>
    <w:rsid w:val="474343A9"/>
    <w:rsid w:val="484251A6"/>
    <w:rsid w:val="48B56278"/>
    <w:rsid w:val="4A040E7D"/>
    <w:rsid w:val="4A7375D3"/>
    <w:rsid w:val="4A8B215C"/>
    <w:rsid w:val="4C5222FD"/>
    <w:rsid w:val="4D22049D"/>
    <w:rsid w:val="4DEC192A"/>
    <w:rsid w:val="4E0E7D22"/>
    <w:rsid w:val="4E755325"/>
    <w:rsid w:val="4F10305E"/>
    <w:rsid w:val="4FEB0E79"/>
    <w:rsid w:val="5285190A"/>
    <w:rsid w:val="529F0B53"/>
    <w:rsid w:val="53AE1BA4"/>
    <w:rsid w:val="54CC0087"/>
    <w:rsid w:val="555E040B"/>
    <w:rsid w:val="56A64FE0"/>
    <w:rsid w:val="57D86DBC"/>
    <w:rsid w:val="5A3F3ED5"/>
    <w:rsid w:val="5AA500EE"/>
    <w:rsid w:val="5C215167"/>
    <w:rsid w:val="5DCE2ABB"/>
    <w:rsid w:val="5E631320"/>
    <w:rsid w:val="5EC76B76"/>
    <w:rsid w:val="5ECB5A06"/>
    <w:rsid w:val="5F585608"/>
    <w:rsid w:val="62452ADD"/>
    <w:rsid w:val="654518D0"/>
    <w:rsid w:val="655F5EA9"/>
    <w:rsid w:val="666D1AAF"/>
    <w:rsid w:val="6683072B"/>
    <w:rsid w:val="692A5AEE"/>
    <w:rsid w:val="6E26060E"/>
    <w:rsid w:val="6F7F1AA3"/>
    <w:rsid w:val="7253304B"/>
    <w:rsid w:val="72E40359"/>
    <w:rsid w:val="76EC5AE4"/>
    <w:rsid w:val="775E1983"/>
    <w:rsid w:val="78D6471C"/>
    <w:rsid w:val="79F71B1B"/>
    <w:rsid w:val="7AAB2D44"/>
    <w:rsid w:val="7BC65872"/>
    <w:rsid w:val="7E4A1ACF"/>
    <w:rsid w:val="7F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10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3585</Words>
  <Characters>3885</Characters>
  <Lines>22</Lines>
  <Paragraphs>6</Paragraphs>
  <TotalTime>0</TotalTime>
  <ScaleCrop>false</ScaleCrop>
  <LinksUpToDate>false</LinksUpToDate>
  <CharactersWithSpaces>3932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四月是个谎言</cp:lastModifiedBy>
  <cp:lastPrinted>2020-07-07T08:04:00Z</cp:lastPrinted>
  <dcterms:modified xsi:type="dcterms:W3CDTF">2022-09-13T07:26:59Z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66C61FE59FF945EF9AE7A3427682F228</vt:lpwstr>
  </property>
</Properties>
</file>