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总工会单位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年部门预算收支情况说明</w:t>
      </w:r>
    </w:p>
    <w:p>
      <w:pPr>
        <w:spacing w:line="600" w:lineRule="exact"/>
        <w:jc w:val="center"/>
        <w:rPr>
          <w:rFonts w:hint="eastAsia" w:ascii="宋体" w:hAnsi="宋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新县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总工会</w:t>
      </w:r>
      <w:r>
        <w:rPr>
          <w:rFonts w:eastAsia="仿宋_GB2312"/>
          <w:color w:val="000000"/>
          <w:sz w:val="32"/>
          <w:szCs w:val="32"/>
        </w:rPr>
        <w:t>机关内设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基层工作部、劳动和经济工作部、财务部、女职工工作部、经审事业部及办公室。下设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二级机构：职工帮扶中心、劳动权益保障中心、工人俱乐部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numPr>
          <w:ilvl w:val="0"/>
          <w:numId w:val="0"/>
        </w:numPr>
        <w:spacing w:line="600" w:lineRule="exact"/>
        <w:ind w:firstLine="1600" w:firstLineChars="50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指导全县工会工作；协助县委、县政府做好全县各级劳动模范、全国“五一”劳动奖章（状）获得者的推荐、评选和管理工作；负责基层工会经费的管理、审查、审计工作；承办县委、县政府和市总工会交办的事务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总工会单位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现有在职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17人，其中：</w:t>
      </w:r>
      <w:r>
        <w:rPr>
          <w:rFonts w:eastAsia="仿宋_GB2312"/>
          <w:color w:val="000000"/>
          <w:sz w:val="32"/>
          <w:szCs w:val="32"/>
        </w:rPr>
        <w:t>行政编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sz w:val="32"/>
          <w:szCs w:val="32"/>
        </w:rPr>
        <w:t>人，</w:t>
      </w:r>
      <w:r>
        <w:rPr>
          <w:rFonts w:hint="eastAsia" w:eastAsia="仿宋_GB2312"/>
          <w:color w:val="000000"/>
          <w:sz w:val="32"/>
          <w:szCs w:val="32"/>
        </w:rPr>
        <w:t>工勤编制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</w:rPr>
        <w:t>人，</w:t>
      </w:r>
      <w:r>
        <w:rPr>
          <w:rFonts w:eastAsia="仿宋_GB2312"/>
          <w:color w:val="000000"/>
          <w:sz w:val="32"/>
          <w:szCs w:val="32"/>
        </w:rPr>
        <w:t>事业编制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人；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自收自支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总工会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年度承担的主要工作任务：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以“五大行动、十件实事”为抓手，积极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开展“四赛一争”竞赛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选树和培育先进典型；深入开展困难职工帮扶；抓好送温暖和关爱工作；持续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开展脱贫攻坚及乡村振兴工作；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加强机关</w:t>
      </w:r>
      <w:r>
        <w:rPr>
          <w:rFonts w:hint="eastAsia" w:eastAsia="仿宋_GB2312"/>
          <w:color w:val="000000"/>
          <w:sz w:val="32"/>
          <w:szCs w:val="32"/>
        </w:rPr>
        <w:t>财务预算执行的分析，完善机关财务预算的精细化、科学化管理，完成好财务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预算管理各项工作。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、部门预算单位构成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根据部门预算管理有关规定，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本预算为汇总预算，包括局机关本级预算和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个局属单位</w:t>
      </w:r>
      <w:r>
        <w:rPr>
          <w:rFonts w:ascii="仿宋" w:hAnsi="仿宋" w:eastAsia="仿宋" w:cs="宋体"/>
          <w:kern w:val="0"/>
          <w:sz w:val="32"/>
          <w:szCs w:val="32"/>
        </w:rPr>
        <w:t>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，具体是：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新县总工会</w:t>
      </w:r>
      <w:r>
        <w:rPr>
          <w:rFonts w:hint="eastAsia" w:ascii="仿宋" w:hAnsi="仿宋" w:eastAsia="仿宋" w:cs="宋体"/>
          <w:kern w:val="0"/>
          <w:sz w:val="32"/>
          <w:szCs w:val="32"/>
        </w:rPr>
        <w:t>部门机关本级；</w:t>
      </w: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2021年新县总工会部门收支预算为汇总预算，含所有下属单位，所有下属单位均未独立核算。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439.61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439.61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17.12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4.05%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</w:rPr>
        <w:t>人员经费</w:t>
      </w:r>
      <w:r>
        <w:rPr>
          <w:rFonts w:eastAsia="仿宋_GB2312"/>
          <w:color w:val="000000"/>
          <w:kern w:val="0"/>
          <w:sz w:val="32"/>
          <w:szCs w:val="32"/>
        </w:rPr>
        <w:t xml:space="preserve">增加。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439.61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439.61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439.61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439.61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%   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439.61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，财政拨款支出预算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439.61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17.12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4.05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/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</w:rPr>
        <w:t>人员经费</w:t>
      </w:r>
      <w:r>
        <w:rPr>
          <w:rFonts w:eastAsia="仿宋_GB2312"/>
          <w:color w:val="000000"/>
          <w:kern w:val="0"/>
          <w:sz w:val="32"/>
          <w:szCs w:val="32"/>
        </w:rPr>
        <w:t>增加。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439.61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439.61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100%，</w:t>
      </w:r>
      <w:r>
        <w:rPr>
          <w:rFonts w:hint="eastAsia" w:eastAsia="仿宋_GB2312"/>
          <w:color w:val="000000"/>
          <w:kern w:val="0"/>
          <w:sz w:val="32"/>
          <w:szCs w:val="32"/>
        </w:rPr>
        <w:t>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0%</w:t>
      </w:r>
      <w:r>
        <w:rPr>
          <w:rFonts w:hint="eastAsia" w:eastAsia="仿宋_GB2312"/>
          <w:color w:val="000000"/>
          <w:kern w:val="0"/>
          <w:sz w:val="32"/>
          <w:szCs w:val="32"/>
        </w:rPr>
        <w:t>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112.87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25.4%。</w:t>
      </w:r>
      <w:r>
        <w:rPr>
          <w:rFonts w:hint="eastAsia" w:eastAsia="仿宋_GB2312"/>
          <w:color w:val="000000"/>
          <w:kern w:val="0"/>
          <w:sz w:val="32"/>
          <w:szCs w:val="32"/>
        </w:rPr>
        <w:t>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2.167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0.5%，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324.57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74.1%</w:t>
      </w:r>
      <w:r>
        <w:rPr>
          <w:rFonts w:hint="eastAsia" w:eastAsia="仿宋_GB2312"/>
          <w:color w:val="000000"/>
          <w:kern w:val="0"/>
          <w:sz w:val="32"/>
          <w:szCs w:val="32"/>
        </w:rPr>
        <w:t>。项目支出中房屋建筑物购建支出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439.61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112.87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2.167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324.57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84.99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57.44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0.65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12.48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4.58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4.96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3.40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1.45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18.82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9.05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2.16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1.34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0.82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324.57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13.55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1.73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1.39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其他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5万元、</w:t>
      </w:r>
      <w:r>
        <w:rPr>
          <w:rFonts w:hint="eastAsia" w:eastAsia="仿宋_GB2312"/>
          <w:color w:val="000000"/>
          <w:sz w:val="32"/>
          <w:szCs w:val="32"/>
        </w:rPr>
        <w:t>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、公务接待费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5.5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256.39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5.5万</w:t>
      </w:r>
      <w:r>
        <w:rPr>
          <w:rFonts w:eastAsia="仿宋_GB2312"/>
          <w:color w:val="000000"/>
          <w:kern w:val="0"/>
          <w:sz w:val="32"/>
          <w:szCs w:val="32"/>
        </w:rPr>
        <w:t>元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与上年持平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主要原因为：加强管理，节约开支。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5.5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100%，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与上年持平；</w:t>
      </w:r>
      <w:r>
        <w:rPr>
          <w:rFonts w:hint="eastAsia" w:eastAsia="仿宋_GB2312"/>
          <w:color w:val="000000"/>
          <w:kern w:val="0"/>
          <w:sz w:val="32"/>
          <w:szCs w:val="32"/>
        </w:rPr>
        <w:t>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主要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原因为：</w:t>
      </w:r>
      <w:r>
        <w:rPr>
          <w:rFonts w:hint="eastAsia" w:eastAsia="仿宋_GB2312"/>
          <w:color w:val="000000"/>
          <w:kern w:val="0"/>
          <w:sz w:val="32"/>
          <w:szCs w:val="32"/>
        </w:rPr>
        <w:t>主要原因是公车改革，公务用车被收回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5.5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持平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费年初预算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运行费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公务用车购置费为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公务用车车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辆为0辆，公车保有量为0辆。</w:t>
      </w:r>
      <w:r>
        <w:rPr>
          <w:rFonts w:eastAsia="仿宋_GB2312"/>
          <w:color w:val="000000"/>
          <w:kern w:val="0"/>
          <w:sz w:val="32"/>
          <w:szCs w:val="32"/>
        </w:rPr>
        <w:t>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5.5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bookmarkStart w:id="0" w:name="_GoBack"/>
      <w:bookmarkEnd w:id="0"/>
      <w:r>
        <w:rPr>
          <w:rFonts w:hint="eastAsia" w:eastAsia="仿宋_GB2312"/>
          <w:color w:val="000000"/>
          <w:kern w:val="0"/>
          <w:sz w:val="32"/>
          <w:szCs w:val="32"/>
        </w:rPr>
        <w:t>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持平</w:t>
      </w:r>
      <w:r>
        <w:rPr>
          <w:rFonts w:eastAsia="仿宋_GB2312"/>
          <w:color w:val="000000"/>
          <w:kern w:val="0"/>
          <w:sz w:val="32"/>
          <w:szCs w:val="32"/>
        </w:rPr>
        <w:t>。主要用于各类公务接待支出。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主要原因为：加强管理，节约开支。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总工会单位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总工会单位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政府采购预算安排 0万元，其中：政府采购货物预算0万元、政府采购工程预算0万元、政府采购服务预算0万元。采购内容包括0设备购置、0实施费用等。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总工会单位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439.61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kern w:val="0"/>
          <w:sz w:val="32"/>
          <w:szCs w:val="32"/>
        </w:rPr>
        <w:t>主要保障</w:t>
      </w:r>
      <w:r>
        <w:rPr>
          <w:rFonts w:hint="eastAsia" w:ascii="仿宋" w:hAnsi="仿宋" w:eastAsia="仿宋" w:cs="宋体"/>
          <w:kern w:val="0"/>
          <w:sz w:val="32"/>
          <w:szCs w:val="32"/>
        </w:rPr>
        <w:t>机构</w:t>
      </w:r>
      <w:r>
        <w:rPr>
          <w:rFonts w:ascii="仿宋" w:hAnsi="仿宋" w:eastAsia="仿宋" w:cs="宋体"/>
          <w:kern w:val="0"/>
          <w:sz w:val="32"/>
          <w:szCs w:val="32"/>
        </w:rPr>
        <w:t>正常运转及正常履职需要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9.3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2.1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加强管理，节约开支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总工会单位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年，本单位国有资本经营收支预算为零。</w:t>
      </w:r>
    </w:p>
    <w:p>
      <w:pPr>
        <w:widowControl/>
        <w:spacing w:line="600" w:lineRule="exact"/>
        <w:ind w:firstLine="64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年期末，</w:t>
      </w: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总工会单位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辆、一般执法执勤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辆、特种专业技术用车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辆，其他用车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辆。单价50万元以上通用设备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台（套），单位价值100万元以上专用设备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台（套）。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Y2RkZWNkNTU4OGM0NmE4NTU5YWI4OWIzNTBkMzAifQ=="/>
  </w:docVars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60851AE"/>
    <w:rsid w:val="06611992"/>
    <w:rsid w:val="07730F80"/>
    <w:rsid w:val="09AD7FDD"/>
    <w:rsid w:val="0A612137"/>
    <w:rsid w:val="0F9B7EEF"/>
    <w:rsid w:val="0FDB190C"/>
    <w:rsid w:val="122B2F69"/>
    <w:rsid w:val="14FF742E"/>
    <w:rsid w:val="16381B6E"/>
    <w:rsid w:val="174732FD"/>
    <w:rsid w:val="1763569E"/>
    <w:rsid w:val="17907916"/>
    <w:rsid w:val="194154CC"/>
    <w:rsid w:val="1A3E6E3B"/>
    <w:rsid w:val="1B25447F"/>
    <w:rsid w:val="1B8E56DE"/>
    <w:rsid w:val="2277732E"/>
    <w:rsid w:val="23163B12"/>
    <w:rsid w:val="23212623"/>
    <w:rsid w:val="282961A7"/>
    <w:rsid w:val="2A514CC3"/>
    <w:rsid w:val="2AC90564"/>
    <w:rsid w:val="30765ABF"/>
    <w:rsid w:val="33C05CD4"/>
    <w:rsid w:val="38977CFD"/>
    <w:rsid w:val="3C726016"/>
    <w:rsid w:val="3CA836C3"/>
    <w:rsid w:val="3CED4AB5"/>
    <w:rsid w:val="3D8B1F1E"/>
    <w:rsid w:val="3E750556"/>
    <w:rsid w:val="3F592B17"/>
    <w:rsid w:val="45602CF5"/>
    <w:rsid w:val="46931BC1"/>
    <w:rsid w:val="46FF3E4D"/>
    <w:rsid w:val="474343A9"/>
    <w:rsid w:val="484251A6"/>
    <w:rsid w:val="48B56278"/>
    <w:rsid w:val="4A7375D3"/>
    <w:rsid w:val="4A8B215C"/>
    <w:rsid w:val="4D22049D"/>
    <w:rsid w:val="4E0E7D22"/>
    <w:rsid w:val="4FEB0E79"/>
    <w:rsid w:val="5285190A"/>
    <w:rsid w:val="529F0B53"/>
    <w:rsid w:val="53AE1BA4"/>
    <w:rsid w:val="54CC0087"/>
    <w:rsid w:val="555E040B"/>
    <w:rsid w:val="57D86DBC"/>
    <w:rsid w:val="5A3F3ED5"/>
    <w:rsid w:val="5AA500EE"/>
    <w:rsid w:val="5C215167"/>
    <w:rsid w:val="5DCE2ABB"/>
    <w:rsid w:val="5E631320"/>
    <w:rsid w:val="5EC76B76"/>
    <w:rsid w:val="5ECB5A06"/>
    <w:rsid w:val="5F585608"/>
    <w:rsid w:val="62452ADD"/>
    <w:rsid w:val="64BA619D"/>
    <w:rsid w:val="654518D0"/>
    <w:rsid w:val="655F5EA9"/>
    <w:rsid w:val="666D1AAF"/>
    <w:rsid w:val="6683072B"/>
    <w:rsid w:val="692A5AEE"/>
    <w:rsid w:val="6E26060E"/>
    <w:rsid w:val="6F7F1AA3"/>
    <w:rsid w:val="736B0EA9"/>
    <w:rsid w:val="76EC5AE4"/>
    <w:rsid w:val="775E1983"/>
    <w:rsid w:val="78D6471C"/>
    <w:rsid w:val="79F71B1B"/>
    <w:rsid w:val="7AAB2D44"/>
    <w:rsid w:val="7BC65872"/>
    <w:rsid w:val="7D5A0C9F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2937</Words>
  <Characters>3269</Characters>
  <Lines>22</Lines>
  <Paragraphs>6</Paragraphs>
  <TotalTime>0</TotalTime>
  <ScaleCrop>false</ScaleCrop>
  <LinksUpToDate>false</LinksUpToDate>
  <CharactersWithSpaces>3325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四月是个谎言</cp:lastModifiedBy>
  <cp:lastPrinted>2020-07-07T08:04:00Z</cp:lastPrinted>
  <dcterms:modified xsi:type="dcterms:W3CDTF">2022-09-13T07:29:16Z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66C61FE59FF945EF9AE7A3427682F228</vt:lpwstr>
  </property>
</Properties>
</file>