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b/>
          <w:color w:val="00000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宋体" w:hAnsi="宋体"/>
          <w:b/>
          <w:color w:val="000000"/>
          <w:sz w:val="32"/>
          <w:szCs w:val="32"/>
        </w:rPr>
      </w:pPr>
    </w:p>
    <w:p>
      <w:pPr>
        <w:pStyle w:val="4"/>
        <w:keepNext w:val="0"/>
        <w:keepLines w:val="0"/>
        <w:pageBreakBefore w:val="0"/>
        <w:widowControl w:val="0"/>
        <w:kinsoku/>
        <w:wordWrap/>
        <w:overflowPunct/>
        <w:topLinePunct w:val="0"/>
        <w:autoSpaceDE/>
        <w:autoSpaceDN/>
        <w:bidi w:val="0"/>
        <w:spacing w:line="580" w:lineRule="exact"/>
        <w:ind w:left="0" w:leftChars="0" w:firstLine="0" w:firstLineChars="0"/>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仿宋_GB2312" w:hAnsi="宋体" w:eastAsia="仿宋_GB2312"/>
          <w:color w:val="000000"/>
          <w:sz w:val="32"/>
          <w:szCs w:val="32"/>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仿宋_GB2312" w:hAnsi="宋体" w:eastAsia="仿宋_GB2312"/>
          <w:color w:val="000000"/>
          <w:sz w:val="32"/>
          <w:szCs w:val="32"/>
        </w:rPr>
      </w:pPr>
    </w:p>
    <w:p>
      <w:pPr>
        <w:pStyle w:val="4"/>
        <w:keepNext w:val="0"/>
        <w:keepLines w:val="0"/>
        <w:pageBreakBefore w:val="0"/>
        <w:widowControl w:val="0"/>
        <w:kinsoku/>
        <w:wordWrap/>
        <w:overflowPunct/>
        <w:topLinePunct w:val="0"/>
        <w:autoSpaceDE/>
        <w:autoSpaceDN/>
        <w:bidi w:val="0"/>
        <w:spacing w:line="580" w:lineRule="exact"/>
        <w:ind w:firstLine="0" w:firstLineChars="0"/>
        <w:jc w:val="center"/>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新</w:t>
      </w:r>
      <w:r>
        <w:rPr>
          <w:rFonts w:hint="eastAsia" w:ascii="仿宋_GB2312" w:hAnsi="仿宋_GB2312" w:eastAsia="仿宋_GB2312" w:cs="仿宋_GB2312"/>
          <w:sz w:val="32"/>
          <w:szCs w:val="32"/>
        </w:rPr>
        <w:t>政办〔202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号</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仿宋_GB2312" w:hAnsi="仿宋_GB2312" w:eastAsia="仿宋_GB2312" w:cs="仿宋_GB2312"/>
          <w:sz w:val="32"/>
          <w:szCs w:val="32"/>
          <w:lang w:val="en-US"/>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新</w:t>
      </w:r>
      <w:r>
        <w:rPr>
          <w:rFonts w:hint="eastAsia" w:ascii="方正小标宋简体" w:hAnsi="方正小标宋简体" w:eastAsia="方正小标宋简体" w:cs="方正小标宋简体"/>
          <w:bCs/>
          <w:sz w:val="44"/>
          <w:szCs w:val="44"/>
        </w:rPr>
        <w:t>县人民政府</w:t>
      </w:r>
      <w:r>
        <w:rPr>
          <w:rFonts w:hint="eastAsia" w:ascii="方正小标宋简体" w:hAnsi="方正小标宋简体" w:eastAsia="方正小标宋简体" w:cs="方正小标宋简体"/>
          <w:bCs/>
          <w:sz w:val="44"/>
          <w:szCs w:val="44"/>
          <w:lang w:eastAsia="zh-CN"/>
        </w:rPr>
        <w:t>办公室</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关于印发</w:t>
      </w:r>
      <w:r>
        <w:rPr>
          <w:rFonts w:hint="eastAsia" w:ascii="方正小标宋简体" w:hAnsi="方正小标宋简体" w:eastAsia="方正小标宋简体" w:cs="方正小标宋简体"/>
          <w:b w:val="0"/>
          <w:bCs/>
          <w:color w:val="000000"/>
          <w:sz w:val="44"/>
          <w:szCs w:val="44"/>
          <w:lang w:eastAsia="zh-CN"/>
        </w:rPr>
        <w:t>新</w:t>
      </w:r>
      <w:r>
        <w:rPr>
          <w:rFonts w:hint="eastAsia" w:ascii="方正小标宋简体" w:hAnsi="方正小标宋简体" w:eastAsia="方正小标宋简体" w:cs="方正小标宋简体"/>
          <w:b w:val="0"/>
          <w:bCs/>
          <w:color w:val="000000"/>
          <w:sz w:val="44"/>
          <w:szCs w:val="44"/>
        </w:rPr>
        <w:t>县</w:t>
      </w:r>
      <w:r>
        <w:rPr>
          <w:rFonts w:hint="eastAsia" w:ascii="方正小标宋简体" w:hAnsi="方正小标宋简体" w:eastAsia="方正小标宋简体" w:cs="方正小标宋简体"/>
          <w:b w:val="0"/>
          <w:bCs/>
          <w:color w:val="000000"/>
          <w:sz w:val="44"/>
          <w:szCs w:val="44"/>
          <w:lang w:eastAsia="zh-CN"/>
        </w:rPr>
        <w:t>工业用地“标准地”出让</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eastAsia="zh-CN"/>
        </w:rPr>
        <w:t>实施细则（试行）的通知</w:t>
      </w:r>
    </w:p>
    <w:p>
      <w:pPr>
        <w:pStyle w:val="4"/>
        <w:keepNext w:val="0"/>
        <w:keepLines w:val="0"/>
        <w:pageBreakBefore w:val="0"/>
        <w:widowControl w:val="0"/>
        <w:kinsoku/>
        <w:wordWrap/>
        <w:overflowPunct/>
        <w:topLinePunct w:val="0"/>
        <w:autoSpaceDE/>
        <w:autoSpaceDN/>
        <w:bidi w:val="0"/>
        <w:spacing w:line="580" w:lineRule="exact"/>
        <w:ind w:left="0" w:leftChars="0" w:firstLine="0" w:firstLineChars="0"/>
        <w:jc w:val="center"/>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(讨论稿)</w:t>
      </w: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楷体" w:hAnsi="楷体" w:eastAsia="楷体" w:cs="楷体"/>
          <w:b/>
          <w:bCs/>
          <w:sz w:val="32"/>
          <w:szCs w:val="32"/>
          <w:lang w:eastAsia="zh-CN"/>
        </w:rPr>
      </w:pPr>
    </w:p>
    <w:p>
      <w:pPr>
        <w:keepNext w:val="0"/>
        <w:keepLines w:val="0"/>
        <w:pageBreakBefore w:val="0"/>
        <w:widowControl w:val="0"/>
        <w:kinsoku/>
        <w:wordWrap/>
        <w:overflowPunct/>
        <w:topLinePunct w:val="0"/>
        <w:autoSpaceDE/>
        <w:autoSpaceDN/>
        <w:bidi w:val="0"/>
        <w:spacing w:line="58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各乡、镇人民政府，各街道办事处，县政府各部门：</w:t>
      </w:r>
    </w:p>
    <w:p>
      <w:pPr>
        <w:keepNext w:val="0"/>
        <w:keepLines w:val="0"/>
        <w:pageBreakBefore w:val="0"/>
        <w:widowControl w:val="0"/>
        <w:tabs>
          <w:tab w:val="left" w:pos="225"/>
        </w:tabs>
        <w:kinsoku/>
        <w:wordWrap/>
        <w:overflowPunct/>
        <w:topLinePunct w:val="0"/>
        <w:autoSpaceDE/>
        <w:autoSpaceDN/>
        <w:bidi w:val="0"/>
        <w:spacing w:line="580" w:lineRule="exact"/>
        <w:ind w:firstLine="480" w:firstLineChars="1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rPr>
        <w:t>县工业用地“标准地”出让实施细则（试行）》已经县政府</w:t>
      </w:r>
      <w:r>
        <w:rPr>
          <w:rFonts w:hint="eastAsia" w:ascii="仿宋_GB2312" w:hAnsi="仿宋_GB2312" w:eastAsia="仿宋_GB2312" w:cs="仿宋_GB2312"/>
          <w:color w:val="000000"/>
          <w:sz w:val="32"/>
          <w:szCs w:val="32"/>
          <w:lang w:eastAsia="zh-CN"/>
        </w:rPr>
        <w:t>研究</w:t>
      </w:r>
      <w:r>
        <w:rPr>
          <w:rFonts w:hint="eastAsia" w:ascii="仿宋_GB2312" w:hAnsi="仿宋_GB2312" w:eastAsia="仿宋_GB2312" w:cs="仿宋_GB2312"/>
          <w:color w:val="000000"/>
          <w:sz w:val="32"/>
          <w:szCs w:val="32"/>
        </w:rPr>
        <w:t>同意，现印发给你们，请</w:t>
      </w:r>
      <w:r>
        <w:rPr>
          <w:rFonts w:hint="eastAsia" w:ascii="仿宋_GB2312" w:hAnsi="仿宋_GB2312" w:eastAsia="仿宋_GB2312" w:cs="仿宋_GB2312"/>
          <w:color w:val="000000"/>
          <w:sz w:val="32"/>
          <w:szCs w:val="32"/>
          <w:lang w:eastAsia="zh-CN"/>
        </w:rPr>
        <w:t>结合实际，</w:t>
      </w:r>
      <w:r>
        <w:rPr>
          <w:rFonts w:hint="eastAsia" w:ascii="仿宋_GB2312" w:hAnsi="仿宋_GB2312" w:eastAsia="仿宋_GB2312" w:cs="仿宋_GB2312"/>
          <w:color w:val="000000"/>
          <w:sz w:val="32"/>
          <w:szCs w:val="32"/>
        </w:rPr>
        <w:t>认真贯彻执行。</w:t>
      </w:r>
    </w:p>
    <w:p>
      <w:pPr>
        <w:keepNext w:val="0"/>
        <w:keepLines w:val="0"/>
        <w:pageBreakBefore w:val="0"/>
        <w:widowControl w:val="0"/>
        <w:tabs>
          <w:tab w:val="left" w:pos="225"/>
        </w:tabs>
        <w:kinsoku/>
        <w:wordWrap/>
        <w:overflowPunct/>
        <w:topLinePunct w:val="0"/>
        <w:autoSpaceDE/>
        <w:autoSpaceDN/>
        <w:bidi w:val="0"/>
        <w:spacing w:line="580" w:lineRule="exact"/>
        <w:textAlignment w:val="auto"/>
        <w:rPr>
          <w:rFonts w:hint="eastAsia" w:ascii="仿宋_GB2312" w:hAnsi="仿宋_GB2312" w:eastAsia="仿宋_GB2312" w:cs="仿宋_GB2312"/>
          <w:color w:val="000000"/>
          <w:sz w:val="32"/>
          <w:szCs w:val="32"/>
        </w:rPr>
      </w:pPr>
    </w:p>
    <w:p>
      <w:pPr>
        <w:keepNext w:val="0"/>
        <w:keepLines w:val="0"/>
        <w:pageBreakBefore w:val="0"/>
        <w:widowControl w:val="0"/>
        <w:tabs>
          <w:tab w:val="left" w:pos="225"/>
        </w:tabs>
        <w:kinsoku/>
        <w:wordWrap/>
        <w:overflowPunct/>
        <w:topLinePunct w:val="0"/>
        <w:autoSpaceDE/>
        <w:autoSpaceDN/>
        <w:bidi w:val="0"/>
        <w:spacing w:line="580" w:lineRule="exact"/>
        <w:ind w:firstLine="5280" w:firstLineChars="165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日</w:t>
      </w:r>
    </w:p>
    <w:p>
      <w:pPr>
        <w:keepNext w:val="0"/>
        <w:keepLines w:val="0"/>
        <w:pageBreakBefore w:val="0"/>
        <w:widowControl w:val="0"/>
        <w:tabs>
          <w:tab w:val="left" w:pos="3104"/>
        </w:tabs>
        <w:kinsoku/>
        <w:wordWrap/>
        <w:overflowPunct/>
        <w:topLinePunct w:val="0"/>
        <w:autoSpaceDE/>
        <w:autoSpaceDN/>
        <w:bidi w:val="0"/>
        <w:spacing w:line="580" w:lineRule="exact"/>
        <w:jc w:val="both"/>
        <w:textAlignment w:val="auto"/>
        <w:rPr>
          <w:rFonts w:hint="eastAsia" w:ascii="文星标宋" w:hAnsi="文星标宋" w:eastAsia="文星标宋"/>
          <w:bCs/>
          <w:sz w:val="44"/>
          <w:szCs w:val="44"/>
          <w:lang w:eastAsia="zh-CN"/>
        </w:rPr>
      </w:pPr>
      <w:r>
        <w:rPr>
          <w:rFonts w:hint="eastAsia" w:ascii="文星标宋" w:hAnsi="文星标宋" w:eastAsia="文星标宋"/>
          <w:bCs/>
          <w:sz w:val="44"/>
          <w:szCs w:val="44"/>
          <w:lang w:eastAsia="zh-CN"/>
        </w:rPr>
        <w:tab/>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cs="仿宋"/>
          <w:i w:val="0"/>
          <w:iCs w:val="0"/>
          <w:caps w:val="0"/>
          <w:color w:val="000000"/>
          <w:spacing w:val="0"/>
          <w:sz w:val="32"/>
          <w:szCs w:val="32"/>
          <w:shd w:val="clear" w:color="auto" w:fill="FFFFFF"/>
        </w:rPr>
      </w:pPr>
    </w:p>
    <w:p>
      <w:pPr>
        <w:pStyle w:val="2"/>
        <w:rPr>
          <w:rFonts w:hint="eastAsia"/>
        </w:rPr>
      </w:pP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i w:val="0"/>
          <w:iCs w:val="0"/>
          <w:caps w:val="0"/>
          <w:color w:val="000000"/>
          <w:spacing w:val="0"/>
          <w:sz w:val="32"/>
          <w:szCs w:val="32"/>
          <w:shd w:val="clear" w:color="auto" w:fill="FFFFFF"/>
        </w:rPr>
      </w:pP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lang w:eastAsia="zh-CN"/>
        </w:rPr>
        <w:t>新</w:t>
      </w:r>
      <w:r>
        <w:rPr>
          <w:rFonts w:hint="eastAsia" w:ascii="方正小标宋简体" w:hAnsi="方正小标宋简体" w:eastAsia="方正小标宋简体" w:cs="方正小标宋简体"/>
          <w:i w:val="0"/>
          <w:iCs w:val="0"/>
          <w:caps w:val="0"/>
          <w:color w:val="000000"/>
          <w:spacing w:val="0"/>
          <w:sz w:val="44"/>
          <w:szCs w:val="44"/>
          <w:shd w:val="clear" w:color="auto" w:fill="FFFFFF"/>
        </w:rPr>
        <w:t>县工业用地“标准地”出让</w:t>
      </w: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rPr>
          <w:rFonts w:hint="eastAsia" w:ascii="方正小标宋简体" w:hAnsi="方正小标宋简体" w:eastAsia="方正小标宋简体" w:cs="方正小标宋简体"/>
          <w:i w:val="0"/>
          <w:iCs w:val="0"/>
          <w:caps w:val="0"/>
          <w:color w:val="000000"/>
          <w:spacing w:val="0"/>
          <w:sz w:val="44"/>
          <w:szCs w:val="44"/>
          <w:shd w:val="clear" w:color="auto" w:fill="FFFFFF"/>
        </w:rPr>
      </w:pPr>
      <w:r>
        <w:rPr>
          <w:rFonts w:hint="eastAsia" w:ascii="方正小标宋简体" w:hAnsi="方正小标宋简体" w:eastAsia="方正小标宋简体" w:cs="方正小标宋简体"/>
          <w:i w:val="0"/>
          <w:iCs w:val="0"/>
          <w:caps w:val="0"/>
          <w:color w:val="000000"/>
          <w:spacing w:val="0"/>
          <w:sz w:val="44"/>
          <w:szCs w:val="44"/>
          <w:shd w:val="clear" w:color="auto" w:fill="FFFFFF"/>
        </w:rPr>
        <w:t>实施细则（试行）</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rPr>
      </w:pP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第一条</w:t>
      </w:r>
      <w:r>
        <w:rPr>
          <w:rFonts w:hint="default" w:ascii="仿宋" w:hAnsi="仿宋" w:eastAsia="仿宋" w:cs="仿宋"/>
          <w:sz w:val="32"/>
          <w:szCs w:val="32"/>
          <w:lang w:val="en-US" w:eastAsia="zh-CN"/>
        </w:rPr>
        <w:t xml:space="preserve"> </w:t>
      </w:r>
      <w:r>
        <w:rPr>
          <w:rFonts w:hint="default" w:ascii="仿宋_GB2312" w:hAnsi="仿宋_GB2312" w:eastAsia="仿宋_GB2312" w:cs="仿宋_GB2312"/>
          <w:sz w:val="32"/>
          <w:szCs w:val="32"/>
          <w:lang w:val="en-US" w:eastAsia="zh-CN"/>
        </w:rPr>
        <w:t>为深入贯彻落实党中央、国务院关于“放管服”改革和优化营商环境的决策部署，牢固树立“项目为王”的理念，进一步推进“三个一批”项目建设和“万人助万企”活动，</w:t>
      </w:r>
      <w:r>
        <w:rPr>
          <w:rFonts w:hint="eastAsia" w:ascii="仿宋_GB2312" w:hAnsi="仿宋_GB2312" w:eastAsia="仿宋_GB2312" w:cs="仿宋_GB2312"/>
          <w:sz w:val="32"/>
          <w:szCs w:val="32"/>
          <w:lang w:val="en-US" w:eastAsia="zh-CN"/>
        </w:rPr>
        <w:t>深化土地资源市场化配置改革，促进土地节约集约利用，推动我县先进制造业开发区提质增效，结合我县实际，建立工业用地“标准地”出让制度，促进县域经济高质量发展，根据《河南省工业用地“标准地”出让管理办法》，制定本实施细则。</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二、基本含义</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工业用地“标准地”，是指在完成区域评估的基础上，对国土空间总体规划（现阶段为土地利用总体规划和城乡规划）确定为工业用途的国有建设用地，明确亩均投资强度、亩均税收、容积率、环境标准等控制性指标作为“标准”的拟出让宗地。工业用地“标准地”出让，是指按照“标准”实施储备土地开发，带“标准”出让土地，同步签订《国有建设用地使用权出让合同》（以下简称《合同》）和《工业项目“标准地”履约监管协议》（以下简称《协议》），企业按“标准”用地，各有关部门对照“标准”实施全生命周期联合监管，形成“按标做地、明标供地、履标用地、对标管地”的出让制度。</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三、基本原则</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第三条</w:t>
      </w:r>
      <w:r>
        <w:rPr>
          <w:rFonts w:hint="default" w:ascii="仿宋" w:hAnsi="仿宋" w:eastAsia="仿宋" w:cs="仿宋"/>
          <w:sz w:val="32"/>
          <w:szCs w:val="32"/>
          <w:lang w:val="en-US" w:eastAsia="zh-CN"/>
        </w:rPr>
        <w:t xml:space="preserve"> </w:t>
      </w:r>
      <w:r>
        <w:rPr>
          <w:rFonts w:hint="default" w:ascii="仿宋" w:hAnsi="仿宋" w:eastAsia="仿宋" w:cs="仿宋"/>
          <w:b/>
          <w:bCs/>
          <w:sz w:val="32"/>
          <w:szCs w:val="32"/>
          <w:lang w:val="en-US" w:eastAsia="zh-CN"/>
        </w:rPr>
        <w:t>坚持配置市场化。</w:t>
      </w:r>
      <w:r>
        <w:rPr>
          <w:rFonts w:hint="eastAsia" w:ascii="仿宋_GB2312" w:hAnsi="仿宋_GB2312" w:eastAsia="仿宋_GB2312" w:cs="仿宋_GB2312"/>
          <w:sz w:val="32"/>
          <w:szCs w:val="32"/>
          <w:lang w:val="en-US" w:eastAsia="zh-CN"/>
        </w:rPr>
        <w:t>发挥市场在资源配置中的决定性作用，着力破除传统土地资源要素配置中的体制性障碍，通过事前制定发布标准，企业对标竞价，营造公开透明、便捷高效、公正清廉的投资环境。</w:t>
      </w:r>
      <w:r>
        <w:rPr>
          <w:rFonts w:hint="default" w:ascii="仿宋" w:hAnsi="仿宋" w:eastAsia="仿宋" w:cs="仿宋"/>
          <w:sz w:val="32"/>
          <w:szCs w:val="32"/>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坚持土地集约节约利用。</w:t>
      </w:r>
      <w:r>
        <w:rPr>
          <w:rFonts w:hint="eastAsia" w:ascii="仿宋_GB2312" w:hAnsi="仿宋_GB2312" w:eastAsia="仿宋_GB2312" w:cs="仿宋_GB2312"/>
          <w:sz w:val="32"/>
          <w:szCs w:val="32"/>
          <w:lang w:val="en-US" w:eastAsia="zh-CN"/>
        </w:rPr>
        <w:t>明确企业投资项目单位用地税收等“硬约束”控制指标，以土地利用效率为核心，完善奖罚倒逼机制，提升土地节约集约利用水平。</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坚持改革提速度。</w:t>
      </w:r>
      <w:r>
        <w:rPr>
          <w:rFonts w:hint="eastAsia" w:ascii="仿宋_GB2312" w:hAnsi="仿宋_GB2312" w:eastAsia="仿宋_GB2312" w:cs="仿宋_GB2312"/>
          <w:sz w:val="32"/>
          <w:szCs w:val="32"/>
          <w:lang w:val="en-US" w:eastAsia="zh-CN"/>
        </w:rPr>
        <w:t>通过事先明确用地要求和标准，探索推广带规划设计方案出让方式，实行告知承诺制审批，优化审批流程，最大限度提高建设速度和效率。</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default" w:ascii="仿宋" w:hAnsi="仿宋" w:eastAsia="仿宋" w:cs="仿宋"/>
          <w:b/>
          <w:bCs/>
          <w:sz w:val="32"/>
          <w:szCs w:val="32"/>
          <w:lang w:val="en-US" w:eastAsia="zh-CN"/>
        </w:rPr>
        <w:t>坚持过程全监管。</w:t>
      </w:r>
      <w:r>
        <w:rPr>
          <w:rFonts w:hint="eastAsia" w:ascii="仿宋_GB2312" w:hAnsi="仿宋_GB2312" w:eastAsia="仿宋_GB2312" w:cs="仿宋_GB2312"/>
          <w:sz w:val="32"/>
          <w:szCs w:val="32"/>
          <w:lang w:val="en-US" w:eastAsia="zh-CN"/>
        </w:rPr>
        <w:t>强化事中事后监管，建立企业承诺信用管理机制，加大对诚信主体激励和失信主体惩戒力度，营造“守信者受益、失信者受限”的社会氛围。</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四、主要任务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highlight w:val="none"/>
          <w:lang w:val="en-US" w:eastAsia="zh-CN"/>
        </w:rPr>
        <w:t>河南省政府办公厅关于实施工程建设项目区域评估的指导意见》（豫政办〔2019〕10号）要求，县先进制造业开发区管理委员会</w:t>
      </w:r>
      <w:r>
        <w:rPr>
          <w:rFonts w:hint="eastAsia" w:ascii="仿宋_GB2312" w:hAnsi="仿宋_GB2312" w:eastAsia="仿宋_GB2312" w:cs="仿宋_GB2312"/>
          <w:sz w:val="32"/>
          <w:szCs w:val="32"/>
          <w:lang w:val="en-US" w:eastAsia="zh-CN"/>
        </w:rPr>
        <w:t>统一组织对园区内土地勘测、矿产压覆、地质灾害、节能、水土保持、文物保护、洪水影响、地震安全性、气候可行性、环境现状评价等事项实施区域评估。</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区域评估和国土空间规划编制工作，在编制开发区国土空间规划时，积极应用区域评估成果，原则上布局应选择在已组织实施评估的区域，利于后期各类建设项目快速落地。区域评估成果共享应用，对符合区域评估成果适用条件的单个项目，各行业管理部门直接使用相关区域评估成果，不得要求申请人再单独组织评估评价。</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“标准地”出让前应达到“净地”出让条件，对拟采用“标准地”出让的宗地，需达到权属清晰，征地补偿安置到位，无法律经济纠纷，建设用地规划条件明确，</w:t>
      </w:r>
      <w:r>
        <w:rPr>
          <w:rFonts w:hint="eastAsia" w:ascii="仿宋_GB2312" w:hAnsi="仿宋_GB2312" w:eastAsia="仿宋_GB2312" w:cs="仿宋_GB2312"/>
          <w:sz w:val="32"/>
          <w:szCs w:val="32"/>
          <w:highlight w:val="none"/>
          <w:lang w:val="en-US" w:eastAsia="zh-CN"/>
        </w:rPr>
        <w:t>提前完成工程地质勘查且具备项目开工必需的通水、通电、通</w:t>
      </w:r>
      <w:r>
        <w:rPr>
          <w:rFonts w:hint="eastAsia" w:ascii="仿宋_GB2312" w:hAnsi="仿宋_GB2312" w:eastAsia="仿宋_GB2312" w:cs="仿宋_GB2312"/>
          <w:sz w:val="32"/>
          <w:szCs w:val="32"/>
          <w:lang w:val="en-US" w:eastAsia="zh-CN"/>
        </w:rPr>
        <w:t>路和土地平整等开发条件，形成产权明晰、配套完善、条件优越、满足“标准地”使用各项要求的优质用地。</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五、操作流程</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按照国家、省有关控制指标要求，结合产业政策、功能定位和区域情况，</w:t>
      </w:r>
      <w:r>
        <w:rPr>
          <w:rFonts w:hint="eastAsia" w:ascii="仿宋_GB2312" w:hAnsi="仿宋_GB2312" w:eastAsia="仿宋_GB2312" w:cs="仿宋_GB2312"/>
          <w:sz w:val="32"/>
          <w:szCs w:val="32"/>
          <w:highlight w:val="none"/>
          <w:lang w:val="en-US" w:eastAsia="zh-CN"/>
        </w:rPr>
        <w:t>县先进制造业开发区管理委员会在土地供应前，应组织县发展和改革委员会、县科学技术和</w:t>
      </w:r>
      <w:r>
        <w:rPr>
          <w:rFonts w:hint="eastAsia" w:ascii="仿宋_GB2312" w:hAnsi="仿宋_GB2312" w:eastAsia="仿宋_GB2312" w:cs="仿宋_GB2312"/>
          <w:sz w:val="32"/>
          <w:szCs w:val="32"/>
          <w:lang w:val="en-US" w:eastAsia="zh-CN"/>
        </w:rPr>
        <w:t>工业信息化局、县自然资源局、市生态环境局新县分局、县住房和城乡建设局、县税务局等相关部门按照国家、省、市有关控制指标要求，结合产业政策、功能定位和区域情况，确定区域准入产业，制定“3+N+1”控制性指标，纳入土地出让条件，并在出让公告中一同发布。</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“3”即亩均投资强度、亩均税收、容积率，</w:t>
      </w:r>
      <w:r>
        <w:rPr>
          <w:rFonts w:hint="eastAsia" w:ascii="仿宋_GB2312" w:hAnsi="仿宋_GB2312" w:eastAsia="仿宋_GB2312" w:cs="仿宋_GB2312"/>
          <w:sz w:val="32"/>
          <w:szCs w:val="32"/>
          <w:highlight w:val="none"/>
          <w:lang w:val="en-US" w:eastAsia="zh-CN"/>
        </w:rPr>
        <w:t>县先进制造业开发区管理委员会</w:t>
      </w:r>
      <w:r>
        <w:rPr>
          <w:rFonts w:hint="eastAsia" w:ascii="仿宋_GB2312" w:hAnsi="仿宋_GB2312" w:eastAsia="仿宋_GB2312" w:cs="仿宋_GB2312"/>
          <w:sz w:val="32"/>
          <w:szCs w:val="32"/>
          <w:lang w:val="en-US" w:eastAsia="zh-CN"/>
        </w:rPr>
        <w:t>会同县发展和改革委员会</w:t>
      </w:r>
      <w:r>
        <w:rPr>
          <w:rFonts w:hint="eastAsia" w:ascii="仿宋_GB2312" w:hAnsi="仿宋_GB2312" w:eastAsia="仿宋_GB2312" w:cs="仿宋_GB2312"/>
          <w:sz w:val="32"/>
          <w:szCs w:val="32"/>
          <w:highlight w:val="none"/>
          <w:lang w:val="en-US" w:eastAsia="zh-CN"/>
        </w:rPr>
        <w:t>负责</w:t>
      </w:r>
      <w:r>
        <w:rPr>
          <w:rFonts w:hint="eastAsia" w:ascii="仿宋_GB2312" w:hAnsi="仿宋_GB2312" w:eastAsia="仿宋_GB2312" w:cs="仿宋_GB2312"/>
          <w:sz w:val="32"/>
          <w:szCs w:val="32"/>
          <w:lang w:val="en-US" w:eastAsia="zh-CN"/>
        </w:rPr>
        <w:t>确定区域（地块）准入产业条件、投资强度等标准；县税务局</w:t>
      </w:r>
      <w:r>
        <w:rPr>
          <w:rFonts w:hint="eastAsia" w:ascii="仿宋_GB2312" w:hAnsi="仿宋_GB2312" w:eastAsia="仿宋_GB2312" w:cs="仿宋_GB2312"/>
          <w:sz w:val="32"/>
          <w:szCs w:val="32"/>
          <w:highlight w:val="none"/>
          <w:lang w:val="en-US" w:eastAsia="zh-CN"/>
        </w:rPr>
        <w:t>会同县先进制造业开发区管理委员会负责确</w:t>
      </w:r>
      <w:r>
        <w:rPr>
          <w:rFonts w:hint="eastAsia" w:ascii="仿宋_GB2312" w:hAnsi="仿宋_GB2312" w:eastAsia="仿宋_GB2312" w:cs="仿宋_GB2312"/>
          <w:sz w:val="32"/>
          <w:szCs w:val="32"/>
          <w:lang w:val="en-US" w:eastAsia="zh-CN"/>
        </w:rPr>
        <w:t>定亩均税收标准；县自然资源局负责确定容积率等规划控制指标</w:t>
      </w:r>
      <w:r>
        <w:rPr>
          <w:rFonts w:hint="eastAsia" w:ascii="仿宋_GB2312" w:hAnsi="仿宋_GB2312" w:eastAsia="仿宋_GB2312" w:cs="仿宋_GB2312"/>
          <w:sz w:val="32"/>
          <w:szCs w:val="32"/>
          <w:highlight w:val="none"/>
          <w:lang w:val="en-US" w:eastAsia="zh-CN"/>
        </w:rPr>
        <w:t>。在相关指标未公布新标准前，以上三项控制性指标按照《河南省人民政府关于进一步加强节约集约用地的意见》（豫政〔2015〕66号）、《河南省工业项目建设用地控制指标》（豫国土资发〔2008〕21号）和《河南省人民政府关于推进产业集聚区用地提质增效促进县域经济高质量发展的意见》（豫政〔2020〕32号）的有关规定执行。</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N”即亩均产值、就业人数、行政办公及生活服务设施配建标准、安全生产要求、环境标准（包括空间准入要求、污染物排放标准及排放总量管控要求、环境质量管控标准和行业准入要求）等其他控制性指标，根据实际情况确定，并实行动态调整。</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“1”即出让年期。实行 “标准地”出让的工业项目，出让年期原则上按照不超过20年设定，期满经评估可以协议方式办理续期。</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用地企业取得“标准地”后，在与县自然资源局签订《国有建设用地使用权出让合同》的同时，与县先进制造业开发区管理委员会签订《新县工业项目“标准地”履约监管协议》，明确约定期限内应满足的开发建设，投产、达产要求以及达不到约定标准应承担的违约责任，直至项目退出等管理内容。县先进制造业开发区管理委员会会同相关部门根据项目的实际情况，可以约定实施项目履约保函或采取其它市场化措施，促进“标准地”高效利用。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借鉴“最多跑一次”改革经验，在企业自愿的前提下，县先进制造业开发区管理委员会选派专人无偿为“标准地”项目提供全流程或者部分审批事项代办服务。对通过事中事后监管能够纠正不符合审批条件的行为且不会产生严重后果的审批事项，应当实行告知承诺制。县先进制造业开发区管理委员会应组织相关部门明确并公布实行告知承诺制的审批事项清单及要求，申请人在签订《国有建设用地使用权出让合同》和《新县工业项目“标准地”履约监管协议》时，同步签订《“标准地”企业信用承诺书》，相关审批部门根据申请人的信用承诺等情况直接作出审批决定，实现企业“拿地即开工”。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第八条</w:t>
      </w:r>
      <w:r>
        <w:rPr>
          <w:rFonts w:hint="default"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用地企业签订《国有建设用地使用权出让合同》并缴纳全部土地出让价款和</w:t>
      </w:r>
      <w:r>
        <w:rPr>
          <w:rFonts w:hint="eastAsia" w:ascii="仿宋_GB2312" w:hAnsi="仿宋_GB2312" w:eastAsia="仿宋_GB2312" w:cs="仿宋_GB2312"/>
          <w:sz w:val="32"/>
          <w:szCs w:val="32"/>
          <w:highlight w:val="none"/>
          <w:lang w:val="en-US" w:eastAsia="zh-CN"/>
        </w:rPr>
        <w:t>有关税收税费后，不</w:t>
      </w:r>
      <w:r>
        <w:rPr>
          <w:rFonts w:hint="eastAsia" w:ascii="仿宋_GB2312" w:hAnsi="仿宋_GB2312" w:eastAsia="仿宋_GB2312" w:cs="仿宋_GB2312"/>
          <w:sz w:val="32"/>
          <w:szCs w:val="32"/>
          <w:lang w:val="en-US" w:eastAsia="zh-CN"/>
        </w:rPr>
        <w:t>动产登记中心予以办理不动产权登记，登记时应按照出让方案的要求备注“属‘标准地’用地，项目达产验收合格前不动产权不得整体转让”等内容。</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lang w:val="en-US" w:eastAsia="zh-CN"/>
        </w:rPr>
        <w:t>第九条</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用地企业应按照《国有建设用地使用权出让合同》和《新县工业项目“标准地”履约监管协议》约定，按时开工竣工，按期投产达产。</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未能按约定时间开工竣工或投产的，用地企业可以向县先进制造业开发区管理委员会申请延期一次，延期最长不超过1年，签订补充协议，重新约定开工竣工或投产时</w:t>
      </w:r>
      <w:r>
        <w:rPr>
          <w:rFonts w:hint="eastAsia" w:ascii="仿宋_GB2312" w:hAnsi="仿宋_GB2312" w:eastAsia="仿宋_GB2312" w:cs="仿宋_GB2312"/>
          <w:sz w:val="32"/>
          <w:szCs w:val="32"/>
          <w:lang w:val="en-US" w:eastAsia="zh-CN"/>
        </w:rPr>
        <w:t>间，逾期仍未开工竣工或投产的，承担相应违约责任。</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六、监管机制</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对照“标准地”控制性指标体系，建立健全全覆盖、全过程、全链条的监管体系。由县先进制造业开发区管理委员会牵头对照“标准”，组织实施联合监管。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项目竣工后，由县住房和城乡建设局负责牵头组织建设工程竣工联合验收。未通过联合验收的，要督促指导项目业主单位限期整改（整改期最长不超过2年），并落实有关惩处措施。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项目达产后，在约定期限内，由县先进制造业开发区管理委员会牵头组织有关部门对《国有建设用地使用权出让合同》和《新县工业项目“标准地”履约监管协议》约定的指标进行一次性联合达产验收。未通过达产验收的，督促指导项目业主单位限期整改（整改期最长不超过2年），并落实有关惩处措施。整改后进行达产复验，仍不能达到标准要求的，引导项目限期协商退出。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竣工联合验收具体办法，由县住房和城乡建设局组织有关部门制定。达产验收具体办法，由县先进制造业开发区管理委员会组织有关部门制定。</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 xml:space="preserve">县先进制造业开发区管理委员会应当根据《国有建设用地使用权出让合同》和《新县工业项目“标准地”履约监管协议》和绩效评价结果等实施工业用地退出。对符合《国有建设用地使用权出让合同》和《新县工业项目“标准地”履约监管协议》约定退出土地使用权情形的，出让人可按照约定收回建设用地使用权。对地上建筑物的补偿，可事先在土地出让合同中约定采取残值补偿、无偿收回、由受让人恢复原状等方式处置。对符合《国有建设用地使用权出让合同》和《新县工业项目“标准地”履约监管协议》约定、允许转让土地使用权的，受让人可依法进行土地使用权转让，原《国有建设用地使用权出让合同》和《新县工业项目“标准地”履约监管协议》约定的权利义务随之转移。 </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全省“标准地”全生命周期的信息管理平台建立后，县先进制造业开发区管理委员会要将《国有建设用地使用权出让合同》和《新县工业项目“标准地”履约监管协议》履行情况纳入信息管理平台，做到省、市、县三级信息共享，实现各有关部门联合监管和云上管地。</w:t>
      </w:r>
    </w:p>
    <w:p>
      <w:pPr>
        <w:pStyle w:val="4"/>
        <w:keepNext w:val="0"/>
        <w:keepLines w:val="0"/>
        <w:pageBreakBefore w:val="0"/>
        <w:widowControl w:val="0"/>
        <w:kinsoku/>
        <w:wordWrap/>
        <w:overflowPunct/>
        <w:topLinePunct w:val="0"/>
        <w:autoSpaceDE/>
        <w:autoSpaceDN/>
        <w:bidi w:val="0"/>
        <w:spacing w:line="58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七、职责分工</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县发展和改革委员会应当会同有关部门将工业用地开发利用情况纳入企业诚信体系建设，将信用诚信企业、信用不良企业分别列入省社会信用体系建设“红名单”和“黑名单”，通过“信用新县”网站向社会公布，并推送到“信用中国（河南）”网站，实现信息开放共享。</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县先进制造业开发区管理委员会职责：1.组织产业集聚区区域评估工作。2.牵头制定“标准地”控制性指标体系及动态调整。3.牵头制定达产验收办法。4.土地成交后，与用地企业签订《新县工业项目“标准地”履约监管协议》，根据需要签订《“标准地”企业信用承诺书》。5.对照“标准地”控制性指标体系，组织相关单位实施联合监管。牵头组织联合达产验收。6.符合土地使用权退出情形的，组织工业用地退出。</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县发展和改革委员会职责：</w:t>
      </w:r>
      <w:r>
        <w:rPr>
          <w:rFonts w:hint="eastAsia" w:ascii="仿宋_GB2312" w:hAnsi="仿宋_GB2312" w:eastAsia="仿宋_GB2312" w:cs="仿宋_GB2312"/>
          <w:sz w:val="32"/>
          <w:szCs w:val="32"/>
          <w:highlight w:val="none"/>
          <w:lang w:val="en-US" w:eastAsia="zh-CN"/>
        </w:rPr>
        <w:t>1.会同县先进制造业开发区管理委员会负责审核项目备案亩均投资强度、项目投资规模标准及动态调整。2.会同县先进制造业开发区管理委员会负责确定区域（地块）准入产业条件3.在县先进制造业开发区管理委员会牵头组织下，参与联合监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自然资源局职责：1.负责确定容积率、建筑密度、建筑限高、绿地率、行政办公及生活服务设施配建标准等标准及动态调整。2.根据控制性指标和条件，拟定出让方案并报县政府批准。3.根据企业申请，提供审批服务。4.在县先进制造业开发区管理委员会牵头组织下，参与联合监管。5.对按“标准地”出让的土地，按“标准地”出让相关要求进行不动产登记。</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县科学技术和工业信息化局职责：1.负责确定亩均产值标准及动态调整。2.在县先进制造业开发区管理委员会牵头组织下，参与联合监</w:t>
      </w:r>
      <w:r>
        <w:rPr>
          <w:rFonts w:hint="eastAsia" w:ascii="仿宋_GB2312" w:hAnsi="仿宋_GB2312" w:eastAsia="仿宋_GB2312" w:cs="仿宋_GB2312"/>
          <w:sz w:val="32"/>
          <w:szCs w:val="32"/>
          <w:highlight w:val="none"/>
          <w:lang w:val="en-US" w:eastAsia="zh-CN"/>
        </w:rPr>
        <w:t>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县税务局职责：1.会同县先进制造业开发区管理委员会负责确定亩均税收标</w:t>
      </w:r>
      <w:r>
        <w:rPr>
          <w:rFonts w:hint="eastAsia" w:ascii="仿宋_GB2312" w:hAnsi="仿宋_GB2312" w:eastAsia="仿宋_GB2312" w:cs="仿宋_GB2312"/>
          <w:sz w:val="32"/>
          <w:szCs w:val="32"/>
          <w:lang w:val="en-US" w:eastAsia="zh-CN"/>
        </w:rPr>
        <w:t>准及动态调整。2.在县先进制造业开发区管理委员会牵头组织下，参与联合监管。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市生态环境局新县分局职责：1.负责确定环境标准及动态调整。2.在县先进制造业开发区管理委员会牵头组织下，参与联合监管。</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县住房和城乡建设局职责：1.根据企业申请，提供审批服务。2.牵头制定竣工联合验收办法，并负责牵头组织建设工程竣工联合验收。3.在县先进制造业开发区管理委员会牵头组织下，参与联合监管。</w:t>
      </w:r>
    </w:p>
    <w:p>
      <w:pPr>
        <w:pStyle w:val="4"/>
        <w:keepNext w:val="0"/>
        <w:keepLines w:val="0"/>
        <w:pageBreakBefore w:val="0"/>
        <w:widowControl w:val="0"/>
        <w:numPr>
          <w:ilvl w:val="0"/>
          <w:numId w:val="1"/>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各有关部门要加强对“标准地”改革推进工作的组织领导，建立相应的工作机制，相关业务部门积极配合，上下联动，细化措施，统筹安排，合力推进。</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附件：1.新县“标准地”全过程监督管理流程图</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2.新县工</w:t>
      </w:r>
      <w:r>
        <w:rPr>
          <w:rFonts w:hint="eastAsia" w:ascii="仿宋_GB2312" w:hAnsi="仿宋_GB2312" w:eastAsia="仿宋_GB2312" w:cs="仿宋_GB2312"/>
          <w:b w:val="0"/>
          <w:bCs w:val="0"/>
          <w:sz w:val="32"/>
          <w:szCs w:val="32"/>
          <w:lang w:val="en-US" w:eastAsia="zh-CN"/>
        </w:rPr>
        <w:t>业用</w:t>
      </w:r>
      <w:r>
        <w:rPr>
          <w:rFonts w:hint="eastAsia" w:ascii="仿宋_GB2312" w:hAnsi="仿宋_GB2312" w:eastAsia="仿宋_GB2312" w:cs="仿宋_GB2312"/>
          <w:sz w:val="32"/>
          <w:szCs w:val="32"/>
          <w:lang w:val="en-US" w:eastAsia="zh-CN"/>
        </w:rPr>
        <w:t>地“标准地”出让控制性指标</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3.亩均税收</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4.新县工业项目“标准地”履约监管协议</w:t>
      </w:r>
    </w:p>
    <w:p>
      <w:pPr>
        <w:pStyle w:val="4"/>
        <w:keepNext w:val="0"/>
        <w:keepLines w:val="0"/>
        <w:pageBreakBefore w:val="0"/>
        <w:widowControl w:val="0"/>
        <w:numPr>
          <w:ilvl w:val="0"/>
          <w:numId w:val="0"/>
        </w:numPr>
        <w:kinsoku/>
        <w:wordWrap/>
        <w:overflowPunct/>
        <w:topLinePunct w:val="0"/>
        <w:autoSpaceDE/>
        <w:autoSpaceDN/>
        <w:bidi w:val="0"/>
        <w:adjustRightInd w:val="0"/>
        <w:snapToGrid/>
        <w:spacing w:line="58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5.新县“标准地”企业信用承诺书</w:t>
      </w:r>
    </w:p>
    <w:p>
      <w:pPr>
        <w:keepNext w:val="0"/>
        <w:keepLines w:val="0"/>
        <w:widowControl/>
        <w:suppressLineNumbers w:val="0"/>
        <w:jc w:val="left"/>
      </w:pPr>
    </w:p>
    <w:p>
      <w:pPr>
        <w:pStyle w:val="4"/>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ascii="仿宋" w:hAnsi="仿宋" w:eastAsia="仿宋" w:cs="仿宋"/>
          <w:sz w:val="32"/>
          <w:szCs w:val="32"/>
          <w:lang w:val="en-US" w:eastAsia="zh-CN"/>
        </w:rPr>
      </w:pPr>
    </w:p>
    <w:p>
      <w:pPr>
        <w:pStyle w:val="4"/>
        <w:ind w:left="0" w:leftChars="0" w:firstLine="0" w:firstLineChars="0"/>
        <w:rPr>
          <w:rFonts w:hint="eastAsia" w:ascii="黑体" w:hAnsi="黑体" w:eastAsia="黑体" w:cs="黑体"/>
          <w:sz w:val="32"/>
          <w:szCs w:val="32"/>
          <w:lang w:val="en-US" w:eastAsia="zh-CN"/>
        </w:rPr>
        <w:sectPr>
          <w:headerReference r:id="rId3" w:type="default"/>
          <w:footerReference r:id="rId4" w:type="default"/>
          <w:footerReference r:id="rId5" w:type="even"/>
          <w:pgSz w:w="11906" w:h="16838"/>
          <w:pgMar w:top="1871" w:right="1531" w:bottom="1871" w:left="1531" w:header="851" w:footer="992" w:gutter="0"/>
          <w:pgNumType w:fmt="numberInDash" w:start="1"/>
          <w:cols w:space="720" w:num="1"/>
          <w:docGrid w:type="lines" w:linePitch="312" w:charSpace="0"/>
        </w:sectPr>
      </w:pPr>
    </w:p>
    <w:p>
      <w:pPr>
        <w:pStyle w:val="4"/>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4"/>
        <w:ind w:left="0" w:lef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drawing>
          <wp:inline distT="0" distB="0" distL="114300" distR="114300">
            <wp:extent cx="5431155" cy="8394700"/>
            <wp:effectExtent l="0" t="0" r="17145" b="6350"/>
            <wp:docPr id="3" name="图片 3" descr="标准地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标准地流程图"/>
                    <pic:cNvPicPr>
                      <a:picLocks noChangeAspect="1"/>
                    </pic:cNvPicPr>
                  </pic:nvPicPr>
                  <pic:blipFill>
                    <a:blip r:embed="rId7"/>
                    <a:stretch>
                      <a:fillRect/>
                    </a:stretch>
                  </pic:blipFill>
                  <pic:spPr>
                    <a:xfrm>
                      <a:off x="0" y="0"/>
                      <a:ext cx="5431155" cy="8394700"/>
                    </a:xfrm>
                    <a:prstGeom prst="rect">
                      <a:avLst/>
                    </a:prstGeom>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4"/>
        <w:ind w:left="0" w:leftChars="0" w:firstLine="0" w:firstLineChars="0"/>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新县工业用地“标准地”出让控制性指标</w:t>
      </w:r>
    </w:p>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971"/>
        <w:gridCol w:w="1750"/>
        <w:gridCol w:w="2283"/>
        <w:gridCol w:w="220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971"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类型</w:t>
            </w:r>
          </w:p>
        </w:tc>
        <w:tc>
          <w:tcPr>
            <w:tcW w:w="1750"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指标名称</w:t>
            </w:r>
          </w:p>
        </w:tc>
        <w:tc>
          <w:tcPr>
            <w:tcW w:w="2283"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控制标准</w:t>
            </w:r>
          </w:p>
        </w:tc>
        <w:tc>
          <w:tcPr>
            <w:tcW w:w="2200"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负责单位</w:t>
            </w:r>
          </w:p>
        </w:tc>
        <w:tc>
          <w:tcPr>
            <w:tcW w:w="1068" w:type="dxa"/>
            <w:vAlign w:val="center"/>
          </w:tcPr>
          <w:p>
            <w:pPr>
              <w:pStyle w:val="4"/>
              <w:ind w:left="0" w:leftChars="0" w:firstLine="0" w:firstLineChars="0"/>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971" w:type="dxa"/>
            <w:vMerge w:val="restart"/>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亩均投资强度</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不低于180万元/亩</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highlight w:val="none"/>
                <w:lang w:val="en-US" w:eastAsia="zh-CN"/>
              </w:rPr>
              <w:t>县发展和改革委员会、县先进制造业开发区管委会</w:t>
            </w:r>
          </w:p>
        </w:tc>
        <w:tc>
          <w:tcPr>
            <w:tcW w:w="1068" w:type="dxa"/>
            <w:vMerge w:val="restart"/>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不低于省相关部门制定的最低准入标准，并实行动态调整。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亩均税收</w:t>
            </w:r>
          </w:p>
        </w:tc>
        <w:tc>
          <w:tcPr>
            <w:tcW w:w="2283" w:type="dxa"/>
            <w:vAlign w:val="center"/>
          </w:tcPr>
          <w:p>
            <w:pPr>
              <w:pStyle w:val="4"/>
              <w:ind w:left="0" w:leftChars="0" w:firstLine="0" w:firstLineChars="0"/>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详细见“附件3”</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highlight w:val="none"/>
                <w:lang w:val="en-US" w:eastAsia="zh-CN"/>
              </w:rPr>
              <w:t>县税务局、县先进制造业开发区管委会</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容积率</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按豫国土资发〔2008〕21号文件确定</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县自然资源局</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971" w:type="dxa"/>
            <w:vMerge w:val="restart"/>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“N”</w:t>
            </w: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项目投资规模</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highlight w:val="none"/>
                <w:vertAlign w:val="baseline"/>
                <w:lang w:val="en-US" w:eastAsia="zh-CN"/>
              </w:rPr>
            </w:pPr>
            <w:r>
              <w:rPr>
                <w:rFonts w:hint="eastAsia" w:ascii="仿宋_GB2312" w:hAnsi="仿宋_GB2312" w:eastAsia="仿宋_GB2312" w:cs="仿宋_GB2312"/>
                <w:sz w:val="24"/>
                <w:szCs w:val="24"/>
                <w:highlight w:val="none"/>
                <w:vertAlign w:val="baseline"/>
                <w:lang w:val="en-US" w:eastAsia="zh-CN"/>
              </w:rPr>
              <w:t>由负责单位确定</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县发展和改革委员会、县先进制造业开发区管委会</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亩均产值</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由负责单位确定</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县科学技术和工业信息化局</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建筑密度</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不低于40％</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县自然资源局</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绿地率</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不高于20％</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县自然资源局</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7"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行政办公及生活服务设施配建标准</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用地面积较大确需自行建设的，占地面积不得超过总用地面积的7％，建筑面积不得超过总建筑面积的15％。</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县自然资源局</w:t>
            </w:r>
          </w:p>
        </w:tc>
        <w:tc>
          <w:tcPr>
            <w:tcW w:w="1068"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971" w:type="dxa"/>
            <w:vMerge w:val="continue"/>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环境标准</w:t>
            </w:r>
          </w:p>
        </w:tc>
        <w:tc>
          <w:tcPr>
            <w:tcW w:w="2283"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符合国家、省、市有关环境保护需求</w:t>
            </w:r>
          </w:p>
        </w:tc>
        <w:tc>
          <w:tcPr>
            <w:tcW w:w="2200" w:type="dxa"/>
            <w:vAlign w:val="center"/>
          </w:tcPr>
          <w:p>
            <w:pPr>
              <w:pStyle w:val="4"/>
              <w:ind w:left="0" w:leftChars="0" w:firstLine="0" w:firstLineChars="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市生态环境局新县分局</w:t>
            </w:r>
          </w:p>
        </w:tc>
        <w:tc>
          <w:tcPr>
            <w:tcW w:w="1068"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exact"/>
          <w:jc w:val="right"/>
        </w:trPr>
        <w:tc>
          <w:tcPr>
            <w:tcW w:w="805"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971"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750" w:type="dxa"/>
            <w:vAlign w:val="center"/>
          </w:tcPr>
          <w:p>
            <w:pPr>
              <w:pStyle w:val="4"/>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出让年期</w:t>
            </w:r>
          </w:p>
        </w:tc>
        <w:tc>
          <w:tcPr>
            <w:tcW w:w="2283" w:type="dxa"/>
            <w:vAlign w:val="center"/>
          </w:tcPr>
          <w:p>
            <w:pPr>
              <w:pStyle w:val="4"/>
              <w:tabs>
                <w:tab w:val="left" w:pos="808"/>
              </w:tabs>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实行“标准地”出让的工业项目，出让年期原则上按照不超过20年设定，期满经评估可以协议方式办理续期。</w:t>
            </w:r>
          </w:p>
        </w:tc>
        <w:tc>
          <w:tcPr>
            <w:tcW w:w="2200" w:type="dxa"/>
            <w:vAlign w:val="center"/>
          </w:tcPr>
          <w:p>
            <w:pPr>
              <w:pStyle w:val="4"/>
              <w:tabs>
                <w:tab w:val="left" w:pos="808"/>
              </w:tabs>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lang w:val="en-US" w:eastAsia="zh-CN"/>
              </w:rPr>
              <w:t>县自然资源局</w:t>
            </w:r>
          </w:p>
        </w:tc>
        <w:tc>
          <w:tcPr>
            <w:tcW w:w="1068" w:type="dxa"/>
            <w:vAlign w:val="center"/>
          </w:tcPr>
          <w:p>
            <w:pPr>
              <w:pStyle w:val="4"/>
              <w:tabs>
                <w:tab w:val="left" w:pos="808"/>
              </w:tabs>
              <w:ind w:left="0" w:leftChars="0" w:firstLine="0" w:firstLineChars="0"/>
              <w:jc w:val="center"/>
              <w:rPr>
                <w:rFonts w:hint="eastAsia" w:ascii="仿宋_GB2312" w:hAnsi="仿宋_GB2312" w:eastAsia="仿宋_GB2312" w:cs="仿宋_GB2312"/>
                <w:sz w:val="24"/>
                <w:szCs w:val="24"/>
                <w:vertAlign w:val="baseline"/>
                <w:lang w:val="en-US" w:eastAsia="zh-CN"/>
              </w:rPr>
            </w:pPr>
          </w:p>
        </w:tc>
      </w:tr>
    </w:tbl>
    <w:p>
      <w:pPr>
        <w:pStyle w:val="4"/>
        <w:ind w:left="0" w:leftChars="0" w:firstLine="0" w:firstLineChars="0"/>
        <w:jc w:val="both"/>
        <w:rPr>
          <w:rFonts w:hint="eastAsia" w:ascii="方正小标宋_GBK" w:hAnsi="方正小标宋_GBK" w:eastAsia="方正小标宋_GBK" w:cs="方正小标宋_GBK"/>
          <w:sz w:val="44"/>
          <w:szCs w:val="44"/>
          <w:lang w:val="en-US" w:eastAsia="zh-CN"/>
        </w:rPr>
        <w:sectPr>
          <w:pgSz w:w="11906" w:h="16838"/>
          <w:pgMar w:top="1440" w:right="1287" w:bottom="1418" w:left="1758" w:header="851" w:footer="992" w:gutter="0"/>
          <w:pgNumType w:fmt="numberInDash"/>
          <w:cols w:space="720"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widowControl/>
        <w:suppressLineNumbers w:val="0"/>
        <w:jc w:val="center"/>
        <w:rPr>
          <w:rFonts w:hint="eastAsia" w:ascii="文星简小标宋" w:hAnsi="文星简小标宋" w:eastAsia="文星简小标宋" w:cs="文星简小标宋"/>
          <w:sz w:val="44"/>
          <w:szCs w:val="44"/>
        </w:rPr>
      </w:pPr>
      <w:r>
        <w:rPr>
          <w:rFonts w:hint="eastAsia" w:ascii="文星简小标宋" w:hAnsi="文星简小标宋" w:eastAsia="文星简小标宋" w:cs="文星简小标宋"/>
          <w:color w:val="000000"/>
          <w:kern w:val="0"/>
          <w:sz w:val="44"/>
          <w:szCs w:val="44"/>
          <w:lang w:val="en-US" w:eastAsia="zh-CN" w:bidi="ar"/>
        </w:rPr>
        <w:t>亩均税收(万元/亩)</w:t>
      </w:r>
    </w:p>
    <w:tbl>
      <w:tblPr>
        <w:tblStyle w:val="8"/>
        <w:tblW w:w="491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9"/>
        <w:gridCol w:w="4145"/>
        <w:gridCol w:w="1490"/>
        <w:gridCol w:w="2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exac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89" w:beforeLines="0" w:afterLines="0"/>
              <w:ind w:left="119"/>
              <w:jc w:val="center"/>
              <w:rPr>
                <w:rFonts w:hint="default" w:ascii="宋体" w:hAnsi="宋体" w:eastAsia="宋体"/>
                <w:sz w:val="17"/>
                <w:szCs w:val="24"/>
                <w:lang w:val="en-US" w:eastAsia="zh-CN"/>
              </w:rPr>
            </w:pPr>
            <w:r>
              <w:rPr>
                <w:rFonts w:hint="eastAsia" w:ascii="宋体" w:hAnsi="宋体" w:eastAsia="宋体"/>
                <w:sz w:val="17"/>
                <w:szCs w:val="24"/>
                <w:lang w:val="en-US" w:eastAsia="zh-CN"/>
              </w:rPr>
              <w:t>代码</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89" w:beforeLines="0" w:afterLines="0"/>
              <w:ind w:left="119"/>
              <w:jc w:val="center"/>
              <w:rPr>
                <w:rFonts w:hint="eastAsia" w:ascii="宋体" w:hAnsi="宋体" w:eastAsia="宋体"/>
                <w:sz w:val="17"/>
                <w:szCs w:val="24"/>
                <w:lang w:val="en-US" w:eastAsia="zh-CN"/>
              </w:rPr>
            </w:pPr>
            <w:r>
              <w:rPr>
                <w:rFonts w:hint="eastAsia" w:ascii="宋体" w:hAnsi="宋体" w:eastAsia="宋体"/>
                <w:sz w:val="17"/>
                <w:szCs w:val="24"/>
                <w:lang w:val="en-US" w:eastAsia="zh-CN"/>
              </w:rPr>
              <w:t>行业名称</w:t>
            </w:r>
          </w:p>
        </w:tc>
        <w:tc>
          <w:tcPr>
            <w:tcW w:w="834" w:type="pct"/>
            <w:tcBorders>
              <w:top w:val="single" w:color="auto" w:sz="4"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89" w:beforeLines="0" w:afterLines="0"/>
              <w:ind w:left="119"/>
              <w:jc w:val="center"/>
              <w:rPr>
                <w:rFonts w:hint="eastAsia" w:ascii="宋体" w:hAnsi="宋体" w:eastAsia="宋体"/>
                <w:sz w:val="17"/>
                <w:szCs w:val="24"/>
                <w:lang w:val="en-US" w:eastAsia="zh-CN"/>
              </w:rPr>
            </w:pPr>
            <w:r>
              <w:rPr>
                <w:rFonts w:hint="eastAsia" w:ascii="宋体" w:hAnsi="宋体" w:eastAsia="宋体"/>
                <w:sz w:val="17"/>
                <w:szCs w:val="24"/>
                <w:lang w:val="en-US" w:eastAsia="zh-CN"/>
              </w:rPr>
              <w:t>第十五等地工业建议值</w:t>
            </w:r>
          </w:p>
        </w:tc>
        <w:tc>
          <w:tcPr>
            <w:tcW w:w="1305" w:type="pct"/>
            <w:tcBorders>
              <w:top w:val="single" w:color="auto" w:sz="4" w:space="0"/>
              <w:left w:val="single" w:color="000000" w:sz="4" w:space="0"/>
              <w:bottom w:val="single" w:color="auto" w:sz="4" w:space="0"/>
              <w:right w:val="single" w:color="000000" w:sz="4" w:space="0"/>
              <w:tl2br w:val="nil"/>
              <w:tr2bl w:val="nil"/>
            </w:tcBorders>
            <w:noWrap w:val="0"/>
            <w:vAlign w:val="center"/>
          </w:tcPr>
          <w:p>
            <w:pPr>
              <w:pStyle w:val="13"/>
              <w:kinsoku w:val="0"/>
              <w:overflowPunct w:val="0"/>
              <w:spacing w:before="89" w:beforeLines="0" w:afterLines="0"/>
              <w:ind w:left="119"/>
              <w:jc w:val="center"/>
              <w:rPr>
                <w:rFonts w:hint="eastAsia" w:ascii="宋体" w:hAnsi="宋体" w:eastAsia="宋体"/>
                <w:sz w:val="17"/>
                <w:szCs w:val="24"/>
                <w:lang w:val="en-US" w:eastAsia="zh-CN"/>
              </w:rPr>
            </w:pPr>
            <w:r>
              <w:rPr>
                <w:rFonts w:hint="eastAsia" w:ascii="宋体" w:hAnsi="宋体" w:eastAsia="宋体"/>
                <w:sz w:val="17"/>
                <w:szCs w:val="24"/>
                <w:lang w:val="en-US" w:eastAsia="zh-CN"/>
              </w:rPr>
              <w:t>战略性新兴产</w:t>
            </w:r>
            <w:r>
              <w:rPr>
                <w:rFonts w:hint="eastAsia" w:ascii="宋体" w:hAnsi="宋体"/>
                <w:sz w:val="17"/>
                <w:szCs w:val="24"/>
                <w:lang w:val="en-US" w:eastAsia="zh-CN"/>
              </w:rPr>
              <w:t>业</w:t>
            </w:r>
            <w:r>
              <w:rPr>
                <w:rFonts w:hint="eastAsia" w:ascii="宋体" w:hAnsi="宋体" w:eastAsia="宋体"/>
                <w:sz w:val="17"/>
                <w:szCs w:val="24"/>
                <w:lang w:val="en-US" w:eastAsia="zh-CN"/>
              </w:rPr>
              <w:t>、先进</w:t>
            </w:r>
          </w:p>
          <w:p>
            <w:pPr>
              <w:pStyle w:val="13"/>
              <w:kinsoku w:val="0"/>
              <w:overflowPunct w:val="0"/>
              <w:spacing w:before="89" w:beforeLines="0" w:afterLines="0"/>
              <w:ind w:left="119"/>
              <w:jc w:val="center"/>
              <w:rPr>
                <w:rFonts w:hint="default" w:ascii="宋体" w:hAnsi="宋体" w:eastAsia="宋体"/>
                <w:sz w:val="17"/>
                <w:szCs w:val="24"/>
                <w:lang w:val="en-US" w:eastAsia="zh-CN"/>
              </w:rPr>
            </w:pPr>
            <w:r>
              <w:rPr>
                <w:rFonts w:hint="eastAsia" w:ascii="宋体" w:hAnsi="宋体" w:eastAsia="宋体"/>
                <w:sz w:val="17"/>
                <w:szCs w:val="24"/>
                <w:lang w:val="en-US" w:eastAsia="zh-CN"/>
              </w:rPr>
              <w:t>制造业项目</w:t>
            </w: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p>
          <w:p>
            <w:pPr>
              <w:pStyle w:val="13"/>
              <w:kinsoku w:val="0"/>
              <w:overflowPunct w:val="0"/>
              <w:spacing w:before="89" w:beforeLines="0" w:afterLines="0"/>
              <w:ind w:left="119"/>
              <w:jc w:val="center"/>
              <w:rPr>
                <w:rFonts w:hint="default" w:ascii="宋体" w:hAnsi="宋体" w:eastAsia="宋体"/>
                <w:sz w:val="17"/>
                <w:szCs w:val="24"/>
                <w:lang w:val="en-US" w:eastAsia="zh-CN"/>
              </w:rPr>
            </w:pPr>
            <w:r>
              <w:rPr>
                <w:rFonts w:hint="eastAsia" w:ascii="宋体" w:hAnsi="宋体" w:eastAsia="宋体"/>
                <w:sz w:val="17"/>
                <w:szCs w:val="24"/>
                <w:lang w:val="en-US" w:eastAsia="zh-CN"/>
              </w:rPr>
              <w:t>在工业项目基础上按照附录E、F对应的行业整体上浮</w:t>
            </w:r>
          </w:p>
          <w:p>
            <w:pPr>
              <w:pStyle w:val="13"/>
              <w:kinsoku w:val="0"/>
              <w:overflowPunct w:val="0"/>
              <w:spacing w:before="89" w:beforeLines="0" w:afterLines="0"/>
              <w:ind w:left="119"/>
              <w:jc w:val="center"/>
              <w:rPr>
                <w:rFonts w:hint="default" w:ascii="宋体" w:hAnsi="宋体" w:eastAsia="宋体"/>
                <w:sz w:val="17"/>
                <w:szCs w:val="24"/>
                <w:lang w:val="en-US" w:eastAsia="zh-CN"/>
              </w:rPr>
            </w:pPr>
            <w:r>
              <w:rPr>
                <w:rFonts w:hint="eastAsia" w:ascii="宋体" w:hAnsi="宋体" w:eastAsia="宋体"/>
                <w:sz w:val="17"/>
                <w:szCs w:val="24"/>
                <w:lang w:val="en-US" w:eastAsia="zh-CN"/>
              </w:rPr>
              <w:t>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sz w:val="24"/>
                <w:szCs w:val="24"/>
                <w:lang w:val="en-US" w:eastAsia="zh-CN"/>
              </w:rPr>
            </w:pPr>
            <w:r>
              <w:rPr>
                <w:rFonts w:hint="eastAsia"/>
                <w:sz w:val="24"/>
                <w:szCs w:val="24"/>
                <w:lang w:val="en-US" w:eastAsia="zh-CN"/>
              </w:rPr>
              <w:t>13</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89" w:beforeLines="0" w:afterLines="0"/>
              <w:jc w:val="both"/>
              <w:rPr>
                <w:rFonts w:hint="eastAsia" w:ascii="宋体" w:hAnsi="宋体" w:eastAsia="宋体"/>
                <w:sz w:val="17"/>
                <w:szCs w:val="24"/>
              </w:rPr>
            </w:pPr>
            <w:r>
              <w:rPr>
                <w:rFonts w:hint="eastAsia" w:ascii="宋体" w:hAnsi="宋体" w:eastAsia="宋体"/>
                <w:sz w:val="17"/>
                <w:szCs w:val="24"/>
              </w:rPr>
              <w:t>农副食品加工业</w:t>
            </w:r>
          </w:p>
        </w:tc>
        <w:tc>
          <w:tcPr>
            <w:tcW w:w="834" w:type="pct"/>
            <w:tcBorders>
              <w:top w:val="single" w:color="auto" w:sz="4"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eastAsia" w:ascii="宋体" w:hAnsi="宋体" w:eastAsia="宋体"/>
                <w:spacing w:val="-7"/>
                <w:sz w:val="17"/>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restart"/>
            <w:tcBorders>
              <w:top w:val="single" w:color="auto" w:sz="4" w:space="0"/>
              <w:left w:val="single" w:color="000000" w:sz="4" w:space="0"/>
              <w:right w:val="single" w:color="000000" w:sz="4" w:space="0"/>
              <w:tl2br w:val="nil"/>
              <w:tr2bl w:val="nil"/>
            </w:tcBorders>
            <w:noWrap w:val="0"/>
            <w:vAlign w:val="center"/>
          </w:tcPr>
          <w:p>
            <w:pPr>
              <w:pStyle w:val="13"/>
              <w:kinsoku w:val="0"/>
              <w:overflowPunct w:val="0"/>
              <w:spacing w:before="64" w:beforeLines="0" w:afterLines="0"/>
              <w:jc w:val="both"/>
              <w:rPr>
                <w:rFonts w:hint="eastAsia" w:ascii="宋体" w:hAnsi="宋体" w:eastAsia="宋体"/>
                <w:spacing w:val="-1"/>
                <w:sz w:val="17"/>
                <w:szCs w:val="24"/>
              </w:rPr>
            </w:pPr>
            <w:r>
              <w:rPr>
                <w:rFonts w:hint="eastAsia" w:ascii="宋体" w:hAnsi="宋体" w:eastAsia="宋体"/>
                <w:spacing w:val="-1"/>
                <w:sz w:val="17"/>
                <w:szCs w:val="24"/>
              </w:rPr>
              <w:t>在工业项目基础上按照附录E、F对对应的行业整体上浮5%-10%。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14</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9" w:beforeLines="0" w:afterLines="0"/>
              <w:jc w:val="both"/>
              <w:rPr>
                <w:rFonts w:hint="default"/>
                <w:sz w:val="24"/>
                <w:szCs w:val="24"/>
              </w:rPr>
            </w:pPr>
            <w:r>
              <w:rPr>
                <w:rFonts w:hint="eastAsia" w:ascii="宋体" w:hAnsi="宋体" w:eastAsia="宋体"/>
                <w:sz w:val="17"/>
                <w:szCs w:val="24"/>
              </w:rPr>
              <w:t>食品制造业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15</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7" w:beforeLines="0" w:afterLines="0"/>
              <w:jc w:val="both"/>
              <w:rPr>
                <w:rFonts w:hint="default"/>
                <w:sz w:val="24"/>
                <w:szCs w:val="24"/>
              </w:rPr>
            </w:pPr>
            <w:r>
              <w:rPr>
                <w:rFonts w:hint="eastAsia" w:ascii="宋体" w:hAnsi="宋体" w:eastAsia="宋体"/>
                <w:sz w:val="17"/>
                <w:szCs w:val="24"/>
              </w:rPr>
              <w:t>酒、饮料和精制茶制造业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96"/>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16</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9" w:beforeLines="0" w:afterLines="0"/>
              <w:jc w:val="both"/>
              <w:rPr>
                <w:rFonts w:hint="default"/>
                <w:sz w:val="24"/>
                <w:szCs w:val="24"/>
              </w:rPr>
            </w:pPr>
            <w:r>
              <w:rPr>
                <w:rFonts w:hint="eastAsia" w:ascii="宋体" w:hAnsi="宋体" w:eastAsia="宋体"/>
                <w:sz w:val="17"/>
                <w:szCs w:val="24"/>
              </w:rPr>
              <w:t>烟草制品业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7</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17</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9" w:beforeLines="0" w:afterLines="0"/>
              <w:jc w:val="both"/>
              <w:rPr>
                <w:rFonts w:hint="default"/>
                <w:sz w:val="24"/>
                <w:szCs w:val="24"/>
              </w:rPr>
            </w:pPr>
            <w:r>
              <w:rPr>
                <w:rFonts w:hint="eastAsia" w:ascii="宋体" w:hAnsi="宋体" w:eastAsia="宋体"/>
                <w:sz w:val="17"/>
                <w:szCs w:val="24"/>
              </w:rPr>
              <w:t>纺织业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18</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纺织服装、服饰业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19</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皮革</w:t>
            </w:r>
            <w:r>
              <w:rPr>
                <w:rFonts w:hint="eastAsia" w:ascii="宋体" w:hAnsi="宋体" w:eastAsia="宋体"/>
                <w:spacing w:val="-29"/>
                <w:sz w:val="17"/>
                <w:szCs w:val="24"/>
              </w:rPr>
              <w:t>、</w:t>
            </w:r>
            <w:r>
              <w:rPr>
                <w:rFonts w:hint="eastAsia" w:ascii="宋体" w:hAnsi="宋体" w:eastAsia="宋体"/>
                <w:sz w:val="17"/>
                <w:szCs w:val="24"/>
              </w:rPr>
              <w:t>毛皮</w:t>
            </w:r>
            <w:r>
              <w:rPr>
                <w:rFonts w:hint="eastAsia" w:ascii="宋体" w:hAnsi="宋体" w:eastAsia="宋体"/>
                <w:spacing w:val="-26"/>
                <w:sz w:val="17"/>
                <w:szCs w:val="24"/>
              </w:rPr>
              <w:t>、</w:t>
            </w:r>
            <w:r>
              <w:rPr>
                <w:rFonts w:hint="eastAsia" w:ascii="宋体" w:hAnsi="宋体" w:eastAsia="宋体"/>
                <w:sz w:val="17"/>
                <w:szCs w:val="24"/>
              </w:rPr>
              <w:t>羽毛及其制品和制鞋业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pacing w:val="-4"/>
                <w:sz w:val="17"/>
                <w:szCs w:val="24"/>
              </w:rPr>
              <w:t>1</w:t>
            </w:r>
            <w:r>
              <w:rPr>
                <w:rFonts w:hint="eastAsia" w:ascii="宋体" w:hAnsi="宋体" w:eastAsia="宋体"/>
                <w:sz w:val="17"/>
                <w:szCs w:val="24"/>
              </w:rPr>
              <w:t>1</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19"/>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20</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line="241" w:lineRule="exact"/>
              <w:jc w:val="both"/>
              <w:rPr>
                <w:rFonts w:hint="default"/>
                <w:sz w:val="24"/>
                <w:szCs w:val="24"/>
              </w:rPr>
            </w:pPr>
            <w:r>
              <w:rPr>
                <w:rFonts w:hint="eastAsia" w:ascii="宋体" w:hAnsi="宋体" w:eastAsia="宋体"/>
                <w:sz w:val="17"/>
                <w:szCs w:val="24"/>
              </w:rPr>
              <w:t>木材加工和木</w:t>
            </w:r>
            <w:r>
              <w:rPr>
                <w:rFonts w:hint="eastAsia" w:ascii="宋体" w:hAnsi="宋体" w:eastAsia="宋体"/>
                <w:spacing w:val="7"/>
                <w:sz w:val="17"/>
                <w:szCs w:val="24"/>
              </w:rPr>
              <w:t>、</w:t>
            </w:r>
            <w:r>
              <w:rPr>
                <w:rFonts w:hint="eastAsia" w:ascii="宋体" w:hAnsi="宋体" w:eastAsia="宋体"/>
                <w:sz w:val="17"/>
                <w:szCs w:val="24"/>
              </w:rPr>
              <w:t>竹</w:t>
            </w:r>
            <w:r>
              <w:rPr>
                <w:rFonts w:hint="eastAsia" w:ascii="宋体" w:hAnsi="宋体" w:eastAsia="宋体"/>
                <w:spacing w:val="7"/>
                <w:sz w:val="17"/>
                <w:szCs w:val="24"/>
              </w:rPr>
              <w:t>、</w:t>
            </w:r>
            <w:r>
              <w:rPr>
                <w:rFonts w:hint="eastAsia" w:ascii="宋体" w:hAnsi="宋体" w:eastAsia="宋体"/>
                <w:sz w:val="17"/>
                <w:szCs w:val="24"/>
              </w:rPr>
              <w:t>藤</w:t>
            </w:r>
            <w:r>
              <w:rPr>
                <w:rFonts w:hint="eastAsia" w:ascii="宋体" w:hAnsi="宋体" w:eastAsia="宋体"/>
                <w:spacing w:val="10"/>
                <w:sz w:val="17"/>
                <w:szCs w:val="24"/>
              </w:rPr>
              <w:t>、</w:t>
            </w:r>
            <w:r>
              <w:rPr>
                <w:rFonts w:hint="eastAsia" w:ascii="宋体" w:hAnsi="宋体" w:eastAsia="宋体"/>
                <w:sz w:val="17"/>
                <w:szCs w:val="24"/>
              </w:rPr>
              <w:t>棕</w:t>
            </w:r>
            <w:r>
              <w:rPr>
                <w:rFonts w:hint="eastAsia" w:ascii="宋体" w:hAnsi="宋体" w:eastAsia="宋体"/>
                <w:spacing w:val="10"/>
                <w:sz w:val="17"/>
                <w:szCs w:val="24"/>
              </w:rPr>
              <w:t>、</w:t>
            </w:r>
            <w:r>
              <w:rPr>
                <w:rFonts w:hint="eastAsia" w:ascii="宋体" w:hAnsi="宋体" w:eastAsia="宋体"/>
                <w:sz w:val="17"/>
                <w:szCs w:val="24"/>
              </w:rPr>
              <w:t>草制品业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336"/>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21</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家具制造业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22</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2" w:beforeLines="0" w:afterLines="0"/>
              <w:jc w:val="both"/>
              <w:rPr>
                <w:rFonts w:hint="default"/>
                <w:sz w:val="24"/>
                <w:szCs w:val="24"/>
              </w:rPr>
            </w:pPr>
            <w:r>
              <w:rPr>
                <w:rFonts w:hint="eastAsia" w:ascii="宋体" w:hAnsi="宋体" w:eastAsia="宋体"/>
                <w:sz w:val="17"/>
                <w:szCs w:val="24"/>
              </w:rPr>
              <w:t>造纸和纸制品业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23</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0" w:beforeLines="0" w:afterLines="0"/>
              <w:jc w:val="both"/>
              <w:rPr>
                <w:rFonts w:hint="default"/>
                <w:sz w:val="24"/>
                <w:szCs w:val="24"/>
              </w:rPr>
            </w:pPr>
            <w:r>
              <w:rPr>
                <w:rFonts w:hint="eastAsia" w:ascii="宋体" w:hAnsi="宋体" w:eastAsia="宋体"/>
                <w:spacing w:val="12"/>
                <w:sz w:val="17"/>
                <w:szCs w:val="24"/>
              </w:rPr>
              <w:t>印刷</w:t>
            </w:r>
            <w:r>
              <w:rPr>
                <w:rFonts w:hint="eastAsia" w:ascii="宋体" w:hAnsi="宋体" w:eastAsia="宋体"/>
                <w:spacing w:val="10"/>
                <w:sz w:val="17"/>
                <w:szCs w:val="24"/>
              </w:rPr>
              <w:t>和</w:t>
            </w:r>
            <w:r>
              <w:rPr>
                <w:rFonts w:hint="eastAsia" w:ascii="宋体" w:hAnsi="宋体" w:eastAsia="宋体"/>
                <w:spacing w:val="12"/>
                <w:sz w:val="17"/>
                <w:szCs w:val="24"/>
              </w:rPr>
              <w:t>记录媒介复</w:t>
            </w:r>
            <w:r>
              <w:rPr>
                <w:rFonts w:hint="eastAsia" w:ascii="宋体" w:hAnsi="宋体" w:eastAsia="宋体"/>
                <w:spacing w:val="10"/>
                <w:sz w:val="17"/>
                <w:szCs w:val="24"/>
              </w:rPr>
              <w:t>制</w:t>
            </w:r>
            <w:r>
              <w:rPr>
                <w:rFonts w:hint="eastAsia" w:ascii="宋体" w:hAnsi="宋体" w:eastAsia="宋体"/>
                <w:sz w:val="17"/>
                <w:szCs w:val="24"/>
              </w:rPr>
              <w:t>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24</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2"/>
                <w:sz w:val="17"/>
                <w:szCs w:val="24"/>
              </w:rPr>
              <w:t>文</w:t>
            </w:r>
            <w:r>
              <w:rPr>
                <w:rFonts w:hint="eastAsia" w:ascii="宋体" w:hAnsi="宋体" w:eastAsia="宋体"/>
                <w:sz w:val="17"/>
                <w:szCs w:val="24"/>
              </w:rPr>
              <w:t>教</w:t>
            </w:r>
            <w:r>
              <w:rPr>
                <w:rFonts w:hint="eastAsia" w:ascii="宋体" w:hAnsi="宋体" w:eastAsia="宋体"/>
                <w:spacing w:val="2"/>
                <w:sz w:val="17"/>
                <w:szCs w:val="24"/>
              </w:rPr>
              <w:t>、工</w:t>
            </w:r>
            <w:r>
              <w:rPr>
                <w:rFonts w:hint="eastAsia" w:ascii="宋体" w:hAnsi="宋体" w:eastAsia="宋体"/>
                <w:sz w:val="17"/>
                <w:szCs w:val="24"/>
              </w:rPr>
              <w:t>美</w:t>
            </w:r>
            <w:r>
              <w:rPr>
                <w:rFonts w:hint="eastAsia" w:ascii="宋体" w:hAnsi="宋体" w:eastAsia="宋体"/>
                <w:spacing w:val="2"/>
                <w:sz w:val="17"/>
                <w:szCs w:val="24"/>
              </w:rPr>
              <w:t>、体</w:t>
            </w:r>
            <w:r>
              <w:rPr>
                <w:rFonts w:hint="eastAsia" w:ascii="宋体" w:hAnsi="宋体" w:eastAsia="宋体"/>
                <w:sz w:val="17"/>
                <w:szCs w:val="24"/>
              </w:rPr>
              <w:t>育</w:t>
            </w:r>
            <w:r>
              <w:rPr>
                <w:rFonts w:hint="eastAsia" w:ascii="宋体" w:hAnsi="宋体" w:eastAsia="宋体"/>
                <w:spacing w:val="2"/>
                <w:sz w:val="17"/>
                <w:szCs w:val="24"/>
              </w:rPr>
              <w:t>和娱</w:t>
            </w:r>
            <w:r>
              <w:rPr>
                <w:rFonts w:hint="eastAsia" w:ascii="宋体" w:hAnsi="宋体" w:eastAsia="宋体"/>
                <w:sz w:val="17"/>
                <w:szCs w:val="24"/>
              </w:rPr>
              <w:t>乐</w:t>
            </w:r>
            <w:r>
              <w:rPr>
                <w:rFonts w:hint="eastAsia" w:ascii="宋体" w:hAnsi="宋体" w:eastAsia="宋体"/>
                <w:spacing w:val="2"/>
                <w:sz w:val="17"/>
                <w:szCs w:val="24"/>
              </w:rPr>
              <w:t>用品</w:t>
            </w:r>
            <w:r>
              <w:rPr>
                <w:rFonts w:hint="eastAsia" w:ascii="宋体" w:hAnsi="宋体" w:eastAsia="宋体"/>
                <w:sz w:val="17"/>
                <w:szCs w:val="24"/>
              </w:rPr>
              <w:t>制</w:t>
            </w:r>
            <w:r>
              <w:rPr>
                <w:rFonts w:hint="eastAsia" w:ascii="宋体" w:hAnsi="宋体" w:eastAsia="宋体"/>
                <w:spacing w:val="2"/>
                <w:sz w:val="17"/>
                <w:szCs w:val="24"/>
              </w:rPr>
              <w:t>造</w:t>
            </w:r>
            <w:r>
              <w:rPr>
                <w:rFonts w:hint="eastAsia" w:ascii="宋体" w:hAnsi="宋体" w:eastAsia="宋体"/>
                <w:sz w:val="17"/>
                <w:szCs w:val="24"/>
              </w:rPr>
              <w:t>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pacing w:val="-4"/>
                <w:sz w:val="17"/>
                <w:szCs w:val="24"/>
              </w:rPr>
              <w:t>2</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19"/>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25</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石油、煤炭及其他燃料加工业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26</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3" w:beforeLines="0" w:afterLines="0"/>
              <w:jc w:val="both"/>
              <w:rPr>
                <w:rFonts w:hint="default"/>
                <w:sz w:val="24"/>
                <w:szCs w:val="24"/>
              </w:rPr>
            </w:pPr>
            <w:r>
              <w:rPr>
                <w:rFonts w:hint="eastAsia" w:ascii="宋体" w:hAnsi="宋体" w:eastAsia="宋体"/>
                <w:sz w:val="17"/>
                <w:szCs w:val="24"/>
              </w:rPr>
              <w:t>化学原料和化学制品制造业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96"/>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27</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医药制造业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167"/>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28</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化学纤维制造业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167"/>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29</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3" w:beforeLines="0" w:afterLines="0"/>
              <w:jc w:val="both"/>
              <w:rPr>
                <w:rFonts w:hint="default"/>
                <w:sz w:val="24"/>
                <w:szCs w:val="24"/>
              </w:rPr>
            </w:pPr>
            <w:r>
              <w:rPr>
                <w:rFonts w:hint="eastAsia" w:ascii="宋体" w:hAnsi="宋体" w:eastAsia="宋体"/>
                <w:sz w:val="17"/>
                <w:szCs w:val="24"/>
              </w:rPr>
              <w:t>橡胶和塑料制品业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86" w:beforeLines="0" w:afterLines="0"/>
              <w:ind w:left="167"/>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30</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非金属矿物制品业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77" w:beforeLines="0" w:afterLines="0"/>
              <w:ind w:left="167"/>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31</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黑色金属</w:t>
            </w:r>
            <w:r>
              <w:rPr>
                <w:rFonts w:hint="eastAsia" w:ascii="宋体" w:hAnsi="宋体"/>
                <w:sz w:val="17"/>
                <w:szCs w:val="24"/>
                <w:lang w:eastAsia="zh-CN"/>
              </w:rPr>
              <w:t>冶炼</w:t>
            </w:r>
            <w:r>
              <w:rPr>
                <w:rFonts w:hint="eastAsia" w:ascii="宋体" w:hAnsi="宋体" w:eastAsia="宋体"/>
                <w:sz w:val="17"/>
                <w:szCs w:val="24"/>
              </w:rPr>
              <w:t>和压延加工业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line="161" w:lineRule="exact"/>
              <w:ind w:left="208"/>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32</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有色金属冶炼和压延加工业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33</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5" w:beforeLines="0" w:afterLines="0"/>
              <w:jc w:val="both"/>
              <w:rPr>
                <w:rFonts w:hint="default"/>
                <w:sz w:val="24"/>
                <w:szCs w:val="24"/>
              </w:rPr>
            </w:pPr>
            <w:r>
              <w:rPr>
                <w:rFonts w:hint="eastAsia" w:ascii="宋体" w:hAnsi="宋体" w:eastAsia="宋体"/>
                <w:sz w:val="17"/>
                <w:szCs w:val="24"/>
              </w:rPr>
              <w:t>金属制品业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right w:val="single" w:color="000000" w:sz="4" w:space="0"/>
              <w:tl2br w:val="nil"/>
              <w:tr2bl w:val="nil"/>
            </w:tcBorders>
            <w:noWrap w:val="0"/>
            <w:vAlign w:val="center"/>
          </w:tcPr>
          <w:p>
            <w:pPr>
              <w:spacing w:beforeLines="0" w:afterLines="0"/>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34</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通用设备制造业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35</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专用设备制造业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96"/>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36</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汽车制造业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8</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sz w:val="24"/>
                <w:szCs w:val="24"/>
                <w:lang w:val="en-US" w:eastAsia="zh-CN"/>
              </w:rPr>
            </w:pPr>
            <w:r>
              <w:rPr>
                <w:rFonts w:hint="eastAsia"/>
                <w:sz w:val="24"/>
                <w:szCs w:val="24"/>
                <w:lang w:val="en-US" w:eastAsia="zh-CN"/>
              </w:rPr>
              <w:t>37</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line="369" w:lineRule="auto"/>
              <w:ind w:right="97"/>
              <w:jc w:val="both"/>
              <w:rPr>
                <w:rFonts w:hint="default"/>
                <w:sz w:val="24"/>
                <w:szCs w:val="24"/>
              </w:rPr>
            </w:pPr>
            <w:r>
              <w:rPr>
                <w:rFonts w:hint="eastAsia" w:ascii="宋体" w:hAnsi="宋体" w:eastAsia="宋体"/>
                <w:sz w:val="17"/>
                <w:szCs w:val="24"/>
              </w:rPr>
              <w:t>铁路、船舶、航空航天和其他运输设</w:t>
            </w:r>
            <w:r>
              <w:rPr>
                <w:rFonts w:hint="eastAsia" w:ascii="宋体" w:hAnsi="宋体" w:eastAsia="宋体"/>
                <w:spacing w:val="12"/>
                <w:sz w:val="17"/>
                <w:szCs w:val="24"/>
              </w:rPr>
              <w:t>备制</w:t>
            </w:r>
            <w:r>
              <w:rPr>
                <w:rFonts w:hint="eastAsia" w:ascii="宋体" w:hAnsi="宋体" w:eastAsia="宋体"/>
                <w:spacing w:val="10"/>
                <w:sz w:val="17"/>
                <w:szCs w:val="24"/>
              </w:rPr>
              <w:t>造</w:t>
            </w:r>
            <w:r>
              <w:rPr>
                <w:rFonts w:hint="eastAsia" w:ascii="宋体" w:hAnsi="宋体" w:eastAsia="宋体"/>
                <w:sz w:val="17"/>
                <w:szCs w:val="24"/>
              </w:rPr>
              <w:t>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8</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38</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电气机械和器材制造业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5"/>
                <w:sz w:val="17"/>
                <w:szCs w:val="24"/>
              </w:rPr>
              <w:t>≥</w:t>
            </w:r>
            <w:r>
              <w:rPr>
                <w:rFonts w:hint="eastAsia" w:ascii="宋体" w:hAnsi="宋体" w:eastAsia="宋体"/>
                <w:spacing w:val="-1"/>
                <w:sz w:val="17"/>
                <w:szCs w:val="24"/>
              </w:rPr>
              <w:t>1</w:t>
            </w:r>
            <w:r>
              <w:rPr>
                <w:rFonts w:hint="eastAsia" w:ascii="宋体" w:hAnsi="宋体" w:eastAsia="宋体"/>
                <w:sz w:val="17"/>
                <w:szCs w:val="24"/>
              </w:rPr>
              <w:t>1</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57"/>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39</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计</w:t>
            </w:r>
            <w:r>
              <w:rPr>
                <w:rFonts w:hint="eastAsia" w:ascii="宋体" w:hAnsi="宋体" w:eastAsia="宋体"/>
                <w:spacing w:val="12"/>
                <w:sz w:val="17"/>
                <w:szCs w:val="24"/>
              </w:rPr>
              <w:t>算</w:t>
            </w:r>
            <w:r>
              <w:rPr>
                <w:rFonts w:hint="eastAsia" w:ascii="宋体" w:hAnsi="宋体" w:eastAsia="宋体"/>
                <w:sz w:val="17"/>
                <w:szCs w:val="24"/>
              </w:rPr>
              <w:t>机、</w:t>
            </w:r>
            <w:r>
              <w:rPr>
                <w:rFonts w:hint="eastAsia" w:ascii="宋体" w:hAnsi="宋体" w:eastAsia="宋体"/>
                <w:spacing w:val="12"/>
                <w:sz w:val="17"/>
                <w:szCs w:val="24"/>
              </w:rPr>
              <w:t>通</w:t>
            </w:r>
            <w:r>
              <w:rPr>
                <w:rFonts w:hint="eastAsia" w:ascii="宋体" w:hAnsi="宋体" w:eastAsia="宋体"/>
                <w:sz w:val="17"/>
                <w:szCs w:val="24"/>
              </w:rPr>
              <w:t>信和</w:t>
            </w:r>
            <w:r>
              <w:rPr>
                <w:rFonts w:hint="eastAsia" w:ascii="宋体" w:hAnsi="宋体" w:eastAsia="宋体"/>
                <w:spacing w:val="12"/>
                <w:sz w:val="17"/>
                <w:szCs w:val="24"/>
              </w:rPr>
              <w:t>其</w:t>
            </w:r>
            <w:r>
              <w:rPr>
                <w:rFonts w:hint="eastAsia" w:ascii="宋体" w:hAnsi="宋体" w:eastAsia="宋体"/>
                <w:sz w:val="17"/>
                <w:szCs w:val="24"/>
              </w:rPr>
              <w:t>他电</w:t>
            </w:r>
            <w:r>
              <w:rPr>
                <w:rFonts w:hint="eastAsia" w:ascii="宋体" w:hAnsi="宋体" w:eastAsia="宋体"/>
                <w:spacing w:val="12"/>
                <w:sz w:val="17"/>
                <w:szCs w:val="24"/>
              </w:rPr>
              <w:t>子</w:t>
            </w:r>
            <w:r>
              <w:rPr>
                <w:rFonts w:hint="eastAsia" w:ascii="宋体" w:hAnsi="宋体" w:eastAsia="宋体"/>
                <w:sz w:val="17"/>
                <w:szCs w:val="24"/>
              </w:rPr>
              <w:t>设备</w:t>
            </w:r>
            <w:r>
              <w:rPr>
                <w:rFonts w:hint="eastAsia" w:ascii="宋体" w:hAnsi="宋体" w:eastAsia="宋体"/>
                <w:spacing w:val="12"/>
                <w:sz w:val="17"/>
                <w:szCs w:val="24"/>
              </w:rPr>
              <w:t>制</w:t>
            </w:r>
            <w:r>
              <w:rPr>
                <w:rFonts w:hint="eastAsia" w:ascii="宋体" w:hAnsi="宋体" w:eastAsia="宋体"/>
                <w:sz w:val="17"/>
                <w:szCs w:val="24"/>
              </w:rPr>
              <w:t>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pacing w:val="-4"/>
                <w:sz w:val="17"/>
                <w:szCs w:val="24"/>
              </w:rPr>
              <w:t>1</w:t>
            </w:r>
            <w:r>
              <w:rPr>
                <w:rFonts w:hint="eastAsia" w:ascii="宋体" w:hAnsi="宋体" w:eastAsia="宋体"/>
                <w:sz w:val="17"/>
                <w:szCs w:val="24"/>
              </w:rPr>
              <w:t>1</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19"/>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40</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12"/>
                <w:sz w:val="17"/>
                <w:szCs w:val="24"/>
              </w:rPr>
              <w:t>仪器</w:t>
            </w:r>
            <w:r>
              <w:rPr>
                <w:rFonts w:hint="eastAsia" w:ascii="宋体" w:hAnsi="宋体" w:eastAsia="宋体"/>
                <w:spacing w:val="10"/>
                <w:sz w:val="17"/>
                <w:szCs w:val="24"/>
              </w:rPr>
              <w:t>仪</w:t>
            </w:r>
            <w:r>
              <w:rPr>
                <w:rFonts w:hint="eastAsia" w:ascii="宋体" w:hAnsi="宋体" w:eastAsia="宋体"/>
                <w:spacing w:val="12"/>
                <w:sz w:val="17"/>
                <w:szCs w:val="24"/>
              </w:rPr>
              <w:t>表制造</w:t>
            </w:r>
            <w:r>
              <w:rPr>
                <w:rFonts w:hint="eastAsia" w:ascii="宋体" w:hAnsi="宋体" w:eastAsia="宋体"/>
                <w:sz w:val="17"/>
                <w:szCs w:val="24"/>
              </w:rPr>
              <w:t>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8</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41</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z w:val="17"/>
                <w:szCs w:val="24"/>
              </w:rPr>
              <w:t>其他制造业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pacing w:val="-4"/>
                <w:sz w:val="17"/>
                <w:szCs w:val="24"/>
              </w:rPr>
              <w:t>1</w:t>
            </w:r>
            <w:r>
              <w:rPr>
                <w:rFonts w:hint="eastAsia" w:ascii="宋体" w:hAnsi="宋体" w:eastAsia="宋体"/>
                <w:sz w:val="17"/>
                <w:szCs w:val="24"/>
              </w:rPr>
              <w:t>0</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19"/>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42</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2"/>
                <w:sz w:val="17"/>
                <w:szCs w:val="24"/>
              </w:rPr>
              <w:t>废弃资源综合利用</w:t>
            </w:r>
            <w:r>
              <w:rPr>
                <w:rFonts w:hint="eastAsia" w:ascii="宋体" w:hAnsi="宋体" w:eastAsia="宋体"/>
                <w:sz w:val="17"/>
                <w:szCs w:val="24"/>
              </w:rPr>
              <w:t>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jc w:val="both"/>
              <w:rPr>
                <w:rFonts w:hint="default"/>
                <w:sz w:val="24"/>
                <w:szCs w:val="24"/>
              </w:rPr>
            </w:pPr>
            <w:r>
              <w:rPr>
                <w:rFonts w:hint="eastAsia" w:ascii="宋体" w:hAnsi="宋体" w:eastAsia="宋体"/>
                <w:spacing w:val="-7"/>
                <w:sz w:val="17"/>
                <w:szCs w:val="24"/>
              </w:rPr>
              <w:t>≥</w:t>
            </w:r>
            <w:r>
              <w:rPr>
                <w:rFonts w:hint="eastAsia" w:ascii="宋体" w:hAnsi="宋体" w:eastAsia="宋体"/>
                <w:spacing w:val="-4"/>
                <w:sz w:val="17"/>
                <w:szCs w:val="24"/>
              </w:rPr>
              <w:t>1</w:t>
            </w:r>
            <w:r>
              <w:rPr>
                <w:rFonts w:hint="eastAsia" w:ascii="宋体" w:hAnsi="宋体" w:eastAsia="宋体"/>
                <w:sz w:val="17"/>
                <w:szCs w:val="24"/>
              </w:rPr>
              <w:t>5</w:t>
            </w:r>
          </w:p>
        </w:tc>
        <w:tc>
          <w:tcPr>
            <w:tcW w:w="1305" w:type="pct"/>
            <w:vMerge w:val="continue"/>
            <w:tcBorders>
              <w:left w:val="single" w:color="000000" w:sz="4" w:space="0"/>
              <w:right w:val="single" w:color="000000" w:sz="4" w:space="0"/>
              <w:tl2br w:val="nil"/>
              <w:tr2bl w:val="nil"/>
            </w:tcBorders>
            <w:noWrap w:val="0"/>
            <w:vAlign w:val="center"/>
          </w:tcPr>
          <w:p>
            <w:pPr>
              <w:pStyle w:val="13"/>
              <w:kinsoku w:val="0"/>
              <w:overflowPunct w:val="0"/>
              <w:spacing w:beforeLines="0" w:afterLines="0"/>
              <w:ind w:left="219"/>
              <w:jc w:val="both"/>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537"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15" w:right="231"/>
              <w:jc w:val="both"/>
              <w:rPr>
                <w:rFonts w:hint="default" w:eastAsia="宋体"/>
                <w:sz w:val="24"/>
                <w:szCs w:val="24"/>
                <w:lang w:val="en-US" w:eastAsia="zh-CN"/>
              </w:rPr>
            </w:pPr>
            <w:r>
              <w:rPr>
                <w:rFonts w:hint="eastAsia"/>
                <w:sz w:val="24"/>
                <w:szCs w:val="24"/>
                <w:lang w:val="en-US" w:eastAsia="zh-CN"/>
              </w:rPr>
              <w:t>43</w:t>
            </w:r>
          </w:p>
        </w:tc>
        <w:tc>
          <w:tcPr>
            <w:tcW w:w="2321"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91" w:beforeLines="0" w:afterLines="0"/>
              <w:jc w:val="both"/>
              <w:rPr>
                <w:rFonts w:hint="default"/>
                <w:sz w:val="24"/>
                <w:szCs w:val="24"/>
              </w:rPr>
            </w:pPr>
            <w:r>
              <w:rPr>
                <w:rFonts w:hint="eastAsia" w:ascii="宋体" w:hAnsi="宋体" w:eastAsia="宋体"/>
                <w:sz w:val="17"/>
                <w:szCs w:val="24"/>
              </w:rPr>
              <w:t>金属制品、机械和设备修理业</w:t>
            </w:r>
          </w:p>
        </w:tc>
        <w:tc>
          <w:tcPr>
            <w:tcW w:w="834" w:type="pct"/>
            <w:tcBorders>
              <w:top w:val="single" w:color="000000" w:sz="2" w:space="0"/>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right="244"/>
              <w:jc w:val="both"/>
              <w:rPr>
                <w:rFonts w:hint="default"/>
                <w:sz w:val="24"/>
                <w:szCs w:val="24"/>
              </w:rPr>
            </w:pPr>
            <w:r>
              <w:rPr>
                <w:rFonts w:hint="eastAsia" w:ascii="宋体" w:hAnsi="宋体" w:eastAsia="宋体"/>
                <w:spacing w:val="-7"/>
                <w:sz w:val="17"/>
                <w:szCs w:val="24"/>
              </w:rPr>
              <w:t>≥</w:t>
            </w:r>
            <w:r>
              <w:rPr>
                <w:rFonts w:hint="eastAsia" w:ascii="宋体" w:hAnsi="宋体" w:eastAsia="宋体"/>
                <w:sz w:val="17"/>
                <w:szCs w:val="24"/>
              </w:rPr>
              <w:t>6</w:t>
            </w:r>
          </w:p>
        </w:tc>
        <w:tc>
          <w:tcPr>
            <w:tcW w:w="1305" w:type="pct"/>
            <w:vMerge w:val="continue"/>
            <w:tcBorders>
              <w:left w:val="single" w:color="000000" w:sz="4" w:space="0"/>
              <w:bottom w:val="single" w:color="000000" w:sz="2" w:space="0"/>
              <w:right w:val="single" w:color="000000" w:sz="4" w:space="0"/>
              <w:tl2br w:val="nil"/>
              <w:tr2bl w:val="nil"/>
            </w:tcBorders>
            <w:noWrap w:val="0"/>
            <w:vAlign w:val="center"/>
          </w:tcPr>
          <w:p>
            <w:pPr>
              <w:pStyle w:val="13"/>
              <w:kinsoku w:val="0"/>
              <w:overflowPunct w:val="0"/>
              <w:spacing w:beforeLines="0" w:afterLines="0"/>
              <w:ind w:left="238" w:right="244"/>
              <w:jc w:val="both"/>
              <w:rPr>
                <w:rFonts w:hint="default"/>
                <w:sz w:val="24"/>
                <w:szCs w:val="24"/>
              </w:rPr>
            </w:pPr>
          </w:p>
        </w:tc>
      </w:tr>
    </w:tbl>
    <w:p>
      <w:pPr>
        <w:pStyle w:val="4"/>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新县工业项目“标准地”履约监管协议</w:t>
      </w: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jc w:val="both"/>
        <w:textAlignment w:val="auto"/>
        <w:rPr>
          <w:rFonts w:hint="eastAsia" w:ascii="仿宋" w:hAnsi="仿宋" w:eastAsia="仿宋" w:cs="仿宋"/>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甲方：新县先进制造业开发区管理委员会</w:t>
      </w:r>
    </w:p>
    <w:p>
      <w:pPr>
        <w:pStyle w:val="4"/>
        <w:keepNext w:val="0"/>
        <w:keepLines w:val="0"/>
        <w:pageBreakBefore w:val="0"/>
        <w:widowControl w:val="0"/>
        <w:kinsoku/>
        <w:wordWrap/>
        <w:overflowPunct/>
        <w:topLinePunct w:val="0"/>
        <w:autoSpaceDE/>
        <w:autoSpaceDN/>
        <w:bidi w:val="0"/>
        <w:adjustRightInd/>
        <w:spacing w:line="580" w:lineRule="exact"/>
        <w:ind w:left="0" w:leftChars="0" w:firstLine="0" w:firstLineChars="0"/>
        <w:jc w:val="lef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乙方：</w:t>
      </w:r>
      <w:r>
        <w:rPr>
          <w:rFonts w:hint="eastAsia" w:ascii="仿宋_GB2312" w:hAnsi="仿宋_GB2312" w:eastAsia="仿宋_GB2312" w:cs="仿宋_GB2312"/>
          <w:sz w:val="32"/>
          <w:szCs w:val="32"/>
          <w:u w:val="single"/>
          <w:lang w:val="en-US" w:eastAsia="zh-CN"/>
        </w:rPr>
        <w:t>土地受让方</w:t>
      </w:r>
    </w:p>
    <w:p>
      <w:pPr>
        <w:pStyle w:val="4"/>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根据《中华人民共和国民法典》、《中华人民共和国土地管理法》等有关法律规定，按照《</w:t>
      </w:r>
      <w:r>
        <w:rPr>
          <w:rFonts w:hint="eastAsia" w:ascii="仿宋_GB2312" w:hAnsi="仿宋_GB2312" w:eastAsia="仿宋_GB2312" w:cs="仿宋_GB2312"/>
          <w:color w:val="000000"/>
          <w:sz w:val="32"/>
          <w:szCs w:val="32"/>
          <w:lang w:eastAsia="zh-CN"/>
        </w:rPr>
        <w:t>新</w:t>
      </w:r>
      <w:r>
        <w:rPr>
          <w:rFonts w:hint="eastAsia" w:ascii="仿宋_GB2312" w:hAnsi="仿宋_GB2312" w:eastAsia="仿宋_GB2312" w:cs="仿宋_GB2312"/>
          <w:color w:val="000000"/>
          <w:sz w:val="32"/>
          <w:szCs w:val="32"/>
        </w:rPr>
        <w:t>县工业用地“标准地”出让实施细则（试行）</w:t>
      </w:r>
      <w:r>
        <w:rPr>
          <w:rFonts w:hint="eastAsia" w:ascii="仿宋_GB2312" w:hAnsi="仿宋_GB2312" w:eastAsia="仿宋_GB2312" w:cs="仿宋_GB2312"/>
          <w:sz w:val="32"/>
          <w:szCs w:val="32"/>
          <w:u w:val="none"/>
          <w:lang w:val="en-US" w:eastAsia="zh-CN"/>
        </w:rPr>
        <w:t>》和《国有建设用地使用权出让合同》</w:t>
      </w:r>
      <w:r>
        <w:rPr>
          <w:rFonts w:hint="eastAsia" w:ascii="仿宋_GB2312" w:hAnsi="仿宋_GB2312" w:eastAsia="仿宋_GB2312" w:cs="仿宋_GB2312"/>
          <w:sz w:val="32"/>
          <w:szCs w:val="32"/>
          <w:lang w:val="en-US" w:eastAsia="zh-CN"/>
        </w:rPr>
        <w:t>（以下简称《合同》）</w:t>
      </w:r>
      <w:r>
        <w:rPr>
          <w:rFonts w:hint="eastAsia" w:ascii="仿宋_GB2312" w:hAnsi="仿宋_GB2312" w:eastAsia="仿宋_GB2312" w:cs="仿宋_GB2312"/>
          <w:sz w:val="32"/>
          <w:szCs w:val="32"/>
          <w:u w:val="none"/>
          <w:lang w:val="en-US" w:eastAsia="zh-CN"/>
        </w:rPr>
        <w:t>有关规定，甲乙双方本着平等自愿、友好协商的原则，约定如下：</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项目概况</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乙方实施的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项目，所属行业为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，项目总投资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，其中固定资产投资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，注册资本</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。项目选址于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用地面积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约定指标</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固定资产投资强度不低于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项目达产后亩均税收不低于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万元/亩。</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容积率不低于</w:t>
      </w:r>
      <w:r>
        <w:rPr>
          <w:rFonts w:hint="eastAsia" w:ascii="仿宋_GB2312" w:hAnsi="仿宋_GB2312" w:eastAsia="仿宋_GB2312" w:cs="仿宋_GB2312"/>
          <w:sz w:val="32"/>
          <w:szCs w:val="32"/>
          <w:u w:val="single"/>
          <w:lang w:val="en-US" w:eastAsia="zh-CN"/>
        </w:rPr>
        <w:t>（除生产工艺、安全生产等有特殊要求的，容积率不得低于1.0）</w:t>
      </w:r>
      <w:r>
        <w:rPr>
          <w:rFonts w:hint="eastAsia" w:ascii="仿宋_GB2312" w:hAnsi="仿宋_GB2312" w:eastAsia="仿宋_GB2312" w:cs="仿宋_GB2312"/>
          <w:sz w:val="32"/>
          <w:szCs w:val="32"/>
          <w:u w:val="none"/>
          <w:lang w:val="en-US" w:eastAsia="zh-CN"/>
        </w:rPr>
        <w:t>，建筑密度不低于</w:t>
      </w:r>
      <w:r>
        <w:rPr>
          <w:rFonts w:hint="eastAsia" w:ascii="仿宋_GB2312" w:hAnsi="仿宋_GB2312" w:eastAsia="仿宋_GB2312" w:cs="仿宋_GB2312"/>
          <w:sz w:val="32"/>
          <w:szCs w:val="32"/>
          <w:u w:val="single"/>
          <w:lang w:val="en-US" w:eastAsia="zh-CN"/>
        </w:rPr>
        <w:t>（不得低于40%）</w:t>
      </w:r>
      <w:r>
        <w:rPr>
          <w:rFonts w:hint="eastAsia" w:ascii="仿宋_GB2312" w:hAnsi="仿宋_GB2312" w:eastAsia="仿宋_GB2312" w:cs="仿宋_GB2312"/>
          <w:sz w:val="32"/>
          <w:szCs w:val="32"/>
          <w:u w:val="none"/>
          <w:lang w:val="en-US" w:eastAsia="zh-CN"/>
        </w:rPr>
        <w:t>，绿地率不超过</w:t>
      </w:r>
      <w:r>
        <w:rPr>
          <w:rFonts w:hint="eastAsia" w:ascii="仿宋_GB2312" w:hAnsi="仿宋_GB2312" w:eastAsia="仿宋_GB2312" w:cs="仿宋_GB2312"/>
          <w:sz w:val="32"/>
          <w:szCs w:val="32"/>
          <w:u w:val="single"/>
          <w:lang w:val="en-US" w:eastAsia="zh-CN"/>
        </w:rPr>
        <w:t>（不得超过20%）</w:t>
      </w:r>
      <w:r>
        <w:rPr>
          <w:rFonts w:hint="eastAsia" w:ascii="仿宋_GB2312" w:hAnsi="仿宋_GB2312" w:eastAsia="仿宋_GB2312" w:cs="仿宋_GB2312"/>
          <w:sz w:val="32"/>
          <w:szCs w:val="32"/>
          <w:u w:val="none"/>
          <w:lang w:val="en-US" w:eastAsia="zh-CN"/>
        </w:rPr>
        <w:t>。行政办公及生活服务设施占地面积不超过总用地面积的</w:t>
      </w:r>
      <w:r>
        <w:rPr>
          <w:rFonts w:hint="eastAsia" w:ascii="仿宋_GB2312" w:hAnsi="仿宋_GB2312" w:eastAsia="仿宋_GB2312" w:cs="仿宋_GB2312"/>
          <w:sz w:val="32"/>
          <w:szCs w:val="32"/>
          <w:u w:val="single"/>
          <w:lang w:val="en-US" w:eastAsia="zh-CN"/>
        </w:rPr>
        <w:t>（用地规模较大确需自行建设的不得超过7%）</w:t>
      </w:r>
      <w:r>
        <w:rPr>
          <w:rFonts w:hint="eastAsia" w:ascii="仿宋_GB2312" w:hAnsi="仿宋_GB2312" w:eastAsia="仿宋_GB2312" w:cs="仿宋_GB2312"/>
          <w:sz w:val="32"/>
          <w:szCs w:val="32"/>
          <w:u w:val="none"/>
          <w:lang w:val="en-US" w:eastAsia="zh-CN"/>
        </w:rPr>
        <w:t>，建筑面积不超总建筑面积的</w:t>
      </w:r>
      <w:r>
        <w:rPr>
          <w:rFonts w:hint="eastAsia" w:ascii="仿宋_GB2312" w:hAnsi="仿宋_GB2312" w:eastAsia="仿宋_GB2312" w:cs="仿宋_GB2312"/>
          <w:sz w:val="32"/>
          <w:szCs w:val="32"/>
          <w:u w:val="single"/>
          <w:lang w:val="en-US" w:eastAsia="zh-CN"/>
        </w:rPr>
        <w:t>（不得超过15%）</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环境指标</w:t>
      </w:r>
      <w:r>
        <w:rPr>
          <w:rFonts w:hint="eastAsia" w:ascii="仿宋_GB2312" w:hAnsi="仿宋_GB2312" w:eastAsia="仿宋_GB2312" w:cs="仿宋_GB2312"/>
          <w:sz w:val="32"/>
          <w:szCs w:val="32"/>
          <w:u w:val="single"/>
          <w:lang w:val="en-US" w:eastAsia="zh-CN"/>
        </w:rPr>
        <w:t xml:space="preserve">（包括空间准入要求、污染物排放标准及排放总量管控要求、环境质量管控标准和行业准入要求）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其他控制性指标</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项目建设</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3" w:leftChars="0" w:firstLine="643"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乙方项目建设严格按照本协议约定执行。</w:t>
      </w:r>
    </w:p>
    <w:p>
      <w:pPr>
        <w:pStyle w:val="4"/>
        <w:keepNext w:val="0"/>
        <w:keepLines w:val="0"/>
        <w:pageBreakBefore w:val="0"/>
        <w:widowControl w:val="0"/>
        <w:numPr>
          <w:ilvl w:val="0"/>
          <w:numId w:val="3"/>
        </w:numPr>
        <w:kinsoku/>
        <w:wordWrap/>
        <w:overflowPunct/>
        <w:topLinePunct w:val="0"/>
        <w:autoSpaceDE/>
        <w:autoSpaceDN/>
        <w:bidi w:val="0"/>
        <w:adjustRightInd/>
        <w:snapToGrid/>
        <w:spacing w:line="580" w:lineRule="exact"/>
        <w:ind w:left="-13" w:leftChars="0" w:firstLine="643" w:firstLineChars="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sz w:val="32"/>
          <w:szCs w:val="32"/>
          <w:u w:val="none"/>
          <w:lang w:val="en-US" w:eastAsia="zh-CN"/>
        </w:rPr>
        <w:t>乙方按照</w:t>
      </w:r>
      <w:r>
        <w:rPr>
          <w:rFonts w:hint="eastAsia" w:ascii="仿宋_GB2312" w:hAnsi="仿宋_GB2312" w:eastAsia="仿宋_GB2312" w:cs="仿宋_GB2312"/>
          <w:sz w:val="32"/>
          <w:szCs w:val="32"/>
          <w:lang w:val="en-US" w:eastAsia="zh-CN"/>
        </w:rPr>
        <w:t>《合同》</w:t>
      </w:r>
      <w:r>
        <w:rPr>
          <w:rFonts w:hint="eastAsia" w:ascii="仿宋_GB2312" w:hAnsi="仿宋_GB2312" w:eastAsia="仿宋_GB2312" w:cs="仿宋_GB2312"/>
          <w:sz w:val="32"/>
          <w:szCs w:val="32"/>
          <w:u w:val="none"/>
          <w:lang w:val="en-US" w:eastAsia="zh-CN"/>
        </w:rPr>
        <w:t>约定于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月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日前开工，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年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日前竣工，并向甲方提交《建筑工程施工许可证》、《竣工验收备案证书》，乙方在竣工验收通过后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个月内投产。 </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 w:hAnsi="仿宋" w:eastAsia="仿宋" w:cs="仿宋"/>
          <w:sz w:val="32"/>
          <w:szCs w:val="32"/>
          <w:u w:val="none"/>
          <w:lang w:val="en-US" w:eastAsia="zh-CN"/>
        </w:rPr>
      </w:pPr>
      <w:r>
        <w:rPr>
          <w:rFonts w:hint="eastAsia" w:ascii="黑体" w:hAnsi="黑体" w:eastAsia="黑体" w:cs="黑体"/>
          <w:b w:val="0"/>
          <w:bCs w:val="0"/>
          <w:sz w:val="32"/>
          <w:szCs w:val="32"/>
          <w:u w:val="none"/>
          <w:lang w:val="en-US" w:eastAsia="zh-CN"/>
        </w:rPr>
        <w:t>其他约定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项目验收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甲方组织有关部门按照《河南省人民政府关于推进产业集聚区用地提质增效促进县域经济高质量发展的意见》（豫政</w:t>
      </w:r>
      <w:r>
        <w:rPr>
          <w:rFonts w:hint="eastAsia" w:ascii="仿宋_GB2312" w:hAnsi="仿宋_GB2312" w:eastAsia="仿宋_GB2312" w:cs="仿宋_GB2312"/>
          <w:sz w:val="32"/>
          <w:szCs w:val="32"/>
          <w:lang w:val="en-US" w:eastAsia="zh-CN"/>
        </w:rPr>
        <w:t>〔2020〕32号</w:t>
      </w:r>
      <w:r>
        <w:rPr>
          <w:rFonts w:hint="eastAsia" w:ascii="仿宋_GB2312" w:hAnsi="仿宋_GB2312" w:eastAsia="仿宋_GB2312" w:cs="仿宋_GB2312"/>
          <w:sz w:val="32"/>
          <w:szCs w:val="32"/>
          <w:u w:val="none"/>
          <w:lang w:val="en-US" w:eastAsia="zh-CN"/>
        </w:rPr>
        <w:t>）和新县工业项目“标准地”竣工验收、达产复核办法进行对标验收。</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违约责任</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投资强度达不到约定指标的，乙方需追加投资直至履约，否则达产验收不予通过。</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亩均税收、能耗标准、环境标准等达不到约定指标的，给予一年整改期，期间不得享受各级政府的产业优惠政策。再次评价仍未达到准入标准的，对已享受的优惠政策予以追缴，综合评价降档。</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乙方未按约定开工、竣工的，每延期一日，按照《合同》约定向土地使用权出让人支付相当于国有建设用地使用权出让价款总额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‰的违约金</w:t>
      </w:r>
      <w:r>
        <w:rPr>
          <w:rFonts w:hint="eastAsia" w:ascii="仿宋_GB2312" w:hAnsi="仿宋_GB2312" w:eastAsia="仿宋_GB2312" w:cs="仿宋_GB2312"/>
          <w:sz w:val="32"/>
          <w:szCs w:val="32"/>
          <w:highlight w:val="none"/>
          <w:u w:val="none"/>
          <w:lang w:val="en-US" w:eastAsia="zh-CN"/>
        </w:rPr>
        <w:t>，由税务主管部门负责追缴；</w:t>
      </w:r>
      <w:r>
        <w:rPr>
          <w:rFonts w:hint="eastAsia" w:ascii="仿宋_GB2312" w:hAnsi="仿宋_GB2312" w:eastAsia="仿宋_GB2312" w:cs="仿宋_GB2312"/>
          <w:sz w:val="32"/>
          <w:szCs w:val="32"/>
          <w:u w:val="none"/>
          <w:lang w:val="en-US" w:eastAsia="zh-CN"/>
        </w:rPr>
        <w:t>构成闲置的，按《闲置土地处置办法》有关规定执行。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乙方未按约定投产的，由甲方会同自然资源主管部门按照《合同》有关条款处理。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乙方未按约定达产的，给予最长不超过2年的整改期；整改后仍未能达产的，由甲方引导项目限期协商退出。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对因相关政府部门原因导致项目竣工验收、达产复核延期的，约定的时间期限可依申请相应顺延。</w:t>
      </w:r>
    </w:p>
    <w:p>
      <w:pPr>
        <w:pStyle w:val="4"/>
        <w:keepNext w:val="0"/>
        <w:keepLines w:val="0"/>
        <w:pageBreakBefore w:val="0"/>
        <w:widowControl w:val="0"/>
        <w:numPr>
          <w:ilvl w:val="0"/>
          <w:numId w:val="4"/>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乙方因不可抗力不能履行约定的，可根据不可抗力的影响程度，部分或者全部免除责任，但应及时通知甲方，并提供不可抗力的详细说明和不能履约的有效证明材料；法律另有规定的除外。</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本协议未尽事宜，可由双方另立补充协议约定，补充协议作为本协议的组成部分，具有同等法律效力。</w:t>
      </w:r>
    </w:p>
    <w:p>
      <w:pPr>
        <w:pStyle w:val="4"/>
        <w:keepNext w:val="0"/>
        <w:keepLines w:val="0"/>
        <w:pageBreakBefore w:val="0"/>
        <w:widowControl w:val="0"/>
        <w:numPr>
          <w:ilvl w:val="0"/>
          <w:numId w:val="2"/>
        </w:numPr>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 w:hAnsi="仿宋" w:eastAsia="仿宋" w:cs="仿宋"/>
          <w:sz w:val="32"/>
          <w:szCs w:val="32"/>
          <w:u w:val="none"/>
          <w:lang w:val="en-US" w:eastAsia="zh-CN"/>
        </w:rPr>
      </w:pPr>
      <w:r>
        <w:rPr>
          <w:rFonts w:hint="eastAsia" w:ascii="仿宋_GB2312" w:hAnsi="仿宋_GB2312" w:eastAsia="仿宋_GB2312" w:cs="仿宋_GB2312"/>
          <w:sz w:val="32"/>
          <w:szCs w:val="32"/>
          <w:u w:val="none"/>
          <w:lang w:val="en-US" w:eastAsia="zh-CN"/>
        </w:rPr>
        <w:t>本协议自甲乙双方签订之日起生效，一式肆份，甲乙双方各壹份，报县科学技术和工业信息化局、县自然资源局备案各壹份。</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甲方（盖章）</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法定代表人（委托代理人）（签字）：</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时间：</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乙方（盖章）</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法定代表人（委托代理人）（签字）：</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jc w:val="both"/>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时间：</w:t>
      </w:r>
      <w:r>
        <w:rPr>
          <w:rFonts w:hint="eastAsia" w:ascii="仿宋_GB2312" w:hAnsi="仿宋_GB2312" w:eastAsia="仿宋_GB2312" w:cs="仿宋_GB2312"/>
          <w:sz w:val="32"/>
          <w:szCs w:val="32"/>
          <w:u w:val="single"/>
          <w:lang w:val="en-US" w:eastAsia="zh-CN"/>
        </w:rPr>
        <w:t xml:space="preserve">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eastAsia" w:ascii="楷体" w:hAnsi="楷体" w:eastAsia="楷体" w:cs="楷体"/>
          <w:b/>
          <w:bCs/>
          <w:sz w:val="32"/>
          <w:szCs w:val="32"/>
          <w:u w:val="none"/>
          <w:lang w:val="en-US" w:eastAsia="zh-CN"/>
        </w:rPr>
      </w:pPr>
      <w:r>
        <w:rPr>
          <w:rFonts w:hint="eastAsia" w:ascii="楷体" w:hAnsi="楷体" w:eastAsia="楷体" w:cs="楷体"/>
          <w:b/>
          <w:bCs/>
          <w:sz w:val="32"/>
          <w:szCs w:val="32"/>
          <w:u w:val="none"/>
          <w:lang w:val="en-US" w:eastAsia="zh-CN"/>
        </w:rPr>
        <w:t>注：本协议只作为参考，可根据实际情况调整相关内容。</w:t>
      </w: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eastAsia" w:ascii="黑体" w:hAnsi="黑体" w:eastAsia="黑体" w:cs="黑体"/>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left="0" w:leftChars="0" w:firstLine="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center"/>
        <w:textAlignment w:val="auto"/>
        <w:rPr>
          <w:rFonts w:hint="eastAsia" w:ascii="方正小标宋简体" w:hAnsi="方正小标宋简体" w:eastAsia="方正小标宋简体" w:cs="方正小标宋简体"/>
          <w:color w:val="auto"/>
          <w:sz w:val="44"/>
          <w:szCs w:val="44"/>
          <w:u w:val="none"/>
          <w:lang w:val="en-US" w:eastAsia="zh-CN"/>
        </w:rPr>
      </w:pPr>
      <w:r>
        <w:rPr>
          <w:rFonts w:hint="eastAsia" w:ascii="方正小标宋简体" w:hAnsi="方正小标宋简体" w:eastAsia="方正小标宋简体" w:cs="方正小标宋简体"/>
          <w:color w:val="auto"/>
          <w:sz w:val="44"/>
          <w:szCs w:val="44"/>
          <w:u w:val="none"/>
          <w:lang w:val="en-US" w:eastAsia="zh-CN"/>
        </w:rPr>
        <w:t>新县“标准地”企业信用承诺书</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仿宋" w:hAnsi="仿宋" w:eastAsia="仿宋" w:cs="仿宋"/>
          <w:sz w:val="32"/>
          <w:szCs w:val="32"/>
          <w:u w:val="none"/>
          <w:lang w:val="en-US"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新县先进制造业开发区：</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提高土地利用水平，优化土地资源要素配置，本着平等、自愿、诚实守信和节约集约利用土地的原则，依照签订的“标准地”《国有建设用地使用权出让合同》（以下简称《合同》）和《工业项目“标准地”履约监管协议》（以下简称《协议》），本企业承诺如下：</w:t>
      </w:r>
    </w:p>
    <w:p>
      <w:pPr>
        <w:pStyle w:val="4"/>
        <w:keepNext w:val="0"/>
        <w:keepLines w:val="0"/>
        <w:pageBreakBefore w:val="0"/>
        <w:widowControl w:val="0"/>
        <w:numPr>
          <w:ilvl w:val="0"/>
          <w:numId w:val="5"/>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承担诚实守信、勤勉尽责义务，严格遵守国家法律法规及省、市、县制定的政策和标准。</w:t>
      </w:r>
    </w:p>
    <w:p>
      <w:pPr>
        <w:pStyle w:val="4"/>
        <w:keepNext w:val="0"/>
        <w:keepLines w:val="0"/>
        <w:pageBreakBefore w:val="0"/>
        <w:widowControl w:val="0"/>
        <w:numPr>
          <w:ilvl w:val="0"/>
          <w:numId w:val="5"/>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严格按照承诺的各项指标标准进行设计和施工，在按标施建、竣工验收、投产验收和达产复核各个阶段，接受并配合相关监管部门的全过程动态监管。承诺按照有关规定办理相关建设手续或按照承诺制有关程序管理。</w:t>
      </w:r>
    </w:p>
    <w:p>
      <w:pPr>
        <w:pStyle w:val="4"/>
        <w:keepNext w:val="0"/>
        <w:keepLines w:val="0"/>
        <w:pageBreakBefore w:val="0"/>
        <w:widowControl w:val="0"/>
        <w:numPr>
          <w:ilvl w:val="0"/>
          <w:numId w:val="5"/>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严格遵守《合同》和《协议》相关要求，确保约定的目标如期实现。</w:t>
      </w:r>
    </w:p>
    <w:p>
      <w:pPr>
        <w:pStyle w:val="4"/>
        <w:keepNext w:val="0"/>
        <w:keepLines w:val="0"/>
        <w:pageBreakBefore w:val="0"/>
        <w:widowControl w:val="0"/>
        <w:numPr>
          <w:ilvl w:val="0"/>
          <w:numId w:val="5"/>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本承诺未尽事项，以《合同》和《协议》为准。</w:t>
      </w:r>
    </w:p>
    <w:p>
      <w:pPr>
        <w:pStyle w:val="4"/>
        <w:keepNext w:val="0"/>
        <w:keepLines w:val="0"/>
        <w:pageBreakBefore w:val="0"/>
        <w:widowControl w:val="0"/>
        <w:numPr>
          <w:ilvl w:val="0"/>
          <w:numId w:val="5"/>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本企业违反上述承诺的，自愿承担《合同》和《协议》相关违约责任且你方有权不予办理、暂缓办理各项许可事宜。由此产生的法律责任和违约责任均由本企业自行承担，与你单位无关。</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承诺单位（盖章）：</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法定代表人或委托代理人（签章）：</w:t>
      </w:r>
    </w:p>
    <w:p>
      <w:pPr>
        <w:pStyle w:val="4"/>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2240" w:firstLineChars="7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承诺时间：   年   月   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rPr>
          <w:rFonts w:hint="default" w:ascii="仿宋" w:hAnsi="仿宋" w:eastAsia="仿宋" w:cs="仿宋"/>
          <w:sz w:val="32"/>
          <w:szCs w:val="32"/>
          <w:u w:val="none"/>
          <w:lang w:val="en-US" w:eastAsia="zh-CN"/>
        </w:rPr>
      </w:pPr>
      <w:r>
        <w:rPr>
          <w:rFonts w:hint="eastAsia" w:ascii="楷体" w:hAnsi="楷体" w:eastAsia="楷体" w:cs="楷体"/>
          <w:b/>
          <w:bCs/>
          <w:sz w:val="32"/>
          <w:szCs w:val="32"/>
          <w:u w:val="none"/>
          <w:lang w:val="en-US" w:eastAsia="zh-CN"/>
        </w:rPr>
        <w:t>注：本承诺只作为参考，可根据实际情况调整相关内容。</w:t>
      </w:r>
    </w:p>
    <w:sectPr>
      <w:pgSz w:w="11906" w:h="16838"/>
      <w:pgMar w:top="1440" w:right="1287" w:bottom="1418" w:left="175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标宋">
    <w:altName w:val="微软雅黑"/>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文星简小标宋">
    <w:altName w:val="宋体"/>
    <w:panose1 w:val="02010609000101010101"/>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12"/>
                        <w:rFonts w:hint="eastAsia" w:ascii="宋体" w:hAnsi="宋体" w:eastAsia="宋体" w:cs="宋体"/>
                        <w:sz w:val="28"/>
                        <w:szCs w:val="28"/>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4A5CA5"/>
    <w:multiLevelType w:val="singleLevel"/>
    <w:tmpl w:val="AF4A5CA5"/>
    <w:lvl w:ilvl="0" w:tentative="0">
      <w:start w:val="1"/>
      <w:numFmt w:val="chineseCounting"/>
      <w:suff w:val="nothing"/>
      <w:lvlText w:val="%1、"/>
      <w:lvlJc w:val="left"/>
      <w:rPr>
        <w:rFonts w:hint="eastAsia" w:ascii="黑体" w:hAnsi="黑体" w:eastAsia="黑体" w:cs="黑体"/>
        <w:sz w:val="32"/>
        <w:szCs w:val="32"/>
      </w:rPr>
    </w:lvl>
  </w:abstractNum>
  <w:abstractNum w:abstractNumId="1">
    <w:nsid w:val="36F4D162"/>
    <w:multiLevelType w:val="singleLevel"/>
    <w:tmpl w:val="36F4D162"/>
    <w:lvl w:ilvl="0" w:tentative="0">
      <w:start w:val="15"/>
      <w:numFmt w:val="chineseCounting"/>
      <w:suff w:val="space"/>
      <w:lvlText w:val="第%1条"/>
      <w:lvlJc w:val="left"/>
      <w:rPr>
        <w:rFonts w:hint="eastAsia"/>
      </w:rPr>
    </w:lvl>
  </w:abstractNum>
  <w:abstractNum w:abstractNumId="2">
    <w:nsid w:val="436866C1"/>
    <w:multiLevelType w:val="singleLevel"/>
    <w:tmpl w:val="436866C1"/>
    <w:lvl w:ilvl="0" w:tentative="0">
      <w:start w:val="1"/>
      <w:numFmt w:val="chineseCounting"/>
      <w:suff w:val="nothing"/>
      <w:lvlText w:val="（%1）"/>
      <w:lvlJc w:val="left"/>
      <w:pPr>
        <w:ind w:left="-10"/>
      </w:pPr>
      <w:rPr>
        <w:rFonts w:hint="eastAsia" w:ascii="楷体" w:hAnsi="楷体" w:eastAsia="楷体" w:cs="楷体"/>
        <w:b/>
        <w:bCs/>
      </w:rPr>
    </w:lvl>
  </w:abstractNum>
  <w:abstractNum w:abstractNumId="3">
    <w:nsid w:val="55EF6417"/>
    <w:multiLevelType w:val="singleLevel"/>
    <w:tmpl w:val="55EF6417"/>
    <w:lvl w:ilvl="0" w:tentative="0">
      <w:start w:val="1"/>
      <w:numFmt w:val="chineseCounting"/>
      <w:suff w:val="nothing"/>
      <w:lvlText w:val="%1、"/>
      <w:lvlJc w:val="left"/>
      <w:pPr>
        <w:ind w:left="-10"/>
      </w:pPr>
      <w:rPr>
        <w:rFonts w:hint="eastAsia" w:ascii="黑体" w:hAnsi="黑体" w:eastAsia="黑体" w:cs="黑体"/>
        <w:sz w:val="32"/>
        <w:szCs w:val="32"/>
      </w:rPr>
    </w:lvl>
  </w:abstractNum>
  <w:abstractNum w:abstractNumId="4">
    <w:nsid w:val="632D42CA"/>
    <w:multiLevelType w:val="singleLevel"/>
    <w:tmpl w:val="632D42CA"/>
    <w:lvl w:ilvl="0" w:tentative="0">
      <w:start w:val="1"/>
      <w:numFmt w:val="chineseCounting"/>
      <w:suff w:val="nothing"/>
      <w:lvlText w:val="（%1）"/>
      <w:lvlJc w:val="left"/>
      <w:pPr>
        <w:ind w:left="-13"/>
      </w:pPr>
      <w:rPr>
        <w:rFonts w:hint="eastAsia" w:ascii="楷体" w:hAnsi="楷体" w:eastAsia="楷体" w:cs="楷体"/>
        <w:b/>
        <w:bCs/>
        <w:sz w:val="32"/>
        <w:szCs w:val="32"/>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04fbe506-9599-4b2b-a3b3-d168af375e60"/>
  </w:docVars>
  <w:rsids>
    <w:rsidRoot w:val="00144023"/>
    <w:rsid w:val="0001732E"/>
    <w:rsid w:val="00042894"/>
    <w:rsid w:val="000561DA"/>
    <w:rsid w:val="00060CA1"/>
    <w:rsid w:val="00070CAC"/>
    <w:rsid w:val="0008354A"/>
    <w:rsid w:val="000C0C52"/>
    <w:rsid w:val="000E5ED6"/>
    <w:rsid w:val="000F5155"/>
    <w:rsid w:val="0011075C"/>
    <w:rsid w:val="00144023"/>
    <w:rsid w:val="00175164"/>
    <w:rsid w:val="00185117"/>
    <w:rsid w:val="001A46E4"/>
    <w:rsid w:val="001B5C17"/>
    <w:rsid w:val="001F256D"/>
    <w:rsid w:val="002359F5"/>
    <w:rsid w:val="00241D3F"/>
    <w:rsid w:val="002615BE"/>
    <w:rsid w:val="002659DA"/>
    <w:rsid w:val="00270C3B"/>
    <w:rsid w:val="002A2EE3"/>
    <w:rsid w:val="002B594E"/>
    <w:rsid w:val="002C6608"/>
    <w:rsid w:val="002D515D"/>
    <w:rsid w:val="002E088E"/>
    <w:rsid w:val="003213C1"/>
    <w:rsid w:val="003436A5"/>
    <w:rsid w:val="00375960"/>
    <w:rsid w:val="00392B5D"/>
    <w:rsid w:val="003C4A7D"/>
    <w:rsid w:val="003C54D0"/>
    <w:rsid w:val="003F63FB"/>
    <w:rsid w:val="003F6ADB"/>
    <w:rsid w:val="004157BB"/>
    <w:rsid w:val="004570A1"/>
    <w:rsid w:val="00457AC5"/>
    <w:rsid w:val="00494B64"/>
    <w:rsid w:val="004E4E1F"/>
    <w:rsid w:val="005138F6"/>
    <w:rsid w:val="0054413E"/>
    <w:rsid w:val="00562211"/>
    <w:rsid w:val="005714C6"/>
    <w:rsid w:val="005971E2"/>
    <w:rsid w:val="005B06BB"/>
    <w:rsid w:val="005E0D1A"/>
    <w:rsid w:val="00603D09"/>
    <w:rsid w:val="006372A6"/>
    <w:rsid w:val="00657475"/>
    <w:rsid w:val="00662A2F"/>
    <w:rsid w:val="006652FC"/>
    <w:rsid w:val="006679BF"/>
    <w:rsid w:val="006B76A7"/>
    <w:rsid w:val="006C24DD"/>
    <w:rsid w:val="006D5DA2"/>
    <w:rsid w:val="006E7631"/>
    <w:rsid w:val="0076688A"/>
    <w:rsid w:val="00781B2B"/>
    <w:rsid w:val="007B0643"/>
    <w:rsid w:val="007D7150"/>
    <w:rsid w:val="00814684"/>
    <w:rsid w:val="0081799B"/>
    <w:rsid w:val="0082036A"/>
    <w:rsid w:val="008415F4"/>
    <w:rsid w:val="00873070"/>
    <w:rsid w:val="0087347F"/>
    <w:rsid w:val="008A4F94"/>
    <w:rsid w:val="008A7F40"/>
    <w:rsid w:val="008C46A6"/>
    <w:rsid w:val="008E1FC1"/>
    <w:rsid w:val="008E4A7C"/>
    <w:rsid w:val="008F6AAA"/>
    <w:rsid w:val="00920FD8"/>
    <w:rsid w:val="00941C77"/>
    <w:rsid w:val="009502F5"/>
    <w:rsid w:val="00992362"/>
    <w:rsid w:val="009B09FC"/>
    <w:rsid w:val="009D263D"/>
    <w:rsid w:val="009D3B33"/>
    <w:rsid w:val="009E3845"/>
    <w:rsid w:val="009E687B"/>
    <w:rsid w:val="009F175F"/>
    <w:rsid w:val="00A20BEC"/>
    <w:rsid w:val="00A21DA1"/>
    <w:rsid w:val="00A27E51"/>
    <w:rsid w:val="00A3470B"/>
    <w:rsid w:val="00A45068"/>
    <w:rsid w:val="00A66253"/>
    <w:rsid w:val="00A9702E"/>
    <w:rsid w:val="00AC52FE"/>
    <w:rsid w:val="00B010A6"/>
    <w:rsid w:val="00B056F6"/>
    <w:rsid w:val="00B53594"/>
    <w:rsid w:val="00B62499"/>
    <w:rsid w:val="00B62D87"/>
    <w:rsid w:val="00B65C6E"/>
    <w:rsid w:val="00B66277"/>
    <w:rsid w:val="00B956AB"/>
    <w:rsid w:val="00B966C9"/>
    <w:rsid w:val="00BA2C51"/>
    <w:rsid w:val="00BC3B21"/>
    <w:rsid w:val="00BC5E1F"/>
    <w:rsid w:val="00BD5598"/>
    <w:rsid w:val="00BF33DB"/>
    <w:rsid w:val="00C226D0"/>
    <w:rsid w:val="00C67E3B"/>
    <w:rsid w:val="00CA3547"/>
    <w:rsid w:val="00CB0DA9"/>
    <w:rsid w:val="00CD6D91"/>
    <w:rsid w:val="00CE33BC"/>
    <w:rsid w:val="00CF4A1D"/>
    <w:rsid w:val="00D26F88"/>
    <w:rsid w:val="00D7769A"/>
    <w:rsid w:val="00DA1891"/>
    <w:rsid w:val="00DC08BE"/>
    <w:rsid w:val="00E01E8E"/>
    <w:rsid w:val="00E14E17"/>
    <w:rsid w:val="00E248E5"/>
    <w:rsid w:val="00E40779"/>
    <w:rsid w:val="00E43944"/>
    <w:rsid w:val="00E561F1"/>
    <w:rsid w:val="00E910EC"/>
    <w:rsid w:val="00EA27E4"/>
    <w:rsid w:val="00EA53F7"/>
    <w:rsid w:val="00EE05EF"/>
    <w:rsid w:val="00F06911"/>
    <w:rsid w:val="00F47647"/>
    <w:rsid w:val="00F75404"/>
    <w:rsid w:val="00F84619"/>
    <w:rsid w:val="00FA4A32"/>
    <w:rsid w:val="00FB1299"/>
    <w:rsid w:val="00FD7346"/>
    <w:rsid w:val="00FE18B5"/>
    <w:rsid w:val="00FF4CD2"/>
    <w:rsid w:val="0100753C"/>
    <w:rsid w:val="016C2D4F"/>
    <w:rsid w:val="01AF1B0F"/>
    <w:rsid w:val="01F36FCC"/>
    <w:rsid w:val="024F7D9B"/>
    <w:rsid w:val="02E04667"/>
    <w:rsid w:val="0306071D"/>
    <w:rsid w:val="03391357"/>
    <w:rsid w:val="03433F84"/>
    <w:rsid w:val="03A2514E"/>
    <w:rsid w:val="03B863D4"/>
    <w:rsid w:val="043833BC"/>
    <w:rsid w:val="04BD1B14"/>
    <w:rsid w:val="04E13A54"/>
    <w:rsid w:val="04E2157A"/>
    <w:rsid w:val="058663AA"/>
    <w:rsid w:val="058A5E9A"/>
    <w:rsid w:val="05A553CE"/>
    <w:rsid w:val="05D627B8"/>
    <w:rsid w:val="062E0F1B"/>
    <w:rsid w:val="066606B5"/>
    <w:rsid w:val="06A967F3"/>
    <w:rsid w:val="06CB49BC"/>
    <w:rsid w:val="06CF4373"/>
    <w:rsid w:val="06DD283E"/>
    <w:rsid w:val="07407CDF"/>
    <w:rsid w:val="077D459B"/>
    <w:rsid w:val="07DC7248"/>
    <w:rsid w:val="09750C0F"/>
    <w:rsid w:val="09A6701A"/>
    <w:rsid w:val="09F4422A"/>
    <w:rsid w:val="0A173A74"/>
    <w:rsid w:val="0A2649D7"/>
    <w:rsid w:val="0A432ABB"/>
    <w:rsid w:val="0A9E7CF1"/>
    <w:rsid w:val="0ADB7197"/>
    <w:rsid w:val="0B064214"/>
    <w:rsid w:val="0B0B3924"/>
    <w:rsid w:val="0B2A17DC"/>
    <w:rsid w:val="0B2E376B"/>
    <w:rsid w:val="0B536D2E"/>
    <w:rsid w:val="0B7E024F"/>
    <w:rsid w:val="0B8D2240"/>
    <w:rsid w:val="0B9E444D"/>
    <w:rsid w:val="0BA17A99"/>
    <w:rsid w:val="0BBE689D"/>
    <w:rsid w:val="0C774C9E"/>
    <w:rsid w:val="0CE95B9C"/>
    <w:rsid w:val="0CF85DDF"/>
    <w:rsid w:val="0D166265"/>
    <w:rsid w:val="0D3A01A5"/>
    <w:rsid w:val="0DC85335"/>
    <w:rsid w:val="0DF742E8"/>
    <w:rsid w:val="0E1704E7"/>
    <w:rsid w:val="0E2A3A63"/>
    <w:rsid w:val="0E4D5CB6"/>
    <w:rsid w:val="0E813BB2"/>
    <w:rsid w:val="0F4B5E65"/>
    <w:rsid w:val="0F4F5A5E"/>
    <w:rsid w:val="0F5D63CD"/>
    <w:rsid w:val="0F607C6B"/>
    <w:rsid w:val="0FC1695C"/>
    <w:rsid w:val="0FE443F8"/>
    <w:rsid w:val="0FF61E7A"/>
    <w:rsid w:val="100555D1"/>
    <w:rsid w:val="10616317"/>
    <w:rsid w:val="1091537A"/>
    <w:rsid w:val="10E55BED"/>
    <w:rsid w:val="113373E5"/>
    <w:rsid w:val="11943F45"/>
    <w:rsid w:val="11A33F85"/>
    <w:rsid w:val="11DF608A"/>
    <w:rsid w:val="121C256F"/>
    <w:rsid w:val="122E5DFF"/>
    <w:rsid w:val="128B4FFF"/>
    <w:rsid w:val="128B5342"/>
    <w:rsid w:val="12B40BC7"/>
    <w:rsid w:val="12F17B2E"/>
    <w:rsid w:val="13180F89"/>
    <w:rsid w:val="1338673E"/>
    <w:rsid w:val="13857CA0"/>
    <w:rsid w:val="138C54D3"/>
    <w:rsid w:val="13D12EE6"/>
    <w:rsid w:val="143F60A1"/>
    <w:rsid w:val="14733F9D"/>
    <w:rsid w:val="147C72F5"/>
    <w:rsid w:val="148C5B51"/>
    <w:rsid w:val="14972381"/>
    <w:rsid w:val="14DD7678"/>
    <w:rsid w:val="15035321"/>
    <w:rsid w:val="152319A9"/>
    <w:rsid w:val="1525173B"/>
    <w:rsid w:val="15673B02"/>
    <w:rsid w:val="15A22D8C"/>
    <w:rsid w:val="164756E1"/>
    <w:rsid w:val="164B3423"/>
    <w:rsid w:val="16962593"/>
    <w:rsid w:val="16B56AEF"/>
    <w:rsid w:val="1710581E"/>
    <w:rsid w:val="17143815"/>
    <w:rsid w:val="175E0367"/>
    <w:rsid w:val="17654071"/>
    <w:rsid w:val="176C18A3"/>
    <w:rsid w:val="178C3B9C"/>
    <w:rsid w:val="18695DE3"/>
    <w:rsid w:val="18711A77"/>
    <w:rsid w:val="188729C7"/>
    <w:rsid w:val="189A5F9C"/>
    <w:rsid w:val="18C64FE3"/>
    <w:rsid w:val="18CD4A8F"/>
    <w:rsid w:val="18ED14A8"/>
    <w:rsid w:val="196F7429"/>
    <w:rsid w:val="19AF3CC9"/>
    <w:rsid w:val="19E020D4"/>
    <w:rsid w:val="1A845156"/>
    <w:rsid w:val="1A89451A"/>
    <w:rsid w:val="1B285AE1"/>
    <w:rsid w:val="1B5E7755"/>
    <w:rsid w:val="1B60171F"/>
    <w:rsid w:val="1B7900EB"/>
    <w:rsid w:val="1B966EEF"/>
    <w:rsid w:val="1BB6133F"/>
    <w:rsid w:val="1BB9498B"/>
    <w:rsid w:val="1BF83D6F"/>
    <w:rsid w:val="1C275D99"/>
    <w:rsid w:val="1C376D40"/>
    <w:rsid w:val="1C427076"/>
    <w:rsid w:val="1C7B4DFC"/>
    <w:rsid w:val="1CE301BD"/>
    <w:rsid w:val="1CEB326A"/>
    <w:rsid w:val="1D183933"/>
    <w:rsid w:val="1D28001A"/>
    <w:rsid w:val="1D3907EF"/>
    <w:rsid w:val="1D682B0D"/>
    <w:rsid w:val="1D6848BB"/>
    <w:rsid w:val="1D9A455F"/>
    <w:rsid w:val="1DE06B47"/>
    <w:rsid w:val="1DF24184"/>
    <w:rsid w:val="1E426EBA"/>
    <w:rsid w:val="1E617CA6"/>
    <w:rsid w:val="1ED1023E"/>
    <w:rsid w:val="1EF5217E"/>
    <w:rsid w:val="1EFD1033"/>
    <w:rsid w:val="1F0579E8"/>
    <w:rsid w:val="1F4153C3"/>
    <w:rsid w:val="1FF5229F"/>
    <w:rsid w:val="1FF57F5C"/>
    <w:rsid w:val="20360CA0"/>
    <w:rsid w:val="204131A1"/>
    <w:rsid w:val="205D447F"/>
    <w:rsid w:val="20C718F8"/>
    <w:rsid w:val="20E26732"/>
    <w:rsid w:val="20EC75B1"/>
    <w:rsid w:val="21010FB2"/>
    <w:rsid w:val="211663DC"/>
    <w:rsid w:val="211C6C5B"/>
    <w:rsid w:val="21244F9D"/>
    <w:rsid w:val="21333432"/>
    <w:rsid w:val="21336F8E"/>
    <w:rsid w:val="21AB746C"/>
    <w:rsid w:val="21D310F2"/>
    <w:rsid w:val="21D73DBD"/>
    <w:rsid w:val="21DD7E45"/>
    <w:rsid w:val="22863D23"/>
    <w:rsid w:val="22AF6AE8"/>
    <w:rsid w:val="22B20386"/>
    <w:rsid w:val="22B31A3C"/>
    <w:rsid w:val="232C0139"/>
    <w:rsid w:val="236E5F2C"/>
    <w:rsid w:val="23A83C63"/>
    <w:rsid w:val="248024EA"/>
    <w:rsid w:val="24CA7C09"/>
    <w:rsid w:val="24EC5DD1"/>
    <w:rsid w:val="24F44C86"/>
    <w:rsid w:val="253B0B07"/>
    <w:rsid w:val="256B5647"/>
    <w:rsid w:val="2584425C"/>
    <w:rsid w:val="25B508B9"/>
    <w:rsid w:val="25EF71CB"/>
    <w:rsid w:val="260209E2"/>
    <w:rsid w:val="26084E8D"/>
    <w:rsid w:val="26086C3B"/>
    <w:rsid w:val="261750D0"/>
    <w:rsid w:val="263F63D5"/>
    <w:rsid w:val="264458DF"/>
    <w:rsid w:val="26577677"/>
    <w:rsid w:val="26941C5D"/>
    <w:rsid w:val="26977FBF"/>
    <w:rsid w:val="26A36964"/>
    <w:rsid w:val="270F5DA7"/>
    <w:rsid w:val="271F1693"/>
    <w:rsid w:val="27FC457D"/>
    <w:rsid w:val="28273B80"/>
    <w:rsid w:val="286823DD"/>
    <w:rsid w:val="28D728F5"/>
    <w:rsid w:val="29096190"/>
    <w:rsid w:val="292875F4"/>
    <w:rsid w:val="29361D11"/>
    <w:rsid w:val="293E0BC6"/>
    <w:rsid w:val="29695C42"/>
    <w:rsid w:val="29763EBB"/>
    <w:rsid w:val="298A5BB9"/>
    <w:rsid w:val="29930E08"/>
    <w:rsid w:val="29C94933"/>
    <w:rsid w:val="29D82DC8"/>
    <w:rsid w:val="29E87270"/>
    <w:rsid w:val="29F80D74"/>
    <w:rsid w:val="2A2B114A"/>
    <w:rsid w:val="2A306760"/>
    <w:rsid w:val="2A3540A7"/>
    <w:rsid w:val="2AA1140C"/>
    <w:rsid w:val="2AA35184"/>
    <w:rsid w:val="2ABA64AB"/>
    <w:rsid w:val="2B6D12EE"/>
    <w:rsid w:val="2B6F5066"/>
    <w:rsid w:val="2B856638"/>
    <w:rsid w:val="2B9E5305"/>
    <w:rsid w:val="2BA2543C"/>
    <w:rsid w:val="2BC37160"/>
    <w:rsid w:val="2C0C0B07"/>
    <w:rsid w:val="2C2E6CCF"/>
    <w:rsid w:val="2C7829B6"/>
    <w:rsid w:val="2C927299"/>
    <w:rsid w:val="2CA65521"/>
    <w:rsid w:val="2CD0406E"/>
    <w:rsid w:val="2D102879"/>
    <w:rsid w:val="2D7C4FB3"/>
    <w:rsid w:val="2D8D3ECA"/>
    <w:rsid w:val="2D99286E"/>
    <w:rsid w:val="2DC631F7"/>
    <w:rsid w:val="2DC84F02"/>
    <w:rsid w:val="2DE25FC3"/>
    <w:rsid w:val="2E2C69E4"/>
    <w:rsid w:val="2E352597"/>
    <w:rsid w:val="2E552C39"/>
    <w:rsid w:val="2E8D4852"/>
    <w:rsid w:val="2EAA4234"/>
    <w:rsid w:val="2EBD433B"/>
    <w:rsid w:val="2F6F1AD9"/>
    <w:rsid w:val="2FBE65BC"/>
    <w:rsid w:val="2FEE6EA1"/>
    <w:rsid w:val="300D4E4E"/>
    <w:rsid w:val="30744F71"/>
    <w:rsid w:val="310715E8"/>
    <w:rsid w:val="31264419"/>
    <w:rsid w:val="315A40C3"/>
    <w:rsid w:val="31765287"/>
    <w:rsid w:val="319C5F3C"/>
    <w:rsid w:val="31B70062"/>
    <w:rsid w:val="31D37BED"/>
    <w:rsid w:val="31EA3699"/>
    <w:rsid w:val="31EC37F3"/>
    <w:rsid w:val="32221084"/>
    <w:rsid w:val="330C5891"/>
    <w:rsid w:val="33753436"/>
    <w:rsid w:val="33E10ACB"/>
    <w:rsid w:val="340A6274"/>
    <w:rsid w:val="342611DF"/>
    <w:rsid w:val="34264730"/>
    <w:rsid w:val="345D2848"/>
    <w:rsid w:val="346239BA"/>
    <w:rsid w:val="3462703E"/>
    <w:rsid w:val="349D49F2"/>
    <w:rsid w:val="34B4172A"/>
    <w:rsid w:val="353E4427"/>
    <w:rsid w:val="354C01C6"/>
    <w:rsid w:val="356110A4"/>
    <w:rsid w:val="356279EA"/>
    <w:rsid w:val="35812566"/>
    <w:rsid w:val="362F5D28"/>
    <w:rsid w:val="368A0B4B"/>
    <w:rsid w:val="36DE14C7"/>
    <w:rsid w:val="36E34B7C"/>
    <w:rsid w:val="36E409F5"/>
    <w:rsid w:val="36F56D67"/>
    <w:rsid w:val="377834F5"/>
    <w:rsid w:val="377F2AD5"/>
    <w:rsid w:val="37B704C1"/>
    <w:rsid w:val="381476C1"/>
    <w:rsid w:val="38337C53"/>
    <w:rsid w:val="38545D10"/>
    <w:rsid w:val="38602906"/>
    <w:rsid w:val="38643A22"/>
    <w:rsid w:val="3885411B"/>
    <w:rsid w:val="38F80803"/>
    <w:rsid w:val="39B72E49"/>
    <w:rsid w:val="39D35F94"/>
    <w:rsid w:val="3BB371F1"/>
    <w:rsid w:val="3BB64FAE"/>
    <w:rsid w:val="3C236125"/>
    <w:rsid w:val="3C5F0384"/>
    <w:rsid w:val="3C6A3D54"/>
    <w:rsid w:val="3C7A622D"/>
    <w:rsid w:val="3C8A6099"/>
    <w:rsid w:val="3C8F65BD"/>
    <w:rsid w:val="3CDB07AE"/>
    <w:rsid w:val="3D5D5666"/>
    <w:rsid w:val="3D934282"/>
    <w:rsid w:val="3D951CDB"/>
    <w:rsid w:val="3DC05FAA"/>
    <w:rsid w:val="3E1371FC"/>
    <w:rsid w:val="3E1675C3"/>
    <w:rsid w:val="3E216694"/>
    <w:rsid w:val="3E29379B"/>
    <w:rsid w:val="3E7C1B1C"/>
    <w:rsid w:val="3E8063DD"/>
    <w:rsid w:val="3EDE4585"/>
    <w:rsid w:val="3F033FEC"/>
    <w:rsid w:val="3F38416B"/>
    <w:rsid w:val="3F4D0A8F"/>
    <w:rsid w:val="3F95733A"/>
    <w:rsid w:val="3FAC6431"/>
    <w:rsid w:val="3FC2057E"/>
    <w:rsid w:val="3FEB6F5A"/>
    <w:rsid w:val="3FF238C0"/>
    <w:rsid w:val="40027496"/>
    <w:rsid w:val="40302BBE"/>
    <w:rsid w:val="407E705F"/>
    <w:rsid w:val="417B60BB"/>
    <w:rsid w:val="41911D83"/>
    <w:rsid w:val="428E43E4"/>
    <w:rsid w:val="42CB6BCE"/>
    <w:rsid w:val="42DE13D7"/>
    <w:rsid w:val="42E60251"/>
    <w:rsid w:val="43661475"/>
    <w:rsid w:val="438C4A45"/>
    <w:rsid w:val="43A5064A"/>
    <w:rsid w:val="43BE74A0"/>
    <w:rsid w:val="43D877F5"/>
    <w:rsid w:val="440C749E"/>
    <w:rsid w:val="441F5424"/>
    <w:rsid w:val="444E3F5B"/>
    <w:rsid w:val="44705C7F"/>
    <w:rsid w:val="44BA6EFA"/>
    <w:rsid w:val="44D2693A"/>
    <w:rsid w:val="44D72F29"/>
    <w:rsid w:val="44FD0A80"/>
    <w:rsid w:val="451E1B7F"/>
    <w:rsid w:val="45667082"/>
    <w:rsid w:val="457D0C65"/>
    <w:rsid w:val="4582210E"/>
    <w:rsid w:val="458F482B"/>
    <w:rsid w:val="45BE54D8"/>
    <w:rsid w:val="45F66658"/>
    <w:rsid w:val="45FD1795"/>
    <w:rsid w:val="461940F5"/>
    <w:rsid w:val="46845A12"/>
    <w:rsid w:val="470703F1"/>
    <w:rsid w:val="47121270"/>
    <w:rsid w:val="47453A49"/>
    <w:rsid w:val="47AC1A88"/>
    <w:rsid w:val="47E66258"/>
    <w:rsid w:val="47F94B69"/>
    <w:rsid w:val="486755EB"/>
    <w:rsid w:val="48DB38E3"/>
    <w:rsid w:val="48F13107"/>
    <w:rsid w:val="490966A2"/>
    <w:rsid w:val="49351245"/>
    <w:rsid w:val="493F0316"/>
    <w:rsid w:val="495A6EFE"/>
    <w:rsid w:val="49951CE4"/>
    <w:rsid w:val="49B04D70"/>
    <w:rsid w:val="49B772A1"/>
    <w:rsid w:val="49E73F04"/>
    <w:rsid w:val="49F216F8"/>
    <w:rsid w:val="49F42EAF"/>
    <w:rsid w:val="4A0537CF"/>
    <w:rsid w:val="4A2B43F6"/>
    <w:rsid w:val="4A3B6D2F"/>
    <w:rsid w:val="4A566CD1"/>
    <w:rsid w:val="4A5F084F"/>
    <w:rsid w:val="4A82495E"/>
    <w:rsid w:val="4AB32D6A"/>
    <w:rsid w:val="4ACA5F79"/>
    <w:rsid w:val="4AE20F59"/>
    <w:rsid w:val="4BF058F8"/>
    <w:rsid w:val="4BF65C53"/>
    <w:rsid w:val="4BFE0015"/>
    <w:rsid w:val="4C3C28EB"/>
    <w:rsid w:val="4C40062D"/>
    <w:rsid w:val="4C673E0C"/>
    <w:rsid w:val="4C6D6F48"/>
    <w:rsid w:val="4C7E1155"/>
    <w:rsid w:val="4CB6704E"/>
    <w:rsid w:val="4CBA3B3F"/>
    <w:rsid w:val="4CEC75AB"/>
    <w:rsid w:val="4CEF37A5"/>
    <w:rsid w:val="4CFD207A"/>
    <w:rsid w:val="4D727CB8"/>
    <w:rsid w:val="4DDC25D7"/>
    <w:rsid w:val="4DEF40B9"/>
    <w:rsid w:val="4DF96CE5"/>
    <w:rsid w:val="4DF976F5"/>
    <w:rsid w:val="4E102281"/>
    <w:rsid w:val="4E163B6E"/>
    <w:rsid w:val="4E593C28"/>
    <w:rsid w:val="4E5C7274"/>
    <w:rsid w:val="4E8642F1"/>
    <w:rsid w:val="4EAC3D58"/>
    <w:rsid w:val="4EB54177"/>
    <w:rsid w:val="4EC372F3"/>
    <w:rsid w:val="4ECF7A46"/>
    <w:rsid w:val="4EF120B3"/>
    <w:rsid w:val="4F0A4F22"/>
    <w:rsid w:val="4F361873"/>
    <w:rsid w:val="4F652159"/>
    <w:rsid w:val="4F9458E8"/>
    <w:rsid w:val="4FA669F9"/>
    <w:rsid w:val="4FF260E2"/>
    <w:rsid w:val="50212524"/>
    <w:rsid w:val="50C03AEB"/>
    <w:rsid w:val="515F5A90"/>
    <w:rsid w:val="517555E9"/>
    <w:rsid w:val="519A07DF"/>
    <w:rsid w:val="51CC64BF"/>
    <w:rsid w:val="51D57A6A"/>
    <w:rsid w:val="520B3BF7"/>
    <w:rsid w:val="5290125A"/>
    <w:rsid w:val="52FE72F3"/>
    <w:rsid w:val="5314011E"/>
    <w:rsid w:val="53687780"/>
    <w:rsid w:val="53831E9D"/>
    <w:rsid w:val="53875695"/>
    <w:rsid w:val="5391176E"/>
    <w:rsid w:val="539B083F"/>
    <w:rsid w:val="53E2646E"/>
    <w:rsid w:val="53FA37B7"/>
    <w:rsid w:val="53FD5056"/>
    <w:rsid w:val="541505F1"/>
    <w:rsid w:val="544B5DC1"/>
    <w:rsid w:val="5450093F"/>
    <w:rsid w:val="547A66A6"/>
    <w:rsid w:val="54AD4386"/>
    <w:rsid w:val="54D67D81"/>
    <w:rsid w:val="54F97373"/>
    <w:rsid w:val="559537C9"/>
    <w:rsid w:val="55A27C63"/>
    <w:rsid w:val="55B905F1"/>
    <w:rsid w:val="55F3158A"/>
    <w:rsid w:val="561C2CA1"/>
    <w:rsid w:val="562B5EAA"/>
    <w:rsid w:val="56436DEA"/>
    <w:rsid w:val="56570A4D"/>
    <w:rsid w:val="56A51A57"/>
    <w:rsid w:val="56C07C8F"/>
    <w:rsid w:val="57680A38"/>
    <w:rsid w:val="576D42A0"/>
    <w:rsid w:val="57816518"/>
    <w:rsid w:val="57877110"/>
    <w:rsid w:val="579B705F"/>
    <w:rsid w:val="57AA2DFF"/>
    <w:rsid w:val="57BD0D84"/>
    <w:rsid w:val="58074AD6"/>
    <w:rsid w:val="5822508B"/>
    <w:rsid w:val="58283F40"/>
    <w:rsid w:val="58403763"/>
    <w:rsid w:val="58615BB3"/>
    <w:rsid w:val="5890169B"/>
    <w:rsid w:val="589866DF"/>
    <w:rsid w:val="58E40592"/>
    <w:rsid w:val="58E81E30"/>
    <w:rsid w:val="58ED7447"/>
    <w:rsid w:val="591C7D2C"/>
    <w:rsid w:val="59AD6BD6"/>
    <w:rsid w:val="5A346F57"/>
    <w:rsid w:val="5A584D94"/>
    <w:rsid w:val="5A6C6A91"/>
    <w:rsid w:val="5AB13C14"/>
    <w:rsid w:val="5B01367D"/>
    <w:rsid w:val="5B2C4580"/>
    <w:rsid w:val="5B37709F"/>
    <w:rsid w:val="5B602B85"/>
    <w:rsid w:val="5B956DF0"/>
    <w:rsid w:val="5BC16969"/>
    <w:rsid w:val="5C003935"/>
    <w:rsid w:val="5C4D4754"/>
    <w:rsid w:val="5C643B96"/>
    <w:rsid w:val="5CB84210"/>
    <w:rsid w:val="5CC21EB2"/>
    <w:rsid w:val="5CCB7A9F"/>
    <w:rsid w:val="5CCE57E1"/>
    <w:rsid w:val="5CD64696"/>
    <w:rsid w:val="5CE713B5"/>
    <w:rsid w:val="5D2E0F81"/>
    <w:rsid w:val="5D3A31E7"/>
    <w:rsid w:val="5D3F1A5F"/>
    <w:rsid w:val="5D4635C9"/>
    <w:rsid w:val="5D7E7207"/>
    <w:rsid w:val="5D9E6F62"/>
    <w:rsid w:val="5DA30A1C"/>
    <w:rsid w:val="5DAF116F"/>
    <w:rsid w:val="5DE00512"/>
    <w:rsid w:val="5DFB0BD3"/>
    <w:rsid w:val="5E203EF5"/>
    <w:rsid w:val="5E40626B"/>
    <w:rsid w:val="5EA06D09"/>
    <w:rsid w:val="5EC7073A"/>
    <w:rsid w:val="5EC7170D"/>
    <w:rsid w:val="5ECE7D1A"/>
    <w:rsid w:val="5EEF00C4"/>
    <w:rsid w:val="5EF3152F"/>
    <w:rsid w:val="5F090DE9"/>
    <w:rsid w:val="5F5B6966"/>
    <w:rsid w:val="5F645F89"/>
    <w:rsid w:val="5FBA4570"/>
    <w:rsid w:val="601E25DC"/>
    <w:rsid w:val="60340051"/>
    <w:rsid w:val="6042276E"/>
    <w:rsid w:val="60807587"/>
    <w:rsid w:val="608E59B3"/>
    <w:rsid w:val="60B30F76"/>
    <w:rsid w:val="60BB24E1"/>
    <w:rsid w:val="60DA29A7"/>
    <w:rsid w:val="60E2185B"/>
    <w:rsid w:val="61001CE1"/>
    <w:rsid w:val="614B5652"/>
    <w:rsid w:val="615E35D8"/>
    <w:rsid w:val="616C3FB3"/>
    <w:rsid w:val="61730429"/>
    <w:rsid w:val="61A03096"/>
    <w:rsid w:val="61BA6334"/>
    <w:rsid w:val="61C62F2B"/>
    <w:rsid w:val="61CD4063"/>
    <w:rsid w:val="62314848"/>
    <w:rsid w:val="62347E94"/>
    <w:rsid w:val="623C4F9B"/>
    <w:rsid w:val="62492EB6"/>
    <w:rsid w:val="62F12229"/>
    <w:rsid w:val="63627732"/>
    <w:rsid w:val="636E73D6"/>
    <w:rsid w:val="63CD05A1"/>
    <w:rsid w:val="640E060E"/>
    <w:rsid w:val="642E4AEB"/>
    <w:rsid w:val="64833355"/>
    <w:rsid w:val="64BD0615"/>
    <w:rsid w:val="65E91054"/>
    <w:rsid w:val="65EB2F60"/>
    <w:rsid w:val="663A3EE7"/>
    <w:rsid w:val="665F56FC"/>
    <w:rsid w:val="66754F1F"/>
    <w:rsid w:val="6679056C"/>
    <w:rsid w:val="6694184A"/>
    <w:rsid w:val="66F52CC3"/>
    <w:rsid w:val="67040EB6"/>
    <w:rsid w:val="67413956"/>
    <w:rsid w:val="67851192"/>
    <w:rsid w:val="67BD26DA"/>
    <w:rsid w:val="68164837"/>
    <w:rsid w:val="685272C6"/>
    <w:rsid w:val="68660FC4"/>
    <w:rsid w:val="6891455E"/>
    <w:rsid w:val="68C005DE"/>
    <w:rsid w:val="68F465CF"/>
    <w:rsid w:val="69146C72"/>
    <w:rsid w:val="69196036"/>
    <w:rsid w:val="69431305"/>
    <w:rsid w:val="69727162"/>
    <w:rsid w:val="69B813AB"/>
    <w:rsid w:val="6A162110"/>
    <w:rsid w:val="6A7379C8"/>
    <w:rsid w:val="6A902328"/>
    <w:rsid w:val="6B1B63E9"/>
    <w:rsid w:val="6B431148"/>
    <w:rsid w:val="6B646381"/>
    <w:rsid w:val="6BBE159F"/>
    <w:rsid w:val="6C21592D"/>
    <w:rsid w:val="6C951E77"/>
    <w:rsid w:val="6CA87DFD"/>
    <w:rsid w:val="6CBA18DE"/>
    <w:rsid w:val="6CD24E7A"/>
    <w:rsid w:val="6CF30D00"/>
    <w:rsid w:val="6D325918"/>
    <w:rsid w:val="6D526662"/>
    <w:rsid w:val="6D763A57"/>
    <w:rsid w:val="6DAE3978"/>
    <w:rsid w:val="6DC24680"/>
    <w:rsid w:val="6E4E6782"/>
    <w:rsid w:val="6E55366C"/>
    <w:rsid w:val="6E5D4C17"/>
    <w:rsid w:val="6EB72579"/>
    <w:rsid w:val="6EBD1212"/>
    <w:rsid w:val="6F032CBB"/>
    <w:rsid w:val="6F1B2B08"/>
    <w:rsid w:val="6F2D6397"/>
    <w:rsid w:val="6F85454F"/>
    <w:rsid w:val="6FE77488"/>
    <w:rsid w:val="70785D38"/>
    <w:rsid w:val="70810A07"/>
    <w:rsid w:val="70D56CE6"/>
    <w:rsid w:val="71702818"/>
    <w:rsid w:val="717B71D9"/>
    <w:rsid w:val="71837B47"/>
    <w:rsid w:val="71BB2380"/>
    <w:rsid w:val="722A4E10"/>
    <w:rsid w:val="723B0DCB"/>
    <w:rsid w:val="72691DDC"/>
    <w:rsid w:val="728C7879"/>
    <w:rsid w:val="72AE5A41"/>
    <w:rsid w:val="7391763B"/>
    <w:rsid w:val="739E1612"/>
    <w:rsid w:val="73BA3134"/>
    <w:rsid w:val="73C44DF0"/>
    <w:rsid w:val="740D2C3B"/>
    <w:rsid w:val="75271ADB"/>
    <w:rsid w:val="75297601"/>
    <w:rsid w:val="754E350B"/>
    <w:rsid w:val="757A7E5C"/>
    <w:rsid w:val="757F36C5"/>
    <w:rsid w:val="758807CB"/>
    <w:rsid w:val="758D78E5"/>
    <w:rsid w:val="75E874BC"/>
    <w:rsid w:val="76414BD2"/>
    <w:rsid w:val="76557EC3"/>
    <w:rsid w:val="76685F07"/>
    <w:rsid w:val="768014A2"/>
    <w:rsid w:val="76CF2455"/>
    <w:rsid w:val="76D33CC8"/>
    <w:rsid w:val="76E41546"/>
    <w:rsid w:val="77065E4C"/>
    <w:rsid w:val="776A5B03"/>
    <w:rsid w:val="77B533CE"/>
    <w:rsid w:val="77BE6726"/>
    <w:rsid w:val="781D121D"/>
    <w:rsid w:val="78872FBC"/>
    <w:rsid w:val="788B412F"/>
    <w:rsid w:val="78D6184E"/>
    <w:rsid w:val="78E333CB"/>
    <w:rsid w:val="79752E15"/>
    <w:rsid w:val="79D63672"/>
    <w:rsid w:val="79EB30D7"/>
    <w:rsid w:val="79F205CB"/>
    <w:rsid w:val="7A41363F"/>
    <w:rsid w:val="7A6D61E2"/>
    <w:rsid w:val="7A9D616C"/>
    <w:rsid w:val="7B520665"/>
    <w:rsid w:val="7BD302C6"/>
    <w:rsid w:val="7C000B2E"/>
    <w:rsid w:val="7C2F5925"/>
    <w:rsid w:val="7C4F3DF1"/>
    <w:rsid w:val="7C7E46D6"/>
    <w:rsid w:val="7C8F243F"/>
    <w:rsid w:val="7C9869D6"/>
    <w:rsid w:val="7D050953"/>
    <w:rsid w:val="7D0D15B6"/>
    <w:rsid w:val="7D254B52"/>
    <w:rsid w:val="7D5156DC"/>
    <w:rsid w:val="7D515947"/>
    <w:rsid w:val="7DA243F4"/>
    <w:rsid w:val="7E1B6D74"/>
    <w:rsid w:val="7EDC7492"/>
    <w:rsid w:val="7F453CA8"/>
    <w:rsid w:val="7F7B4EFD"/>
    <w:rsid w:val="7F8149CD"/>
    <w:rsid w:val="7F8B101C"/>
    <w:rsid w:val="7F9D1317"/>
    <w:rsid w:val="7FB109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99"/>
    <w:pPr>
      <w:ind w:firstLine="420" w:firstLineChars="200"/>
    </w:pPr>
    <w:rPr>
      <w:rFonts w:ascii="Calibri" w:hAnsi="Calibri"/>
      <w:spacing w:val="0"/>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China</Company>
  <Pages>19</Pages>
  <Words>7159</Words>
  <Characters>7285</Characters>
  <Lines>11</Lines>
  <Paragraphs>3</Paragraphs>
  <TotalTime>187</TotalTime>
  <ScaleCrop>false</ScaleCrop>
  <LinksUpToDate>false</LinksUpToDate>
  <CharactersWithSpaces>8321</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2011-02-24T00:45:00Z</dcterms:created>
  <dc:creator>User</dc:creator>
  <cp:lastModifiedBy>张小乐啊</cp:lastModifiedBy>
  <cp:lastPrinted>2022-07-10T02:31:00Z</cp:lastPrinted>
  <dcterms:modified xsi:type="dcterms:W3CDTF">2024-03-15T02:42:51Z</dcterms:modified>
  <dc:title>罗山县人民政府关于编制2011年度国有建设用地供应计划的通知</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C9BD14864F304BA0B0E5A123DC471106</vt:lpwstr>
  </property>
</Properties>
</file>