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关于202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年“三公”经费支出决算增减变化情况的说明</w:t>
      </w:r>
    </w:p>
    <w:bookmarkEnd w:id="0"/>
    <w:p>
      <w:pPr>
        <w:ind w:firstLine="420" w:firstLineChars="200"/>
        <w:rPr>
          <w:rFonts w:ascii="微软雅黑" w:hAnsi="微软雅黑" w:eastAsia="微软雅黑"/>
          <w:color w:val="666666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202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年，全县一般公共预算安排“三公”经费支出决算1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297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万元，较上年决算数下降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%。其中：公务接待费支出1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035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万元，较上年支出决算数下降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12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14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%，下降原因是机关事业单位严格执行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eastAsia="zh-CN"/>
        </w:rPr>
        <w:t>中央八项规定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，从严从紧开展公务接待活动;公务用车运行维护费支出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262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万元，较上年支出决算数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上升58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%，较年初预算数上涨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%，原因是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新冠疫情结束后我县接待任务及公务车辆使用增加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;公务用车购置费支出0万元，没有发生支出原因是机关事业单位没有采购车辆;因公出国(境)费支出0万元，较上年支出决算数下降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%，原因是因公出国(境)活动均没发生。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2RjZTdmZGMxMmJlZDdjYTRlNjRjMDVkODlmZGEifQ=="/>
  </w:docVars>
  <w:rsids>
    <w:rsidRoot w:val="00A55417"/>
    <w:rsid w:val="000B0B46"/>
    <w:rsid w:val="00246EA1"/>
    <w:rsid w:val="003B7ECB"/>
    <w:rsid w:val="006D0B16"/>
    <w:rsid w:val="009A626C"/>
    <w:rsid w:val="00A55417"/>
    <w:rsid w:val="00B562A4"/>
    <w:rsid w:val="13F56CCB"/>
    <w:rsid w:val="7538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307</Words>
  <Characters>336</Characters>
  <Lines>2</Lines>
  <Paragraphs>1</Paragraphs>
  <TotalTime>19</TotalTime>
  <ScaleCrop>false</ScaleCrop>
  <LinksUpToDate>false</LinksUpToDate>
  <CharactersWithSpaces>336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2020-08-31T07:06:00Z</dcterms:created>
  <dc:creator>Administrator</dc:creator>
  <cp:lastModifiedBy>WPS_1667177132</cp:lastModifiedBy>
  <dcterms:modified xsi:type="dcterms:W3CDTF">2023-09-09T06:16:08Z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C9E3D948185A4F5BBA2BAFE1F5EC668C</vt:lpwstr>
  </property>
</Properties>
</file>