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2022年度新县殡葬事务中心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倡导文明新风，改善我县居民的传统殡葬观念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指导全县域内的殡葬设置建设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确保逐步提升新县火化率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widowControl/>
        <w:ind w:firstLine="640" w:firstLineChars="200"/>
        <w:jc w:val="left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新县殡葬事务中心于2021年7月份成立，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属于股级单位，共有办公室、财务室、殡仪馆，共3办公室。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新县殡葬事务中心2022年度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31.1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44.9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人员增加，收支增加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96.80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96.41</w:t>
      </w:r>
      <w:r>
        <w:rPr>
          <w:rFonts w:ascii="仿宋" w:hAnsi="仿宋" w:eastAsia="仿宋" w:cs="宋体"/>
          <w:kern w:val="0"/>
          <w:sz w:val="32"/>
          <w:szCs w:val="32"/>
        </w:rPr>
        <w:t>%；项目支出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3.60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3.59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31.10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44.90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人员增加，收支增加。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100.40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96.80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8.80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各类公务接待支出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eastAsia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厉行节俭，控制“三公”经费支出，故</w:t>
      </w:r>
      <w:r>
        <w:rPr>
          <w:rFonts w:hint="eastAsia" w:eastAsia="仿宋_GB2312"/>
          <w:b w:val="0"/>
          <w:bCs w:val="0"/>
          <w:color w:val="000000"/>
          <w:kern w:val="0"/>
          <w:sz w:val="32"/>
          <w:szCs w:val="32"/>
        </w:rPr>
        <w:t>与上年持平</w:t>
      </w:r>
      <w:r>
        <w:rPr>
          <w:rFonts w:hint="eastAsia" w:eastAsia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不属于行政单位或参照公务员法管理的事业单位，故没有该项开支</w:t>
      </w:r>
      <w:r>
        <w:rPr>
          <w:rFonts w:hint="default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numId w:val="0"/>
        </w:numPr>
        <w:adjustRightInd w:val="0"/>
        <w:snapToGrid w:val="0"/>
        <w:spacing w:line="560" w:lineRule="exact"/>
        <w:ind w:firstLine="321" w:firstLineChars="1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新县殡葬事务中心</w:t>
      </w:r>
      <w:r>
        <w:rPr>
          <w:rFonts w:hint="eastAsia" w:ascii="仿宋" w:hAnsi="仿宋" w:eastAsia="仿宋" w:cs="仿宋"/>
          <w:sz w:val="32"/>
          <w:szCs w:val="32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M2JjNDAzZmUzNGUxMjFkNWEyYzlmM2MxMDcxYjcifQ=="/>
  </w:docVars>
  <w:rsids>
    <w:rsidRoot w:val="00000000"/>
    <w:rsid w:val="049D3B67"/>
    <w:rsid w:val="070C48C8"/>
    <w:rsid w:val="09364543"/>
    <w:rsid w:val="0A6F1B02"/>
    <w:rsid w:val="0ACF0C60"/>
    <w:rsid w:val="0F875140"/>
    <w:rsid w:val="137F0E31"/>
    <w:rsid w:val="150720E2"/>
    <w:rsid w:val="15795795"/>
    <w:rsid w:val="1C34759A"/>
    <w:rsid w:val="1D9C09E6"/>
    <w:rsid w:val="1E774A2D"/>
    <w:rsid w:val="1E940EEE"/>
    <w:rsid w:val="1F310DAE"/>
    <w:rsid w:val="2069348A"/>
    <w:rsid w:val="24133DF1"/>
    <w:rsid w:val="26B86B17"/>
    <w:rsid w:val="299E5177"/>
    <w:rsid w:val="29C8276C"/>
    <w:rsid w:val="2AF33DBE"/>
    <w:rsid w:val="2BCB7B04"/>
    <w:rsid w:val="32EB6CD2"/>
    <w:rsid w:val="46FC6FF6"/>
    <w:rsid w:val="49F61DEB"/>
    <w:rsid w:val="50387C48"/>
    <w:rsid w:val="50AD2EA7"/>
    <w:rsid w:val="51E02979"/>
    <w:rsid w:val="53E30BB8"/>
    <w:rsid w:val="55F42F99"/>
    <w:rsid w:val="56493798"/>
    <w:rsid w:val="5EFC4888"/>
    <w:rsid w:val="5F552F7D"/>
    <w:rsid w:val="5F601BF0"/>
    <w:rsid w:val="67C0189B"/>
    <w:rsid w:val="68707874"/>
    <w:rsid w:val="6A014E5B"/>
    <w:rsid w:val="6A694D9B"/>
    <w:rsid w:val="6B9C2993"/>
    <w:rsid w:val="6C9854C4"/>
    <w:rsid w:val="6E306C2B"/>
    <w:rsid w:val="736B22E1"/>
    <w:rsid w:val="75C33E5B"/>
    <w:rsid w:val="78276CE4"/>
    <w:rsid w:val="7994240D"/>
    <w:rsid w:val="7B633C51"/>
    <w:rsid w:val="7CB44805"/>
    <w:rsid w:val="7D115DFC"/>
    <w:rsid w:val="7DA34429"/>
    <w:rsid w:val="7EB41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Date"/>
    <w:basedOn w:val="1"/>
    <w:next w:val="1"/>
    <w:link w:val="15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7"/>
    <w:qFormat/>
    <w:uiPriority w:val="99"/>
    <w:rPr>
      <w:sz w:val="18"/>
      <w:szCs w:val="18"/>
    </w:rPr>
  </w:style>
  <w:style w:type="character" w:customStyle="1" w:styleId="13">
    <w:name w:val="页脚 Char Char"/>
    <w:link w:val="6"/>
    <w:qFormat/>
    <w:uiPriority w:val="99"/>
    <w:rPr>
      <w:sz w:val="18"/>
      <w:szCs w:val="18"/>
    </w:rPr>
  </w:style>
  <w:style w:type="character" w:customStyle="1" w:styleId="14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2650</Words>
  <Characters>2827</Characters>
  <Lines>29</Lines>
  <Paragraphs>8</Paragraphs>
  <TotalTime>0</TotalTime>
  <ScaleCrop>false</ScaleCrop>
  <LinksUpToDate>false</LinksUpToDate>
  <CharactersWithSpaces>2855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燊</cp:lastModifiedBy>
  <cp:lastPrinted>2020-06-04T09:09:00Z</cp:lastPrinted>
  <dcterms:modified xsi:type="dcterms:W3CDTF">2023-09-25T10:23:12Z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1329B1ECB7B1419B814C1CE4D4A5EBBB</vt:lpwstr>
  </property>
</Properties>
</file>