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2022年度新县民政局部门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预算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、部门预算单位构成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部门预算情况说明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　　附件：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部门预算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一、部门收支总体情况表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二、部门收入总体情况表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三、部门支出总体情况表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、部门（单位）整体绩效目标表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一、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贯彻落实民政工作法律、法规和方针政策,研究提出全县民政事业发展规划和政策并组织实施;指导全县民政事业的改革工作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强化基本民生保障职能,为困难群众、孤老孤残孤儿等特殊群体提供基本社会服务,促进资源向薄弱地区、领域、环节倾斜;统筹城乡低保制度,增强特困人员供养机构服务保障能力;加快建立农村留守老年人关爱服务体系,进一步完善残疾人、农村留守儿童关爱服务与保障政策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推进社会组织管理制度改革,积极培育社会组织、社会工作者等多元参与主体,搭建基层社会治理和社区公共服务平台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黑体"/>
          <w:kern w:val="0"/>
          <w:sz w:val="32"/>
          <w:szCs w:val="32"/>
        </w:rPr>
        <w:t>部门的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仿宋_GB2312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民政局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共有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办公室(政策法规股)、)社会事务和社会组织管理股(社会组织联合党委办公室)、社会救助股、养老服务股(慈善事业促进股)、区划地名股5个股室。</w:t>
      </w:r>
      <w:r>
        <w:rPr>
          <w:rFonts w:hint="eastAsia" w:ascii="仿宋_GB2312" w:hAnsi="仿宋_GB2312" w:eastAsia="仿宋_GB2312" w:cs="仿宋_GB2312"/>
          <w:sz w:val="32"/>
          <w:szCs w:val="32"/>
        </w:rPr>
        <w:t>下辖城乡居民最低生活保障工作站、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首府宾馆、社会福利募捐办（慈善总会办公室）、殡葬事务中心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城关公墓事务所</w:t>
      </w:r>
      <w:r>
        <w:rPr>
          <w:rFonts w:hint="eastAsia" w:ascii="仿宋_GB2312" w:hAnsi="仿宋_GB2312" w:eastAsia="仿宋_GB2312" w:cs="仿宋_GB2312"/>
          <w:sz w:val="32"/>
          <w:szCs w:val="32"/>
        </w:rPr>
        <w:t>、流浪乞讨人员救助站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、社会福利中心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个股级事业单位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部门预算单位构成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根据部门预算管理有关规定，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本预算为汇总预算，包括局机关本级预算和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个局属单位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，具体是：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部门机关本级；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新县民政局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部门预算情况说明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327.2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87.9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2022年民政局本级增加了财政安排其他资金，把审批经费列入到部门预算管理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，殡葬事务中心财政经费增加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581.76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83.25</w:t>
      </w:r>
      <w:r>
        <w:rPr>
          <w:rFonts w:ascii="仿宋" w:hAnsi="仿宋" w:eastAsia="仿宋" w:cs="宋体"/>
          <w:kern w:val="0"/>
          <w:sz w:val="32"/>
          <w:szCs w:val="32"/>
        </w:rPr>
        <w:t>%；项目支出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117.04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16.75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327.2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87.9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2022年民政局本级增加了财政安排其他资金，把审批经费列入到部门预算管理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，殡葬事务中心财政经费增加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698.8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581.76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312.81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268.95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eastAsia="仿宋_GB2312"/>
          <w:color w:val="000000"/>
          <w:kern w:val="0"/>
          <w:sz w:val="32"/>
          <w:szCs w:val="32"/>
        </w:rPr>
        <w:t>各类公务接待支出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及</w:t>
      </w:r>
      <w:r>
        <w:rPr>
          <w:rFonts w:hint="eastAsia" w:eastAsia="仿宋_GB2312"/>
          <w:color w:val="000000"/>
          <w:kern w:val="0"/>
          <w:sz w:val="32"/>
          <w:szCs w:val="32"/>
        </w:rPr>
        <w:t>省、市</w:t>
      </w:r>
      <w:r>
        <w:rPr>
          <w:rFonts w:eastAsia="仿宋_GB2312"/>
          <w:color w:val="000000"/>
          <w:kern w:val="0"/>
          <w:sz w:val="32"/>
          <w:szCs w:val="32"/>
        </w:rPr>
        <w:t>慈善调研及兄弟</w:t>
      </w:r>
      <w:r>
        <w:rPr>
          <w:rFonts w:hint="eastAsia" w:eastAsia="仿宋_GB2312"/>
          <w:color w:val="000000"/>
          <w:kern w:val="0"/>
          <w:sz w:val="32"/>
          <w:szCs w:val="32"/>
        </w:rPr>
        <w:t>市</w:t>
      </w:r>
      <w:r>
        <w:rPr>
          <w:rFonts w:eastAsia="仿宋_GB2312"/>
          <w:color w:val="000000"/>
          <w:kern w:val="0"/>
          <w:sz w:val="32"/>
          <w:szCs w:val="32"/>
        </w:rPr>
        <w:t>县业务交流</w:t>
      </w:r>
      <w:r>
        <w:rPr>
          <w:rFonts w:hint="eastAsia" w:eastAsia="仿宋_GB2312"/>
          <w:color w:val="000000"/>
          <w:kern w:val="0"/>
          <w:sz w:val="32"/>
          <w:szCs w:val="32"/>
        </w:rPr>
        <w:t>学习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财政预算经费缩减，局机关缩减开支，</w:t>
      </w:r>
      <w:r>
        <w:rPr>
          <w:rFonts w:hint="eastAsia" w:eastAsia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厉行节俭，控制“三公”经费支出。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新县民政局部门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ind w:firstLine="640" w:firstLineChars="200"/>
        <w:rPr>
          <w:rFonts w:hint="default" w:eastAsia="仿宋_GB2312"/>
          <w:color w:val="000000"/>
          <w:kern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260.1</w:t>
      </w:r>
      <w:r>
        <w:rPr>
          <w:rFonts w:ascii="仿宋" w:hAnsi="仿宋" w:eastAsia="仿宋" w:cs="宋体"/>
          <w:kern w:val="0"/>
          <w:sz w:val="32"/>
          <w:szCs w:val="32"/>
        </w:rPr>
        <w:t>万元，主要保障</w:t>
      </w:r>
      <w:r>
        <w:rPr>
          <w:rFonts w:hint="eastAsia" w:ascii="仿宋" w:hAnsi="仿宋" w:eastAsia="仿宋" w:cs="宋体"/>
          <w:kern w:val="0"/>
          <w:sz w:val="32"/>
          <w:szCs w:val="32"/>
        </w:rPr>
        <w:t>机构</w:t>
      </w:r>
      <w:r>
        <w:rPr>
          <w:rFonts w:ascii="仿宋" w:hAnsi="仿宋" w:eastAsia="仿宋" w:cs="宋体"/>
          <w:kern w:val="0"/>
          <w:sz w:val="32"/>
          <w:szCs w:val="32"/>
        </w:rPr>
        <w:t>正常运转及正常履职需要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245.06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116.24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2022年增加了财政安排其他资金，把审批经费列入到部门预算管理。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pStyle w:val="2"/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新县民政局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年部门预算表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2EDA7"/>
    <w:multiLevelType w:val="singleLevel"/>
    <w:tmpl w:val="5982EDA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</w:docVars>
  <w:rsids>
    <w:rsidRoot w:val="00000000"/>
    <w:rsid w:val="022C4D5D"/>
    <w:rsid w:val="0256644B"/>
    <w:rsid w:val="05290F57"/>
    <w:rsid w:val="09364543"/>
    <w:rsid w:val="12742613"/>
    <w:rsid w:val="15D918B1"/>
    <w:rsid w:val="16151263"/>
    <w:rsid w:val="177D74B1"/>
    <w:rsid w:val="1AB23BE8"/>
    <w:rsid w:val="1D9C09E6"/>
    <w:rsid w:val="1F310DAE"/>
    <w:rsid w:val="2069348A"/>
    <w:rsid w:val="24133DF1"/>
    <w:rsid w:val="29C000DB"/>
    <w:rsid w:val="2BCB7B04"/>
    <w:rsid w:val="2DB604DD"/>
    <w:rsid w:val="30A71CDB"/>
    <w:rsid w:val="31793138"/>
    <w:rsid w:val="3A7E0A14"/>
    <w:rsid w:val="42CE5896"/>
    <w:rsid w:val="434A02FE"/>
    <w:rsid w:val="46FC6FF6"/>
    <w:rsid w:val="490F7DCE"/>
    <w:rsid w:val="4C72516B"/>
    <w:rsid w:val="4DD64FAE"/>
    <w:rsid w:val="50AD2EA7"/>
    <w:rsid w:val="53BA7631"/>
    <w:rsid w:val="56513437"/>
    <w:rsid w:val="56B530B4"/>
    <w:rsid w:val="572428CD"/>
    <w:rsid w:val="5C734107"/>
    <w:rsid w:val="5C9B013B"/>
    <w:rsid w:val="5D286578"/>
    <w:rsid w:val="5DD22E63"/>
    <w:rsid w:val="5E1E3F89"/>
    <w:rsid w:val="5EA54BC4"/>
    <w:rsid w:val="5EE35B37"/>
    <w:rsid w:val="5F552F7D"/>
    <w:rsid w:val="60BC38AA"/>
    <w:rsid w:val="62D0320E"/>
    <w:rsid w:val="66275FD6"/>
    <w:rsid w:val="67C0189B"/>
    <w:rsid w:val="67FB397A"/>
    <w:rsid w:val="68707874"/>
    <w:rsid w:val="69BD10B7"/>
    <w:rsid w:val="6A014E5B"/>
    <w:rsid w:val="6AE25BD4"/>
    <w:rsid w:val="6B490895"/>
    <w:rsid w:val="6BCE4EB6"/>
    <w:rsid w:val="6CA57A19"/>
    <w:rsid w:val="6D9E5A9F"/>
    <w:rsid w:val="70447E3C"/>
    <w:rsid w:val="71A12FE6"/>
    <w:rsid w:val="71FD0888"/>
    <w:rsid w:val="749C1C70"/>
    <w:rsid w:val="75494B34"/>
    <w:rsid w:val="76D371EB"/>
    <w:rsid w:val="77D6157C"/>
    <w:rsid w:val="79086F68"/>
    <w:rsid w:val="7994240D"/>
    <w:rsid w:val="7EB02421"/>
    <w:rsid w:val="7F9546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Date"/>
    <w:basedOn w:val="1"/>
    <w:next w:val="1"/>
    <w:link w:val="15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 Char"/>
    <w:link w:val="7"/>
    <w:qFormat/>
    <w:uiPriority w:val="99"/>
    <w:rPr>
      <w:sz w:val="18"/>
      <w:szCs w:val="18"/>
    </w:rPr>
  </w:style>
  <w:style w:type="character" w:customStyle="1" w:styleId="13">
    <w:name w:val="页脚 Char Char"/>
    <w:link w:val="6"/>
    <w:qFormat/>
    <w:uiPriority w:val="99"/>
    <w:rPr>
      <w:sz w:val="18"/>
      <w:szCs w:val="18"/>
    </w:rPr>
  </w:style>
  <w:style w:type="character" w:customStyle="1" w:styleId="14">
    <w:name w:val="批注框文本 Char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日期 Char Char"/>
    <w:link w:val="4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3238</Words>
  <Characters>3453</Characters>
  <Lines>29</Lines>
  <Paragraphs>8</Paragraphs>
  <TotalTime>8</TotalTime>
  <ScaleCrop>false</ScaleCrop>
  <LinksUpToDate>false</LinksUpToDate>
  <CharactersWithSpaces>3477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2023-10-19T02:23:26Z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1329B1ECB7B1419B814C1CE4D4A5EBBB</vt:lpwstr>
  </property>
</Properties>
</file>