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慈善总会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numPr>
          <w:ilvl w:val="0"/>
          <w:numId w:val="1"/>
        </w:numPr>
        <w:ind w:left="640" w:leftChars="0" w:firstLine="0" w:firstLineChars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ascii="黑体" w:hAnsi="黑体" w:eastAsia="黑体" w:cs="宋体"/>
          <w:bCs/>
          <w:kern w:val="0"/>
          <w:sz w:val="32"/>
          <w:szCs w:val="32"/>
        </w:rPr>
        <w:t>慈善总会概况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新县慈善总会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新县慈善总会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新县慈善总会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新县慈善总会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ascii="仿宋" w:hAnsi="仿宋" w:eastAsia="仿宋" w:cs="宋体"/>
          <w:kern w:val="0"/>
          <w:sz w:val="32"/>
          <w:szCs w:val="32"/>
        </w:rPr>
        <w:t>慈善总会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筹集善款、赈灾救助、扶贫济困、慈善帮扶、公益援助和慈善宣传等等</w:t>
      </w:r>
    </w:p>
    <w:p>
      <w:pPr>
        <w:pStyle w:val="17"/>
        <w:numPr>
          <w:ilvl w:val="0"/>
          <w:numId w:val="2"/>
        </w:numPr>
        <w:adjustRightInd w:val="0"/>
        <w:snapToGrid w:val="0"/>
        <w:spacing w:line="560" w:lineRule="exact"/>
        <w:ind w:firstLineChars="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新县慈善总会</w:t>
      </w:r>
      <w:r>
        <w:rPr>
          <w:rFonts w:hint="eastAsia" w:ascii="黑体" w:hAnsi="黑体" w:eastAsia="黑体"/>
          <w:kern w:val="0"/>
          <w:sz w:val="32"/>
          <w:szCs w:val="32"/>
        </w:rPr>
        <w:t>机构设置</w:t>
      </w:r>
    </w:p>
    <w:p>
      <w:pPr>
        <w:spacing w:line="72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办公室、</w:t>
      </w:r>
      <w:r>
        <w:rPr>
          <w:rFonts w:ascii="仿宋_GB2312" w:eastAsia="仿宋_GB2312"/>
          <w:color w:val="000000"/>
          <w:sz w:val="32"/>
          <w:szCs w:val="32"/>
        </w:rPr>
        <w:t>财务室</w:t>
      </w:r>
    </w:p>
    <w:p>
      <w:pPr>
        <w:spacing w:line="720" w:lineRule="exact"/>
        <w:ind w:firstLine="63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</w:t>
      </w:r>
      <w:r>
        <w:rPr>
          <w:rFonts w:ascii="黑体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新县慈善总会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此次公开的预算“无下属机构及其他预算单位”仅有本单位预算。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新县慈善总会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年收入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总计24.5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color w:val="000000"/>
          <w:kern w:val="0"/>
          <w:sz w:val="32"/>
          <w:szCs w:val="32"/>
        </w:rPr>
        <w:t>万元，支出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总计24.5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color w:val="000000"/>
          <w:kern w:val="0"/>
          <w:sz w:val="32"/>
          <w:szCs w:val="32"/>
        </w:rPr>
        <w:t>万元，与</w:t>
      </w:r>
      <w:r>
        <w:rPr>
          <w:rFonts w:hint="eastAsia" w:eastAsia="仿宋_GB2312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年相比，收、支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总计各</w:t>
      </w:r>
      <w:r>
        <w:rPr>
          <w:rFonts w:hint="eastAsia" w:eastAsia="仿宋_GB2312"/>
          <w:color w:val="000000"/>
          <w:kern w:val="0"/>
          <w:sz w:val="32"/>
          <w:szCs w:val="32"/>
        </w:rPr>
        <w:t>增加11.2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color w:val="000000"/>
          <w:kern w:val="0"/>
          <w:sz w:val="32"/>
          <w:szCs w:val="32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</w:rPr>
        <w:t>增加84.2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</w:rPr>
        <w:t>%</w:t>
      </w:r>
      <w:r>
        <w:rPr>
          <w:rFonts w:eastAsia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hint="eastAsia" w:eastAsia="仿宋_GB2312"/>
          <w:color w:val="000000"/>
          <w:kern w:val="0"/>
          <w:sz w:val="32"/>
          <w:szCs w:val="32"/>
        </w:rPr>
        <w:t>年审批经费纳入到部门预算中</w:t>
      </w:r>
      <w:r>
        <w:rPr>
          <w:rFonts w:eastAsia="仿宋_GB2312"/>
          <w:color w:val="000000"/>
          <w:kern w:val="0"/>
          <w:sz w:val="32"/>
          <w:szCs w:val="32"/>
        </w:rPr>
        <w:t xml:space="preserve">。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widowControl/>
        <w:spacing w:line="60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2022</w:t>
      </w:r>
      <w:r>
        <w:rPr>
          <w:rFonts w:eastAsia="仿宋_GB2312"/>
          <w:color w:val="000000"/>
          <w:sz w:val="32"/>
          <w:szCs w:val="32"/>
        </w:rPr>
        <w:t>年收入预算24.5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eastAsia="仿宋_GB2312"/>
          <w:color w:val="000000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hint="eastAsia" w:ascii="仿宋_GB2312" w:eastAsia="仿宋_GB2312"/>
          <w:sz w:val="32"/>
          <w:szCs w:val="32"/>
        </w:rPr>
        <w:t>一般公共预算</w:t>
      </w:r>
      <w:r>
        <w:rPr>
          <w:rFonts w:ascii="仿宋_GB2312" w:eastAsia="仿宋_GB2312"/>
          <w:sz w:val="32"/>
          <w:szCs w:val="32"/>
        </w:rPr>
        <w:t>收入</w:t>
      </w:r>
      <w:r>
        <w:rPr>
          <w:rFonts w:hint="eastAsia" w:eastAsia="仿宋_GB2312" w:asciiTheme="minorAscii"/>
          <w:sz w:val="32"/>
          <w:szCs w:val="32"/>
          <w:lang w:val="en-US" w:eastAsia="zh-CN"/>
        </w:rPr>
        <w:t>24.50</w:t>
      </w:r>
      <w:r>
        <w:rPr>
          <w:rFonts w:ascii="仿宋_GB2312" w:eastAsia="仿宋_GB2312"/>
          <w:sz w:val="32"/>
          <w:szCs w:val="32"/>
        </w:rPr>
        <w:t>万元，政府性基金收入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国有资本经营预算收入</w:t>
      </w:r>
      <w:r>
        <w:rPr>
          <w:rFonts w:ascii="仿宋_GB2312" w:eastAsia="仿宋_GB2312"/>
          <w:sz w:val="32"/>
          <w:szCs w:val="32"/>
        </w:rPr>
        <w:t>0万元，专户管理的收入0万元，其他收入0万元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部门结转</w:t>
      </w:r>
      <w:r>
        <w:rPr>
          <w:rFonts w:hint="eastAsia" w:ascii="仿宋_GB2312" w:eastAsia="仿宋_GB2312"/>
          <w:sz w:val="32"/>
          <w:szCs w:val="32"/>
        </w:rPr>
        <w:t>资金</w:t>
      </w:r>
      <w:r>
        <w:rPr>
          <w:rFonts w:ascii="仿宋_GB2312" w:eastAsia="仿宋_GB2312"/>
          <w:sz w:val="32"/>
          <w:szCs w:val="32"/>
        </w:rPr>
        <w:t>0万元</w:t>
      </w:r>
      <w:r>
        <w:rPr>
          <w:rFonts w:hint="eastAsia" w:ascii="仿宋_GB2312" w:eastAsia="仿宋_GB2312"/>
          <w:sz w:val="32"/>
          <w:szCs w:val="32"/>
        </w:rPr>
        <w:t>，部门结余资金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2022</w:t>
      </w:r>
      <w:r>
        <w:rPr>
          <w:rFonts w:eastAsia="仿宋_GB2312"/>
          <w:color w:val="000000"/>
          <w:sz w:val="32"/>
          <w:szCs w:val="32"/>
        </w:rPr>
        <w:t>年支出预算24.5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</w:rPr>
        <w:t>万</w:t>
      </w:r>
      <w:r>
        <w:rPr>
          <w:rFonts w:eastAsia="仿宋_GB2312"/>
          <w:color w:val="000000"/>
          <w:sz w:val="32"/>
          <w:szCs w:val="32"/>
        </w:rPr>
        <w:t>元，其中：基本支出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eastAsia="仿宋_GB2312"/>
          <w:color w:val="000000"/>
          <w:sz w:val="32"/>
          <w:szCs w:val="32"/>
        </w:rPr>
        <w:t>万元，占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81.63</w:t>
      </w:r>
      <w:r>
        <w:rPr>
          <w:rFonts w:hint="eastAsia" w:eastAsia="仿宋_GB2312"/>
          <w:color w:val="000000"/>
          <w:kern w:val="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；项目支出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4.50</w:t>
      </w:r>
      <w:r>
        <w:rPr>
          <w:rFonts w:eastAsia="仿宋_GB2312"/>
          <w:color w:val="000000"/>
          <w:sz w:val="32"/>
          <w:szCs w:val="32"/>
        </w:rPr>
        <w:t>万</w:t>
      </w:r>
      <w:r>
        <w:rPr>
          <w:rFonts w:hint="eastAsia" w:eastAsia="仿宋_GB2312"/>
          <w:color w:val="000000"/>
          <w:sz w:val="32"/>
          <w:szCs w:val="32"/>
        </w:rPr>
        <w:t>元，</w:t>
      </w:r>
      <w:r>
        <w:rPr>
          <w:rFonts w:eastAsia="仿宋_GB2312"/>
          <w:color w:val="000000"/>
          <w:sz w:val="32"/>
          <w:szCs w:val="32"/>
        </w:rPr>
        <w:t>占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18.37</w:t>
      </w:r>
      <w:r>
        <w:rPr>
          <w:rFonts w:hint="eastAsia" w:eastAsia="仿宋_GB2312"/>
          <w:color w:val="000000"/>
          <w:kern w:val="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>财政拨款收入</w:t>
      </w:r>
      <w:r>
        <w:rPr>
          <w:rFonts w:eastAsia="仿宋_GB2312"/>
          <w:color w:val="000000"/>
          <w:kern w:val="0"/>
          <w:sz w:val="32"/>
          <w:szCs w:val="32"/>
        </w:rPr>
        <w:t>预算24.5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color w:val="000000"/>
          <w:kern w:val="0"/>
          <w:sz w:val="32"/>
          <w:szCs w:val="32"/>
        </w:rPr>
        <w:t>万元</w:t>
      </w:r>
      <w:r>
        <w:rPr>
          <w:rFonts w:hint="eastAsia" w:eastAsia="仿宋_GB2312"/>
          <w:color w:val="000000"/>
          <w:kern w:val="0"/>
          <w:sz w:val="32"/>
          <w:szCs w:val="32"/>
        </w:rPr>
        <w:t>，财政拨款支出预算</w:t>
      </w:r>
      <w:r>
        <w:rPr>
          <w:rFonts w:eastAsia="仿宋_GB2312"/>
          <w:color w:val="000000"/>
          <w:kern w:val="0"/>
          <w:sz w:val="32"/>
          <w:szCs w:val="32"/>
        </w:rPr>
        <w:t>24.5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</w:rPr>
        <w:t>万元</w:t>
      </w:r>
      <w:r>
        <w:rPr>
          <w:rFonts w:eastAsia="仿宋_GB2312"/>
          <w:color w:val="000000"/>
          <w:sz w:val="32"/>
          <w:szCs w:val="32"/>
        </w:rPr>
        <w:t>。</w:t>
      </w:r>
      <w:r>
        <w:rPr>
          <w:rFonts w:eastAsia="仿宋_GB2312"/>
          <w:color w:val="000000"/>
          <w:kern w:val="0"/>
          <w:sz w:val="32"/>
          <w:szCs w:val="32"/>
        </w:rPr>
        <w:t xml:space="preserve">与 </w:t>
      </w:r>
      <w:r>
        <w:rPr>
          <w:rFonts w:hint="eastAsia" w:eastAsia="仿宋_GB2312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年相比，</w:t>
      </w:r>
      <w:r>
        <w:rPr>
          <w:rFonts w:hint="eastAsia" w:eastAsia="仿宋_GB2312"/>
          <w:color w:val="000000"/>
          <w:kern w:val="0"/>
          <w:sz w:val="32"/>
          <w:szCs w:val="32"/>
        </w:rPr>
        <w:t>财政拨款</w:t>
      </w:r>
      <w:r>
        <w:rPr>
          <w:rFonts w:eastAsia="仿宋_GB2312"/>
          <w:color w:val="000000"/>
          <w:kern w:val="0"/>
          <w:sz w:val="32"/>
          <w:szCs w:val="32"/>
        </w:rPr>
        <w:t>收支预算</w:t>
      </w:r>
      <w:r>
        <w:rPr>
          <w:rFonts w:hint="eastAsia" w:eastAsia="仿宋_GB2312"/>
          <w:color w:val="000000"/>
          <w:kern w:val="0"/>
          <w:sz w:val="32"/>
          <w:szCs w:val="32"/>
        </w:rPr>
        <w:t>增加11.2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color w:val="000000"/>
          <w:kern w:val="0"/>
          <w:sz w:val="32"/>
          <w:szCs w:val="32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</w:rPr>
        <w:t>增加84.2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</w:rPr>
        <w:t>%。增加</w:t>
      </w:r>
      <w:r>
        <w:rPr>
          <w:rFonts w:eastAsia="仿宋_GB2312"/>
          <w:color w:val="000000"/>
          <w:kern w:val="0"/>
          <w:sz w:val="32"/>
          <w:szCs w:val="32"/>
        </w:rPr>
        <w:t>的主要原因为：</w:t>
      </w:r>
      <w:r>
        <w:rPr>
          <w:rFonts w:hint="eastAsia" w:eastAsia="仿宋_GB2312"/>
          <w:color w:val="000000"/>
          <w:kern w:val="0"/>
          <w:sz w:val="32"/>
          <w:szCs w:val="32"/>
        </w:rPr>
        <w:t>2022年审批经费纳入到部门预算中。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新县慈善总会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24.50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24.50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新县慈善总会2022年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0.70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0.70</w:t>
      </w:r>
      <w:r>
        <w:rPr>
          <w:rFonts w:ascii="仿宋" w:hAnsi="仿宋" w:eastAsia="仿宋" w:cs="宋体"/>
          <w:kern w:val="0"/>
          <w:sz w:val="32"/>
          <w:szCs w:val="32"/>
        </w:rPr>
        <w:t>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eastAsia="仿宋_GB2312"/>
          <w:color w:val="000000"/>
          <w:kern w:val="0"/>
          <w:sz w:val="32"/>
          <w:szCs w:val="32"/>
        </w:rPr>
        <w:t>省、市</w:t>
      </w:r>
      <w:r>
        <w:rPr>
          <w:rFonts w:eastAsia="仿宋_GB2312"/>
          <w:color w:val="000000"/>
          <w:kern w:val="0"/>
          <w:sz w:val="32"/>
          <w:szCs w:val="32"/>
        </w:rPr>
        <w:t>慈善调研及兄弟</w:t>
      </w:r>
      <w:r>
        <w:rPr>
          <w:rFonts w:hint="eastAsia" w:eastAsia="仿宋_GB2312"/>
          <w:color w:val="000000"/>
          <w:kern w:val="0"/>
          <w:sz w:val="32"/>
          <w:szCs w:val="32"/>
        </w:rPr>
        <w:t>市</w:t>
      </w:r>
      <w:r>
        <w:rPr>
          <w:rFonts w:eastAsia="仿宋_GB2312"/>
          <w:color w:val="000000"/>
          <w:kern w:val="0"/>
          <w:sz w:val="32"/>
          <w:szCs w:val="32"/>
        </w:rPr>
        <w:t>县业务交流</w:t>
      </w:r>
      <w:r>
        <w:rPr>
          <w:rFonts w:hint="eastAsia" w:eastAsia="仿宋_GB2312"/>
          <w:color w:val="000000"/>
          <w:kern w:val="0"/>
          <w:sz w:val="32"/>
          <w:szCs w:val="32"/>
        </w:rPr>
        <w:t>学习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厉行节俭，减少了公务接待费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新县慈善总会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 xml:space="preserve"> 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新县慈善总会</w:t>
      </w:r>
      <w:r>
        <w:rPr>
          <w:rFonts w:hint="eastAsia" w:ascii="仿宋" w:hAnsi="仿宋" w:eastAsia="仿宋" w:cs="仿宋"/>
          <w:sz w:val="32"/>
          <w:szCs w:val="32"/>
        </w:rPr>
        <w:t>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321" w:firstLineChars="1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新县慈善总会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新县慈善总会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新县慈善总会</w:t>
      </w:r>
      <w:r>
        <w:rPr>
          <w:rFonts w:hint="eastAsia" w:ascii="仿宋" w:hAnsi="仿宋" w:eastAsia="仿宋" w:cs="仿宋"/>
          <w:sz w:val="32"/>
          <w:szCs w:val="32"/>
        </w:rPr>
        <w:t>2022年无专项转移支付项目。</w:t>
      </w:r>
    </w:p>
    <w:bookmarkEnd w:id="0"/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新县慈善总会2022年预算表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3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9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15834"/>
    <w:multiLevelType w:val="singleLevel"/>
    <w:tmpl w:val="84815834"/>
    <w:lvl w:ilvl="0" w:tentative="0">
      <w:start w:val="1"/>
      <w:numFmt w:val="chineseCounting"/>
      <w:suff w:val="space"/>
      <w:lvlText w:val="第%1部分"/>
      <w:lvlJc w:val="left"/>
      <w:pPr>
        <w:ind w:left="640" w:leftChars="0" w:firstLine="0" w:firstLineChars="0"/>
      </w:pPr>
      <w:rPr>
        <w:rFonts w:hint="eastAsia"/>
      </w:rPr>
    </w:lvl>
  </w:abstractNum>
  <w:abstractNum w:abstractNumId="1">
    <w:nsid w:val="333775B3"/>
    <w:multiLevelType w:val="multilevel"/>
    <w:tmpl w:val="333775B3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M2JjNDAzZmUzNGUxMjFkNWEyYzlmM2MxMDcxYjcifQ=="/>
  </w:docVars>
  <w:rsids>
    <w:rsidRoot w:val="00D72C94"/>
    <w:rsid w:val="00045701"/>
    <w:rsid w:val="00126320"/>
    <w:rsid w:val="00280079"/>
    <w:rsid w:val="003822CE"/>
    <w:rsid w:val="00477D70"/>
    <w:rsid w:val="00612D99"/>
    <w:rsid w:val="00633509"/>
    <w:rsid w:val="00677C51"/>
    <w:rsid w:val="00C373C3"/>
    <w:rsid w:val="00D72C94"/>
    <w:rsid w:val="09364543"/>
    <w:rsid w:val="0A6F1B02"/>
    <w:rsid w:val="1C34759A"/>
    <w:rsid w:val="1D9C09E6"/>
    <w:rsid w:val="1E940EEE"/>
    <w:rsid w:val="1F310DAE"/>
    <w:rsid w:val="2069348A"/>
    <w:rsid w:val="24133DF1"/>
    <w:rsid w:val="26B86B17"/>
    <w:rsid w:val="29C8276C"/>
    <w:rsid w:val="2BCB7B04"/>
    <w:rsid w:val="315F5582"/>
    <w:rsid w:val="32EB6CD2"/>
    <w:rsid w:val="3D626D69"/>
    <w:rsid w:val="42AC11E0"/>
    <w:rsid w:val="46FC6FF6"/>
    <w:rsid w:val="47E2573A"/>
    <w:rsid w:val="49F61DEB"/>
    <w:rsid w:val="50AD2EA7"/>
    <w:rsid w:val="5F552F7D"/>
    <w:rsid w:val="67C0189B"/>
    <w:rsid w:val="68707874"/>
    <w:rsid w:val="6A014E5B"/>
    <w:rsid w:val="6A641166"/>
    <w:rsid w:val="6C9854C4"/>
    <w:rsid w:val="7994240D"/>
    <w:rsid w:val="7B633C51"/>
    <w:rsid w:val="7DA3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4">
    <w:name w:val="Date"/>
    <w:basedOn w:val="1"/>
    <w:next w:val="1"/>
    <w:link w:val="16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5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semiHidden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9"/>
    <w:semiHidden/>
    <w:unhideWhenUsed/>
    <w:qFormat/>
    <w:uiPriority w:val="0"/>
    <w:rPr>
      <w:sz w:val="21"/>
      <w:szCs w:val="21"/>
    </w:rPr>
  </w:style>
  <w:style w:type="character" w:customStyle="1" w:styleId="13">
    <w:name w:val="页眉 字符"/>
    <w:link w:val="7"/>
    <w:qFormat/>
    <w:uiPriority w:val="99"/>
    <w:rPr>
      <w:sz w:val="18"/>
      <w:szCs w:val="18"/>
    </w:rPr>
  </w:style>
  <w:style w:type="character" w:customStyle="1" w:styleId="14">
    <w:name w:val="页脚 字符"/>
    <w:link w:val="6"/>
    <w:qFormat/>
    <w:uiPriority w:val="99"/>
    <w:rPr>
      <w:sz w:val="18"/>
      <w:szCs w:val="18"/>
    </w:rPr>
  </w:style>
  <w:style w:type="character" w:customStyle="1" w:styleId="15">
    <w:name w:val="批注框文本 字符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6">
    <w:name w:val="日期 字符"/>
    <w:link w:val="4"/>
    <w:qFormat/>
    <w:uiPriority w:val="0"/>
    <w:rPr>
      <w:rFonts w:ascii="Calibri" w:hAnsi="Calibri" w:cs="黑体"/>
      <w:kern w:val="2"/>
      <w:sz w:val="21"/>
      <w:szCs w:val="2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593</Words>
  <Characters>3386</Characters>
  <Lines>28</Lines>
  <Paragraphs>7</Paragraphs>
  <TotalTime>0</TotalTime>
  <ScaleCrop>false</ScaleCrop>
  <LinksUpToDate>false</LinksUpToDate>
  <CharactersWithSpaces>3972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燊</cp:lastModifiedBy>
  <cp:lastPrinted>2020-06-04T09:09:00Z</cp:lastPrinted>
  <dcterms:modified xsi:type="dcterms:W3CDTF">2023-09-26T05:37:16Z</dcterms:modified>
  <dc:title>看过后删除的备注：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1329B1ECB7B1419B814C1CE4D4A5EBBB</vt:lpwstr>
  </property>
</Properties>
</file>