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</w:rPr>
        <w:t>年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  <w:lang w:eastAsia="zh-CN"/>
        </w:rPr>
        <w:t>新县特殊教育学校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</w:rPr>
        <w:t>预算说明</w:t>
      </w:r>
    </w:p>
    <w:p>
      <w:pPr>
        <w:spacing w:line="600" w:lineRule="exact"/>
        <w:jc w:val="both"/>
        <w:rPr>
          <w:rFonts w:hint="eastAsia" w:ascii="方正小标宋简体" w:hAnsi="宋体" w:eastAsia="方正小标宋简体"/>
          <w:b w:val="0"/>
          <w:bCs/>
          <w:color w:val="000000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hint="eastAsia" w:ascii="新宋体" w:hAnsi="新宋体" w:eastAsia="新宋体" w:cs="新宋体"/>
          <w:b/>
          <w:bCs/>
          <w:color w:val="000000"/>
          <w:sz w:val="44"/>
          <w:szCs w:val="44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000000"/>
          <w:sz w:val="44"/>
          <w:szCs w:val="44"/>
          <w:highlight w:val="none"/>
        </w:rPr>
        <w:t>目   录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新县特殊教育学校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新县特殊教育学校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预算情况说明</w:t>
      </w:r>
    </w:p>
    <w:p>
      <w:pPr>
        <w:spacing w:line="60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 名词解释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附件：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新县特殊教育学校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新县特殊教育学校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新县特殊教育学校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主要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职能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新县特殊教育学校的主要职责是：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贯彻执行中央、省、市关于教育工作的方针、政策和法规，研究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制定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新县特殊教育学校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教育事业发展规划、年度计划、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实施小学义务教育，促进小学义务教育教学的发展，为特殊人群提供特殊教育服务。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综合管理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全校小学义务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特殊教育等工作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主管学校的德育工作和思想政治工作，端正办学方向，培养德、智、体、美、劳全面发展的社会主义新人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负责全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教育系统的干部管理、教师调配、教师的职称评聘，在职教师培训、老干部管理等工作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（五）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负责全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校小学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教育事业的计划、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特殊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教育事业的计划、统计和教育经费预算、决算工作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（六）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负责全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校小学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教育系统的校园规划和教学设施装备供应工作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（七）负责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学校贯彻执行教学大纲、教学改革、学校安全卫生、提高教育质量和教学水平等情况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（八）认真高效完成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上级教育行政部门交办的其它工作。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二、新县特殊教育学校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根据预算管理有关规定，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新县特殊教育学校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收支预算为单位预算，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学校内设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3个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科室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，分别为教导处、政教处、总务处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新县特殊教育学校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新县特殊教育学校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新县特殊教育学校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2022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年收入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总计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604.68万元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604.68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与202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年相比，收、支预算总计各增加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110.88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22.46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%。主要原因：人员工资自然晋升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，人员经费增加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收入预算总体说明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新县特殊教育学校2022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年收入预算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604.68万元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其中：一般公共预算收入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557.68</w:t>
      </w:r>
      <w:r>
        <w:rPr>
          <w:rFonts w:hint="eastAsia" w:ascii="仿宋" w:hAnsi="仿宋" w:eastAsia="仿宋" w:cs="仿宋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47.0 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支出预算总体说明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新县特殊教育学校2022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年支出预算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604.68万元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，其中：基本支出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604.68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预算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%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财政拨款收入支出预算总体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情况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新县特殊教育学校2022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557.68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557.68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与 202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年相比，财政拨款收支预算增加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101.95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万元，增加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22.37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%。增加主要原因为：人员经费增加。</w:t>
      </w:r>
    </w:p>
    <w:p>
      <w:pPr>
        <w:spacing w:line="60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一般公共预算支出预算情况说明</w:t>
      </w:r>
    </w:p>
    <w:p>
      <w:pPr>
        <w:spacing w:line="600" w:lineRule="exact"/>
        <w:ind w:firstLine="640" w:firstLineChars="200"/>
        <w:rPr>
          <w:rFonts w:hint="eastAsia" w:ascii="楷体_GB2312" w:eastAsia="仿宋"/>
          <w:b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新县特殊教育学校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年一般公共预算支出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年初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557.68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主要用于一下几个方面：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教育</w:t>
      </w:r>
      <w:r>
        <w:rPr>
          <w:rFonts w:hint="eastAsia" w:ascii="仿宋" w:hAnsi="仿宋" w:eastAsia="仿宋" w:cs="仿宋"/>
          <w:kern w:val="0"/>
          <w:sz w:val="32"/>
          <w:szCs w:val="32"/>
        </w:rPr>
        <w:t>（类）支出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451.07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80.88</w:t>
      </w:r>
      <w:r>
        <w:rPr>
          <w:rFonts w:hint="eastAsia" w:ascii="仿宋" w:hAnsi="仿宋" w:eastAsia="仿宋" w:cs="仿宋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48.72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8.74</w:t>
      </w:r>
      <w:r>
        <w:rPr>
          <w:rFonts w:hint="eastAsia" w:ascii="仿宋" w:hAnsi="仿宋" w:eastAsia="仿宋" w:cs="仿宋"/>
          <w:kern w:val="0"/>
          <w:sz w:val="32"/>
          <w:szCs w:val="32"/>
        </w:rPr>
        <w:t>%；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卫生健康</w:t>
      </w:r>
      <w:r>
        <w:rPr>
          <w:rFonts w:hint="eastAsia" w:ascii="仿宋" w:hAnsi="仿宋" w:eastAsia="仿宋" w:cs="仿宋"/>
          <w:kern w:val="0"/>
          <w:sz w:val="32"/>
          <w:szCs w:val="32"/>
        </w:rPr>
        <w:t>（类）支出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23.67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4.24</w:t>
      </w:r>
      <w:r>
        <w:rPr>
          <w:rFonts w:hint="eastAsia" w:ascii="仿宋" w:hAnsi="仿宋" w:eastAsia="仿宋" w:cs="仿宋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34.22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6.14</w:t>
      </w:r>
      <w:r>
        <w:rPr>
          <w:rFonts w:hint="eastAsia" w:ascii="仿宋" w:hAnsi="仿宋" w:eastAsia="仿宋" w:cs="仿宋"/>
          <w:kern w:val="0"/>
          <w:sz w:val="32"/>
          <w:szCs w:val="32"/>
        </w:rPr>
        <w:t>%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557.68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414.26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143.42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新县特殊教育学校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2.47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单位节约开支。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具体支出情况如下：</w:t>
      </w:r>
    </w:p>
    <w:p>
      <w:pPr>
        <w:widowControl/>
        <w:spacing w:line="600" w:lineRule="exact"/>
        <w:ind w:firstLine="636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0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与上年持平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         </w:t>
      </w:r>
    </w:p>
    <w:p>
      <w:pPr>
        <w:spacing w:line="600" w:lineRule="exact"/>
        <w:ind w:firstLine="636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</w:rPr>
        <w:t>公务接待费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2.47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万元，比 202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年下降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%。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  <w:lang w:val="en-US" w:eastAsia="zh-CN"/>
        </w:rPr>
        <w:t>本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单位节约开支。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" w:hAnsi="仿宋" w:eastAsia="仿宋" w:cs="仿宋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上年持平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新县特殊教育学校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机关运行经费支出情况</w:t>
      </w:r>
    </w:p>
    <w:p>
      <w:pPr>
        <w:widowControl/>
        <w:spacing w:line="600" w:lineRule="exact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　   由于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新县特殊教育学校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不属于行政单位或参照公务员法管理的事业单位，故没有该项开支。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仿宋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（三）绩效目标设置情况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我单位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仿宋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20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新县特殊教育学校</w:t>
      </w:r>
      <w:r>
        <w:rPr>
          <w:rFonts w:hint="eastAsia" w:ascii="仿宋" w:hAnsi="仿宋" w:eastAsia="仿宋" w:cs="仿宋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辆、一般执法执勤用车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辆；单价50万元以上通用设备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套，单位价值100万元以上专用设备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kern w:val="0"/>
          <w:sz w:val="32"/>
          <w:szCs w:val="32"/>
        </w:rPr>
        <w:t>套。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（五）专项转移支付项目情况</w:t>
      </w:r>
    </w:p>
    <w:p>
      <w:pPr>
        <w:pStyle w:val="2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新县特殊教育学校2022年无专项转移支付项目。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新县特殊教育学校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F7A0E3"/>
    <w:multiLevelType w:val="singleLevel"/>
    <w:tmpl w:val="39F7A0E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26b5738b-97dd-4f33-8ca9-cf0f2f5a772e"/>
  </w:docVars>
  <w:rsids>
    <w:rsidRoot w:val="7B8B0CE7"/>
    <w:rsid w:val="00EF16FF"/>
    <w:rsid w:val="017B2F92"/>
    <w:rsid w:val="01B85F94"/>
    <w:rsid w:val="01BC170F"/>
    <w:rsid w:val="01FE1C73"/>
    <w:rsid w:val="029C3B08"/>
    <w:rsid w:val="03AF786B"/>
    <w:rsid w:val="044C1627"/>
    <w:rsid w:val="05194BE0"/>
    <w:rsid w:val="078D4BA5"/>
    <w:rsid w:val="09BC19A1"/>
    <w:rsid w:val="0A590531"/>
    <w:rsid w:val="0B344E20"/>
    <w:rsid w:val="0C4C7023"/>
    <w:rsid w:val="0D1D5433"/>
    <w:rsid w:val="0E060087"/>
    <w:rsid w:val="0FCB6EBE"/>
    <w:rsid w:val="10703EDE"/>
    <w:rsid w:val="11B81FE1"/>
    <w:rsid w:val="12421961"/>
    <w:rsid w:val="13281F8E"/>
    <w:rsid w:val="13511DA5"/>
    <w:rsid w:val="13561AB1"/>
    <w:rsid w:val="13FA41EA"/>
    <w:rsid w:val="14F96B98"/>
    <w:rsid w:val="151C3B32"/>
    <w:rsid w:val="17544559"/>
    <w:rsid w:val="175525D5"/>
    <w:rsid w:val="177613E5"/>
    <w:rsid w:val="1A7A1B5C"/>
    <w:rsid w:val="1B897503"/>
    <w:rsid w:val="1BE730A7"/>
    <w:rsid w:val="1D1219C9"/>
    <w:rsid w:val="1D303373"/>
    <w:rsid w:val="1D7F1C04"/>
    <w:rsid w:val="1DE008F5"/>
    <w:rsid w:val="1F525822"/>
    <w:rsid w:val="205638CE"/>
    <w:rsid w:val="207668BA"/>
    <w:rsid w:val="21151374"/>
    <w:rsid w:val="22325497"/>
    <w:rsid w:val="22BF3C6A"/>
    <w:rsid w:val="236E69A3"/>
    <w:rsid w:val="23D721BF"/>
    <w:rsid w:val="23DA1943"/>
    <w:rsid w:val="24577437"/>
    <w:rsid w:val="247E4422"/>
    <w:rsid w:val="253D03DB"/>
    <w:rsid w:val="255B6AB3"/>
    <w:rsid w:val="263D7732"/>
    <w:rsid w:val="269C55D5"/>
    <w:rsid w:val="26C37006"/>
    <w:rsid w:val="281008CE"/>
    <w:rsid w:val="29D84B76"/>
    <w:rsid w:val="2A41271B"/>
    <w:rsid w:val="2B110340"/>
    <w:rsid w:val="2B3B3CE2"/>
    <w:rsid w:val="2B3F7867"/>
    <w:rsid w:val="2CA95EBC"/>
    <w:rsid w:val="2DBE7AC2"/>
    <w:rsid w:val="2F7C5FA4"/>
    <w:rsid w:val="305A5A36"/>
    <w:rsid w:val="313A1C72"/>
    <w:rsid w:val="31B05432"/>
    <w:rsid w:val="31D238AE"/>
    <w:rsid w:val="32904240"/>
    <w:rsid w:val="32C739DA"/>
    <w:rsid w:val="33BA709B"/>
    <w:rsid w:val="34B561E0"/>
    <w:rsid w:val="36D466C5"/>
    <w:rsid w:val="37714155"/>
    <w:rsid w:val="37BF4EB1"/>
    <w:rsid w:val="37F039D3"/>
    <w:rsid w:val="389D4910"/>
    <w:rsid w:val="38AF438A"/>
    <w:rsid w:val="39B05E71"/>
    <w:rsid w:val="39D013C6"/>
    <w:rsid w:val="3A5E1856"/>
    <w:rsid w:val="3A6B10EF"/>
    <w:rsid w:val="3B3F4C52"/>
    <w:rsid w:val="3B416C33"/>
    <w:rsid w:val="3CDE4E4F"/>
    <w:rsid w:val="3F586B0E"/>
    <w:rsid w:val="3F5B7984"/>
    <w:rsid w:val="3F892743"/>
    <w:rsid w:val="41377F7D"/>
    <w:rsid w:val="436E15EB"/>
    <w:rsid w:val="44024872"/>
    <w:rsid w:val="44095C00"/>
    <w:rsid w:val="450C34BE"/>
    <w:rsid w:val="45372C41"/>
    <w:rsid w:val="453C3DB3"/>
    <w:rsid w:val="45667082"/>
    <w:rsid w:val="46C422B2"/>
    <w:rsid w:val="47694C08"/>
    <w:rsid w:val="47835CCA"/>
    <w:rsid w:val="47AD67CF"/>
    <w:rsid w:val="47B35460"/>
    <w:rsid w:val="47FF064F"/>
    <w:rsid w:val="48254FD3"/>
    <w:rsid w:val="482A083B"/>
    <w:rsid w:val="49C202E7"/>
    <w:rsid w:val="4AAD305D"/>
    <w:rsid w:val="4C0B44E0"/>
    <w:rsid w:val="4C68074A"/>
    <w:rsid w:val="4CAF57B3"/>
    <w:rsid w:val="4CE93B6B"/>
    <w:rsid w:val="4EC015B1"/>
    <w:rsid w:val="4F5E2074"/>
    <w:rsid w:val="4FD74E04"/>
    <w:rsid w:val="5060304C"/>
    <w:rsid w:val="52350508"/>
    <w:rsid w:val="529E42FF"/>
    <w:rsid w:val="52AF3C5D"/>
    <w:rsid w:val="538C05FC"/>
    <w:rsid w:val="54776BB6"/>
    <w:rsid w:val="558F351F"/>
    <w:rsid w:val="55E541CD"/>
    <w:rsid w:val="56A705AA"/>
    <w:rsid w:val="56DE6BF7"/>
    <w:rsid w:val="57376F68"/>
    <w:rsid w:val="58065F40"/>
    <w:rsid w:val="592F4A9C"/>
    <w:rsid w:val="59745DBA"/>
    <w:rsid w:val="59C701CA"/>
    <w:rsid w:val="5A2035DC"/>
    <w:rsid w:val="5A731BCE"/>
    <w:rsid w:val="5B1A1BE3"/>
    <w:rsid w:val="5B506202"/>
    <w:rsid w:val="5B5D4D7B"/>
    <w:rsid w:val="5CDB3A5A"/>
    <w:rsid w:val="5D7336BB"/>
    <w:rsid w:val="5E7363D3"/>
    <w:rsid w:val="5EDB19CB"/>
    <w:rsid w:val="610B7004"/>
    <w:rsid w:val="61BC3AF2"/>
    <w:rsid w:val="61E63FF8"/>
    <w:rsid w:val="62D90A3C"/>
    <w:rsid w:val="630E06E5"/>
    <w:rsid w:val="63894210"/>
    <w:rsid w:val="651D7306"/>
    <w:rsid w:val="65BA6903"/>
    <w:rsid w:val="66DA0D0B"/>
    <w:rsid w:val="68975621"/>
    <w:rsid w:val="68AE7E78"/>
    <w:rsid w:val="69004F74"/>
    <w:rsid w:val="69BD10B7"/>
    <w:rsid w:val="6B881251"/>
    <w:rsid w:val="6DF350A8"/>
    <w:rsid w:val="6E0F17B6"/>
    <w:rsid w:val="6F627B98"/>
    <w:rsid w:val="6FDE7692"/>
    <w:rsid w:val="6FE1669E"/>
    <w:rsid w:val="6FF11ABB"/>
    <w:rsid w:val="703D260A"/>
    <w:rsid w:val="70AD3C34"/>
    <w:rsid w:val="72C85609"/>
    <w:rsid w:val="732E2A24"/>
    <w:rsid w:val="74AE3AD6"/>
    <w:rsid w:val="75B74C0D"/>
    <w:rsid w:val="76133B2A"/>
    <w:rsid w:val="76D82194"/>
    <w:rsid w:val="76E41A31"/>
    <w:rsid w:val="77955338"/>
    <w:rsid w:val="781149BA"/>
    <w:rsid w:val="78412EB3"/>
    <w:rsid w:val="7AB43E11"/>
    <w:rsid w:val="7B8B0CE7"/>
    <w:rsid w:val="7BC736D0"/>
    <w:rsid w:val="7D1312C2"/>
    <w:rsid w:val="7D8E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2991</Words>
  <Characters>3189</Characters>
  <Lines>0</Lines>
  <Paragraphs>0</Paragraphs>
  <TotalTime>2</TotalTime>
  <ScaleCrop>false</ScaleCrop>
  <LinksUpToDate>false</LinksUpToDate>
  <CharactersWithSpaces>3226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dcterms:modified xsi:type="dcterms:W3CDTF">2024-03-13T07:49:50Z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D816DEFBEEF14544982A2D51C18E2C63</vt:lpwstr>
  </property>
</Properties>
</file>