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 w:val="0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  <w:lang w:eastAsia="zh-CN"/>
        </w:rPr>
        <w:t>2022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</w:rPr>
        <w:t>年新县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  <w:lang w:val="en-US" w:eastAsia="zh-CN"/>
        </w:rPr>
        <w:t>苏河镇中心学校</w:t>
      </w: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</w:rPr>
        <w:t>预算说明</w:t>
      </w:r>
    </w:p>
    <w:p>
      <w:pPr>
        <w:spacing w:line="600" w:lineRule="exact"/>
        <w:jc w:val="both"/>
        <w:rPr>
          <w:rFonts w:hint="eastAsia" w:ascii="方正小标宋简体" w:hAnsi="宋体" w:eastAsia="方正小标宋简体"/>
          <w:b/>
          <w:bCs w:val="0"/>
          <w:color w:val="000000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</w:rPr>
      </w:pPr>
      <w:r>
        <w:rPr>
          <w:rFonts w:hint="eastAsia" w:ascii="新宋体" w:hAnsi="新宋体" w:eastAsia="新宋体" w:cs="新宋体"/>
          <w:b/>
          <w:bCs w:val="0"/>
          <w:color w:val="000000"/>
          <w:sz w:val="44"/>
          <w:szCs w:val="44"/>
          <w:highlight w:val="none"/>
        </w:rPr>
        <w:t>目   录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一 、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新县苏河镇中心学校概况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二、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新县苏河镇中心学校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年度预算情况说明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三、 名词解释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附件：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新县苏河镇中心学校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预算01表：</w:t>
      </w:r>
      <w:r>
        <w:rPr>
          <w:rFonts w:ascii="仿宋" w:hAnsi="仿宋" w:eastAsia="仿宋" w:cs="宋体"/>
          <w:kern w:val="0"/>
          <w:sz w:val="32"/>
          <w:szCs w:val="32"/>
        </w:rPr>
        <w:t>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预算02表：</w:t>
      </w:r>
      <w:r>
        <w:rPr>
          <w:rFonts w:ascii="仿宋" w:hAnsi="仿宋" w:eastAsia="仿宋" w:cs="宋体"/>
          <w:kern w:val="0"/>
          <w:sz w:val="32"/>
          <w:szCs w:val="32"/>
        </w:rPr>
        <w:t>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预算03表：</w:t>
      </w:r>
      <w:r>
        <w:rPr>
          <w:rFonts w:ascii="仿宋" w:hAnsi="仿宋" w:eastAsia="仿宋" w:cs="宋体"/>
          <w:kern w:val="0"/>
          <w:sz w:val="32"/>
          <w:szCs w:val="32"/>
        </w:rPr>
        <w:t>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预算04表：</w:t>
      </w:r>
      <w:r>
        <w:rPr>
          <w:rFonts w:ascii="仿宋" w:hAnsi="仿宋" w:eastAsia="仿宋" w:cs="宋体"/>
          <w:kern w:val="0"/>
          <w:sz w:val="32"/>
          <w:szCs w:val="32"/>
        </w:rPr>
        <w:t>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预算05表：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预算06表：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预算07表：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预算08表：</w:t>
      </w:r>
      <w:r>
        <w:rPr>
          <w:rFonts w:ascii="仿宋" w:hAnsi="仿宋" w:eastAsia="仿宋" w:cs="宋体"/>
          <w:kern w:val="0"/>
          <w:sz w:val="32"/>
          <w:szCs w:val="32"/>
        </w:rPr>
        <w:t>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预算09表：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预算10表：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预算11表：</w:t>
      </w:r>
      <w:r>
        <w:rPr>
          <w:rFonts w:hint="eastAsia" w:ascii="仿宋" w:hAnsi="仿宋" w:eastAsia="仿宋" w:cs="宋体"/>
          <w:kern w:val="0"/>
          <w:sz w:val="32"/>
          <w:szCs w:val="32"/>
        </w:rPr>
        <w:t>财政支出绩效目标表</w:t>
      </w: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新县苏河镇中心学校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/>
          <w:color w:val="000000"/>
          <w:sz w:val="32"/>
          <w:szCs w:val="32"/>
          <w:lang w:val="en-US" w:eastAsia="zh-CN"/>
        </w:rPr>
        <w:t>新县苏河镇中心学校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主要</w:t>
      </w:r>
      <w:r>
        <w:rPr>
          <w:rFonts w:hint="eastAsia" w:ascii="黑体" w:hAnsi="黑体" w:eastAsia="黑体" w:cs="黑体"/>
          <w:b/>
          <w:color w:val="000000"/>
          <w:sz w:val="32"/>
          <w:szCs w:val="32"/>
          <w:lang w:val="en-US" w:eastAsia="zh-CN"/>
        </w:rPr>
        <w:t>职能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新县苏河镇中心学校的主要职责是：</w:t>
      </w:r>
    </w:p>
    <w:p>
      <w:pPr>
        <w:spacing w:line="600" w:lineRule="exact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新县苏河镇中心学校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教育事业发展规划、年度计划、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实施小学义务教育，促进小学义务教育教学的发展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综合管理全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镇小学义务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教育、幼儿教育、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小学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特殊教育等工作。</w:t>
      </w:r>
    </w:p>
    <w:p>
      <w:pPr>
        <w:spacing w:line="600" w:lineRule="exact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主管学校的德育工作和思想政治工作，端正办学方向，培养德、智、体、美、劳全面发展的社会主义新人。</w:t>
      </w:r>
    </w:p>
    <w:p>
      <w:pPr>
        <w:spacing w:line="600" w:lineRule="exact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镇小学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教育系统的干部管理、教师调配、教师的职称评聘，在职教师培训、老干部管理等工作。</w:t>
      </w:r>
    </w:p>
    <w:p>
      <w:pPr>
        <w:spacing w:line="600" w:lineRule="exact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镇小学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教育事业的计划、统计和教育经费预算、决算工作。</w:t>
      </w:r>
    </w:p>
    <w:p>
      <w:pPr>
        <w:spacing w:line="600" w:lineRule="exact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镇小学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教育系统的校园规划和教学设施装备供应工作。</w:t>
      </w:r>
    </w:p>
    <w:p>
      <w:pPr>
        <w:spacing w:line="600" w:lineRule="exact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负责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学校贯彻执行教学大纲、教学改革、学校安全卫生、提高教育质量和教学水平等情况。</w:t>
      </w:r>
    </w:p>
    <w:p>
      <w:pPr>
        <w:spacing w:line="600" w:lineRule="exact"/>
        <w:ind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认真高效完成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上级教育行政部门交办的其它工作。</w:t>
      </w:r>
    </w:p>
    <w:p>
      <w:pPr>
        <w:spacing w:line="600" w:lineRule="exact"/>
        <w:ind w:firstLine="643" w:firstLineChars="200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val="en-US" w:eastAsia="zh-CN"/>
        </w:rPr>
        <w:t>二、新县苏河镇中心学校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机构设置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苏河镇中心学校内设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科室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，分别为教导处、政教处、总务处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新县苏河镇中心学校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新县苏河镇中心学校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新县苏河镇中心学校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785.88万元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785.88万元，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31.8万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0.04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%。主要原因：人员工资自然晋升。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二、</w:t>
      </w:r>
      <w:r>
        <w:rPr>
          <w:rFonts w:ascii="楷体_GB2312" w:eastAsia="楷体_GB2312"/>
          <w:b/>
          <w:color w:val="000000"/>
          <w:sz w:val="32"/>
          <w:szCs w:val="32"/>
        </w:rPr>
        <w:t>收入预算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spacing w:line="600" w:lineRule="exact"/>
        <w:ind w:firstLine="640" w:firstLineChars="200"/>
        <w:rPr>
          <w:rFonts w:hint="eastAsia" w:ascii="楷体_GB2312" w:eastAsia="仿宋_GB2312"/>
          <w:b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新县苏河镇中心学校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合计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785.88万元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785.88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三、</w:t>
      </w:r>
      <w:r>
        <w:rPr>
          <w:rFonts w:ascii="楷体_GB2312" w:eastAsia="楷体_GB2312"/>
          <w:b/>
          <w:color w:val="000000"/>
          <w:sz w:val="32"/>
          <w:szCs w:val="32"/>
        </w:rPr>
        <w:t>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785.88万元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785.88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四、</w:t>
      </w:r>
      <w:r>
        <w:rPr>
          <w:rFonts w:ascii="楷体_GB2312" w:eastAsia="楷体_GB2312"/>
          <w:b/>
          <w:color w:val="000000"/>
          <w:sz w:val="32"/>
          <w:szCs w:val="32"/>
        </w:rPr>
        <w:t>财政拨款收入支出预算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785.88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785.88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31.8万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0.04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%。主要原因：人员工资自然晋升。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五、</w:t>
      </w:r>
      <w:r>
        <w:rPr>
          <w:rFonts w:ascii="楷体_GB2312" w:eastAsia="楷体_GB2312"/>
          <w:b/>
          <w:color w:val="000000"/>
          <w:sz w:val="32"/>
          <w:szCs w:val="32"/>
        </w:rPr>
        <w:t>一般公共预算支出预算情况说明</w:t>
      </w:r>
    </w:p>
    <w:p>
      <w:pPr>
        <w:spacing w:line="600" w:lineRule="exact"/>
        <w:ind w:firstLine="640" w:firstLineChars="200"/>
        <w:rPr>
          <w:rFonts w:hint="eastAsia" w:ascii="楷体_GB2312" w:eastAsia="仿宋"/>
          <w:b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新县苏河镇中心学校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年一般公共预算支出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年初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为785.88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主要用于以下几个方面：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教育</w:t>
      </w:r>
      <w:r>
        <w:rPr>
          <w:rFonts w:ascii="仿宋" w:hAnsi="仿宋" w:eastAsia="仿宋" w:cs="宋体"/>
          <w:kern w:val="0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685.56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87.23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45.7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5.82</w:t>
      </w:r>
      <w:r>
        <w:rPr>
          <w:rFonts w:ascii="仿宋" w:hAnsi="仿宋" w:eastAsia="仿宋" w:cs="宋体"/>
          <w:kern w:val="0"/>
          <w:sz w:val="32"/>
          <w:szCs w:val="32"/>
        </w:rPr>
        <w:t>%；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卫生健康</w:t>
      </w:r>
      <w:r>
        <w:rPr>
          <w:rFonts w:ascii="仿宋" w:hAnsi="仿宋" w:eastAsia="仿宋" w:cs="宋体"/>
          <w:kern w:val="0"/>
          <w:sz w:val="32"/>
          <w:szCs w:val="32"/>
        </w:rPr>
        <w:t>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22.24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2.83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32.38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4.12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785.88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531.34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254.54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新县苏河镇中心学校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，计划逐年减少公务接待支出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具体支出情况如下：</w:t>
      </w:r>
    </w:p>
    <w:p>
      <w:pPr>
        <w:widowControl/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</w:t>
      </w:r>
    </w:p>
    <w:p>
      <w:p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13.5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，计划逐年减少公务接待支出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新县苏河镇中心学校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机关运行经费支出情况</w:t>
      </w:r>
    </w:p>
    <w:p>
      <w:pPr>
        <w:widowControl/>
        <w:spacing w:line="600" w:lineRule="exact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　   由于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新县苏河镇中心学校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不属于行政单位或参照公务员法管理的事业单位，故没有该项开支。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新县苏河镇中心学校 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pStyle w:val="2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新县苏河镇中心学校2022年无专项转移支付项目。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新县苏河镇中心学校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F7A0E3"/>
    <w:multiLevelType w:val="singleLevel"/>
    <w:tmpl w:val="39F7A0E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70390b50-0de0-49b5-8441-eac44a9e73a1"/>
  </w:docVars>
  <w:rsids>
    <w:rsidRoot w:val="7B8B0CE7"/>
    <w:rsid w:val="00EF16FF"/>
    <w:rsid w:val="017B2F92"/>
    <w:rsid w:val="01B85F94"/>
    <w:rsid w:val="01BC170F"/>
    <w:rsid w:val="01FE1C73"/>
    <w:rsid w:val="029C3B08"/>
    <w:rsid w:val="02BA1977"/>
    <w:rsid w:val="03AF786B"/>
    <w:rsid w:val="04622336"/>
    <w:rsid w:val="05194BE0"/>
    <w:rsid w:val="078D4BA5"/>
    <w:rsid w:val="094D1F28"/>
    <w:rsid w:val="0A590531"/>
    <w:rsid w:val="0ADB6548"/>
    <w:rsid w:val="0B344E20"/>
    <w:rsid w:val="0C4C7023"/>
    <w:rsid w:val="0D1D5433"/>
    <w:rsid w:val="0DEC49E4"/>
    <w:rsid w:val="0E060087"/>
    <w:rsid w:val="10703EDE"/>
    <w:rsid w:val="11B81FE1"/>
    <w:rsid w:val="12421961"/>
    <w:rsid w:val="13281F8E"/>
    <w:rsid w:val="13511DA5"/>
    <w:rsid w:val="13561AB1"/>
    <w:rsid w:val="13FA41EA"/>
    <w:rsid w:val="14F96B98"/>
    <w:rsid w:val="17544559"/>
    <w:rsid w:val="175525D5"/>
    <w:rsid w:val="177613E5"/>
    <w:rsid w:val="17CF257F"/>
    <w:rsid w:val="1A7A1B5C"/>
    <w:rsid w:val="1B897503"/>
    <w:rsid w:val="1BE730A7"/>
    <w:rsid w:val="1D1219C9"/>
    <w:rsid w:val="1D303373"/>
    <w:rsid w:val="1D7F1C04"/>
    <w:rsid w:val="1DE008F5"/>
    <w:rsid w:val="1F525822"/>
    <w:rsid w:val="205638CE"/>
    <w:rsid w:val="207668BA"/>
    <w:rsid w:val="21151374"/>
    <w:rsid w:val="22325497"/>
    <w:rsid w:val="236E69A3"/>
    <w:rsid w:val="23D721BF"/>
    <w:rsid w:val="23DA1943"/>
    <w:rsid w:val="24577437"/>
    <w:rsid w:val="247E4422"/>
    <w:rsid w:val="253D03DB"/>
    <w:rsid w:val="255B6AB3"/>
    <w:rsid w:val="263D7732"/>
    <w:rsid w:val="269C55D5"/>
    <w:rsid w:val="26C37006"/>
    <w:rsid w:val="281008CE"/>
    <w:rsid w:val="29D84B76"/>
    <w:rsid w:val="2A41271B"/>
    <w:rsid w:val="2B110340"/>
    <w:rsid w:val="2B3B3CE2"/>
    <w:rsid w:val="2B3F7867"/>
    <w:rsid w:val="2DBE7AC2"/>
    <w:rsid w:val="2F7C5FA4"/>
    <w:rsid w:val="313A1C72"/>
    <w:rsid w:val="319F0A95"/>
    <w:rsid w:val="31B05432"/>
    <w:rsid w:val="31D238AE"/>
    <w:rsid w:val="32904240"/>
    <w:rsid w:val="32C739DA"/>
    <w:rsid w:val="33BA709B"/>
    <w:rsid w:val="34B561E0"/>
    <w:rsid w:val="36D466C5"/>
    <w:rsid w:val="37714155"/>
    <w:rsid w:val="37BF4EB1"/>
    <w:rsid w:val="37F039D3"/>
    <w:rsid w:val="389D4910"/>
    <w:rsid w:val="38AF438A"/>
    <w:rsid w:val="39B05E71"/>
    <w:rsid w:val="39D013C6"/>
    <w:rsid w:val="3A5E1856"/>
    <w:rsid w:val="3A6B10EF"/>
    <w:rsid w:val="3B3F4C52"/>
    <w:rsid w:val="3B416C33"/>
    <w:rsid w:val="3CDB7AF6"/>
    <w:rsid w:val="3CDE4E4F"/>
    <w:rsid w:val="3E720C9E"/>
    <w:rsid w:val="3F586B0E"/>
    <w:rsid w:val="3F5B7984"/>
    <w:rsid w:val="3F892743"/>
    <w:rsid w:val="412A5860"/>
    <w:rsid w:val="41377F7D"/>
    <w:rsid w:val="436E15EB"/>
    <w:rsid w:val="44024872"/>
    <w:rsid w:val="44095C00"/>
    <w:rsid w:val="450C34BE"/>
    <w:rsid w:val="45372C41"/>
    <w:rsid w:val="453C3DB3"/>
    <w:rsid w:val="45667082"/>
    <w:rsid w:val="46C422B2"/>
    <w:rsid w:val="47694C08"/>
    <w:rsid w:val="47835CCA"/>
    <w:rsid w:val="47AD67CF"/>
    <w:rsid w:val="47FF064F"/>
    <w:rsid w:val="48254FD3"/>
    <w:rsid w:val="482A083B"/>
    <w:rsid w:val="49C202E7"/>
    <w:rsid w:val="49C66341"/>
    <w:rsid w:val="4A8C30E7"/>
    <w:rsid w:val="4AAD305D"/>
    <w:rsid w:val="4C0B44E0"/>
    <w:rsid w:val="4C68074A"/>
    <w:rsid w:val="4CAF57B3"/>
    <w:rsid w:val="4CE93B6B"/>
    <w:rsid w:val="4E78746D"/>
    <w:rsid w:val="4EC015B1"/>
    <w:rsid w:val="4F5E2074"/>
    <w:rsid w:val="4F980780"/>
    <w:rsid w:val="4FD74E04"/>
    <w:rsid w:val="5060304C"/>
    <w:rsid w:val="52350508"/>
    <w:rsid w:val="529E42FF"/>
    <w:rsid w:val="52AF3C5D"/>
    <w:rsid w:val="538C05FC"/>
    <w:rsid w:val="558F351F"/>
    <w:rsid w:val="55E541CD"/>
    <w:rsid w:val="56A705AA"/>
    <w:rsid w:val="56DE6BF7"/>
    <w:rsid w:val="57376F68"/>
    <w:rsid w:val="58065F40"/>
    <w:rsid w:val="58BA3FC4"/>
    <w:rsid w:val="592F4A9C"/>
    <w:rsid w:val="59745DBA"/>
    <w:rsid w:val="599B4840"/>
    <w:rsid w:val="59C701CA"/>
    <w:rsid w:val="5A2035DC"/>
    <w:rsid w:val="5A731BCE"/>
    <w:rsid w:val="5AA47FD9"/>
    <w:rsid w:val="5B1A1BE3"/>
    <w:rsid w:val="5B506202"/>
    <w:rsid w:val="5B5D4D7B"/>
    <w:rsid w:val="5CDB3A5A"/>
    <w:rsid w:val="5E7363D3"/>
    <w:rsid w:val="5EDB19CB"/>
    <w:rsid w:val="5F97010C"/>
    <w:rsid w:val="5FEF1CF6"/>
    <w:rsid w:val="610B7004"/>
    <w:rsid w:val="61BC3AF2"/>
    <w:rsid w:val="61E63FF8"/>
    <w:rsid w:val="62D90A3C"/>
    <w:rsid w:val="63065CD5"/>
    <w:rsid w:val="630E06E5"/>
    <w:rsid w:val="63894210"/>
    <w:rsid w:val="63CD2869"/>
    <w:rsid w:val="651D7306"/>
    <w:rsid w:val="651E257C"/>
    <w:rsid w:val="65BA6903"/>
    <w:rsid w:val="66DA0D0B"/>
    <w:rsid w:val="68975621"/>
    <w:rsid w:val="68AE7E78"/>
    <w:rsid w:val="69004F74"/>
    <w:rsid w:val="69BD10B7"/>
    <w:rsid w:val="6B881251"/>
    <w:rsid w:val="6DF350A8"/>
    <w:rsid w:val="6E0F17B6"/>
    <w:rsid w:val="6E301E58"/>
    <w:rsid w:val="6F000660"/>
    <w:rsid w:val="6F627B98"/>
    <w:rsid w:val="6FDE7692"/>
    <w:rsid w:val="6FF11ABB"/>
    <w:rsid w:val="703D260A"/>
    <w:rsid w:val="70AD3C34"/>
    <w:rsid w:val="70B75478"/>
    <w:rsid w:val="72C85609"/>
    <w:rsid w:val="732E2A24"/>
    <w:rsid w:val="73C85FD6"/>
    <w:rsid w:val="74AE3AD6"/>
    <w:rsid w:val="75B74C0D"/>
    <w:rsid w:val="76D82194"/>
    <w:rsid w:val="76E41A31"/>
    <w:rsid w:val="77955338"/>
    <w:rsid w:val="781149BA"/>
    <w:rsid w:val="78412EB3"/>
    <w:rsid w:val="7AB43E11"/>
    <w:rsid w:val="7B8B0CE7"/>
    <w:rsid w:val="7BC736D0"/>
    <w:rsid w:val="7D1312C2"/>
    <w:rsid w:val="7D8E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3024</Words>
  <Characters>3227</Characters>
  <Lines>0</Lines>
  <Paragraphs>0</Paragraphs>
  <TotalTime>0</TotalTime>
  <ScaleCrop>false</ScaleCrop>
  <LinksUpToDate>false</LinksUpToDate>
  <CharactersWithSpaces>3259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张小乐啊</cp:lastModifiedBy>
  <dcterms:modified xsi:type="dcterms:W3CDTF">2024-03-13T07:49:45Z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D816DEFBEEF14544982A2D51C18E2C63</vt:lpwstr>
  </property>
</Properties>
</file>