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新县潢河幼儿园预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新县潢河幼儿园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新县潢河幼儿园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新县潢河幼儿园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新县潢河幼儿园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新县潢河幼儿园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新县潢河幼儿园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本园的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发展规划、年度计划、拟定教育事业发展规模，调整教育结构，督查指导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发展规划和计划的实施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综合管理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全园各种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新县潢河幼儿园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是一所公办幼儿园，全额拨款事业单位，宣传贯彻执行党和国家的教育方针、政策、法律法规等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坚持依法治教、依法治学，贯彻执行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教育体育局的行政规章制度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本园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教育事业的计划、统计和教育经费预算、决算工作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本园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的校园规划和教学设施装备供应工作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努力搞好幼儿园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安全卫生、提高教育质量和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教水平等情况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承办上级教育行政部门交办的其它工作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二、新县潢河幼儿园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潢河幼儿园主管部门为新县教育局，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办公室：园长办公室、责任督学办公室、保教办和总务处。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新县潢河幼儿园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2022年新县潢河幼儿园此次公开的预算“无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新县潢河幼儿园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新县潢河幼儿园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116.89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116.89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28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31.8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人员工资自然晋升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幼儿、幼儿园老师人数增加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新县潢河幼儿园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116.89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116.89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新县潢河幼儿园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116.89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116.89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新县潢河幼儿园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116.89</w:t>
      </w:r>
      <w:r>
        <w:rPr>
          <w:rFonts w:ascii="仿宋" w:hAnsi="仿宋" w:eastAsia="仿宋" w:cs="宋体"/>
          <w:kern w:val="0"/>
          <w:sz w:val="32"/>
          <w:szCs w:val="32"/>
        </w:rPr>
        <w:t>万元。与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28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31.6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人员工资自然晋升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幼儿、幼儿园老师人数增加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新县潢河幼儿园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116.89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111.39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95.2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2.2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1.23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1.1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1.78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1.5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116.89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22.34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94.55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新县潢河幼儿园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宋体"/>
          <w:kern w:val="0"/>
          <w:sz w:val="32"/>
          <w:szCs w:val="32"/>
        </w:rPr>
        <w:t>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0.9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接待园内教育交流活动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，主要原因是：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单位厉行节约，确保公务接待费不增加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新县潢河幼儿园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。单位无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新县潢河幼儿园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机关运行经费支出预算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由于新县潢河幼儿园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新县潢河幼儿园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新县潢河幼儿园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新县潢河幼儿园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f751705a-020f-4c10-89c9-c368de5d43ea"/>
  </w:docVars>
  <w:rsids>
    <w:rsidRoot w:val="00000000"/>
    <w:rsid w:val="069C2099"/>
    <w:rsid w:val="09364543"/>
    <w:rsid w:val="0A6F1B02"/>
    <w:rsid w:val="12F26E2C"/>
    <w:rsid w:val="19E73463"/>
    <w:rsid w:val="1A2E1092"/>
    <w:rsid w:val="1C3322A2"/>
    <w:rsid w:val="1C34759A"/>
    <w:rsid w:val="1D9C09E6"/>
    <w:rsid w:val="1E940EEE"/>
    <w:rsid w:val="1F310DAE"/>
    <w:rsid w:val="2069348A"/>
    <w:rsid w:val="20D82567"/>
    <w:rsid w:val="217D13CA"/>
    <w:rsid w:val="24133DF1"/>
    <w:rsid w:val="26B86B17"/>
    <w:rsid w:val="26D94133"/>
    <w:rsid w:val="29C8276C"/>
    <w:rsid w:val="2BCB7B04"/>
    <w:rsid w:val="304F36B8"/>
    <w:rsid w:val="31496B39"/>
    <w:rsid w:val="32EB6CD2"/>
    <w:rsid w:val="3339427B"/>
    <w:rsid w:val="390037A2"/>
    <w:rsid w:val="3D6A38DF"/>
    <w:rsid w:val="45354AE0"/>
    <w:rsid w:val="46FC6FF6"/>
    <w:rsid w:val="46FF2648"/>
    <w:rsid w:val="47D44777"/>
    <w:rsid w:val="48A91760"/>
    <w:rsid w:val="49F61DEB"/>
    <w:rsid w:val="4FFD0ECA"/>
    <w:rsid w:val="50AD2EA7"/>
    <w:rsid w:val="52BC756E"/>
    <w:rsid w:val="541C372E"/>
    <w:rsid w:val="57FF75EE"/>
    <w:rsid w:val="5F552F7D"/>
    <w:rsid w:val="6098238E"/>
    <w:rsid w:val="63161C90"/>
    <w:rsid w:val="67C0189B"/>
    <w:rsid w:val="68707874"/>
    <w:rsid w:val="6A014E5B"/>
    <w:rsid w:val="6AFB5D68"/>
    <w:rsid w:val="6B451364"/>
    <w:rsid w:val="6C9854C4"/>
    <w:rsid w:val="71235CA4"/>
    <w:rsid w:val="7232489D"/>
    <w:rsid w:val="76177A80"/>
    <w:rsid w:val="76A113F1"/>
    <w:rsid w:val="78DA69F4"/>
    <w:rsid w:val="79586707"/>
    <w:rsid w:val="7994240D"/>
    <w:rsid w:val="79992BCF"/>
    <w:rsid w:val="7B633C51"/>
    <w:rsid w:val="7D70622F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3007</Words>
  <Characters>3186</Characters>
  <Lines>29</Lines>
  <Paragraphs>8</Paragraphs>
  <TotalTime>1</TotalTime>
  <ScaleCrop>false</ScaleCrop>
  <LinksUpToDate>false</LinksUpToDate>
  <CharactersWithSpaces>3217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2024-03-13T07:49:51Z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170C366340CC4948BBA053DFEA3F681F</vt:lpwstr>
  </property>
</Properties>
</file>