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新县金兰山街道办事处中心学校预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新县金兰山街道办事处中心学校</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新县金兰山街道办事处中心学校</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新县金兰山街道办事处中心学校</w:t>
      </w:r>
      <w:r>
        <w:rPr>
          <w:rFonts w:hint="eastAsia" w:ascii="黑体" w:hAnsi="黑体" w:eastAsia="黑体" w:cs="宋体"/>
          <w:bCs/>
          <w:kern w:val="0"/>
          <w:sz w:val="32"/>
          <w:szCs w:val="32"/>
          <w:lang w:val="en-US" w:eastAsia="zh-CN"/>
        </w:rPr>
        <w:t xml:space="preserve">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w:t>
      </w:r>
      <w:r>
        <w:rPr>
          <w:rFonts w:hint="eastAsia" w:ascii="仿宋" w:hAnsi="仿宋" w:eastAsia="仿宋" w:cs="宋体"/>
          <w:kern w:val="0"/>
          <w:sz w:val="32"/>
          <w:szCs w:val="32"/>
          <w:lang w:val="en-US" w:eastAsia="zh-CN"/>
        </w:rPr>
        <w:t>预算01表：</w:t>
      </w:r>
      <w:r>
        <w:rPr>
          <w:rFonts w:ascii="仿宋" w:hAnsi="仿宋" w:eastAsia="仿宋" w:cs="宋体"/>
          <w:kern w:val="0"/>
          <w:sz w:val="32"/>
          <w:szCs w:val="32"/>
        </w:rPr>
        <w:t>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w:t>
      </w:r>
      <w:r>
        <w:rPr>
          <w:rFonts w:hint="eastAsia" w:ascii="仿宋" w:hAnsi="仿宋" w:eastAsia="仿宋" w:cs="宋体"/>
          <w:kern w:val="0"/>
          <w:sz w:val="32"/>
          <w:szCs w:val="32"/>
          <w:lang w:val="en-US" w:eastAsia="zh-CN"/>
        </w:rPr>
        <w:t>预算02表：</w:t>
      </w:r>
      <w:r>
        <w:rPr>
          <w:rFonts w:ascii="仿宋" w:hAnsi="仿宋" w:eastAsia="仿宋" w:cs="宋体"/>
          <w:kern w:val="0"/>
          <w:sz w:val="32"/>
          <w:szCs w:val="32"/>
        </w:rPr>
        <w:t>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w:t>
      </w:r>
      <w:r>
        <w:rPr>
          <w:rFonts w:hint="eastAsia" w:ascii="仿宋" w:hAnsi="仿宋" w:eastAsia="仿宋" w:cs="宋体"/>
          <w:kern w:val="0"/>
          <w:sz w:val="32"/>
          <w:szCs w:val="32"/>
          <w:lang w:val="en-US" w:eastAsia="zh-CN"/>
        </w:rPr>
        <w:t>预算03表：</w:t>
      </w:r>
      <w:r>
        <w:rPr>
          <w:rFonts w:ascii="仿宋" w:hAnsi="仿宋" w:eastAsia="仿宋" w:cs="宋体"/>
          <w:kern w:val="0"/>
          <w:sz w:val="32"/>
          <w:szCs w:val="32"/>
        </w:rPr>
        <w:t>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w:t>
      </w:r>
      <w:r>
        <w:rPr>
          <w:rFonts w:hint="eastAsia" w:ascii="仿宋" w:hAnsi="仿宋" w:eastAsia="仿宋" w:cs="宋体"/>
          <w:kern w:val="0"/>
          <w:sz w:val="32"/>
          <w:szCs w:val="32"/>
          <w:lang w:val="en-US" w:eastAsia="zh-CN"/>
        </w:rPr>
        <w:t>预算04表：</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w:t>
      </w:r>
      <w:r>
        <w:rPr>
          <w:rFonts w:hint="eastAsia" w:ascii="仿宋" w:hAnsi="仿宋" w:eastAsia="仿宋" w:cs="宋体"/>
          <w:kern w:val="0"/>
          <w:sz w:val="32"/>
          <w:szCs w:val="32"/>
          <w:lang w:val="en-US" w:eastAsia="zh-CN"/>
        </w:rPr>
        <w:t>预算05表：</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w:t>
      </w:r>
      <w:r>
        <w:rPr>
          <w:rFonts w:hint="eastAsia" w:ascii="仿宋" w:hAnsi="仿宋" w:eastAsia="仿宋" w:cs="宋体"/>
          <w:kern w:val="0"/>
          <w:sz w:val="32"/>
          <w:szCs w:val="32"/>
          <w:lang w:val="en-US" w:eastAsia="zh-CN"/>
        </w:rPr>
        <w:t>预算06表：</w:t>
      </w:r>
      <w:r>
        <w:rPr>
          <w:rFonts w:hint="eastAsia" w:ascii="仿宋" w:hAnsi="仿宋" w:eastAsia="仿宋" w:cs="宋体"/>
          <w:kern w:val="0"/>
          <w:sz w:val="32"/>
          <w:szCs w:val="32"/>
        </w:rPr>
        <w:t>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lang w:val="en-US" w:eastAsia="zh-CN"/>
        </w:rPr>
        <w:t>预算07表：</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w:t>
      </w:r>
      <w:r>
        <w:rPr>
          <w:rFonts w:hint="eastAsia" w:ascii="仿宋" w:hAnsi="仿宋" w:eastAsia="仿宋" w:cs="宋体"/>
          <w:kern w:val="0"/>
          <w:sz w:val="32"/>
          <w:szCs w:val="32"/>
          <w:lang w:val="en-US" w:eastAsia="zh-CN"/>
        </w:rPr>
        <w:t>预算08表：</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w:t>
      </w:r>
      <w:r>
        <w:rPr>
          <w:rFonts w:hint="eastAsia" w:ascii="仿宋" w:hAnsi="仿宋" w:eastAsia="仿宋" w:cs="宋体"/>
          <w:kern w:val="0"/>
          <w:sz w:val="32"/>
          <w:szCs w:val="32"/>
          <w:lang w:val="en-US" w:eastAsia="zh-CN"/>
        </w:rPr>
        <w:t>预算09表：</w:t>
      </w:r>
      <w:r>
        <w:rPr>
          <w:rFonts w:hint="eastAsia" w:ascii="仿宋" w:hAnsi="仿宋" w:eastAsia="仿宋" w:cs="宋体"/>
          <w:kern w:val="0"/>
          <w:sz w:val="32"/>
          <w:szCs w:val="32"/>
        </w:rPr>
        <w:t>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w:t>
      </w:r>
      <w:r>
        <w:rPr>
          <w:rFonts w:hint="eastAsia" w:ascii="仿宋" w:hAnsi="仿宋" w:eastAsia="仿宋" w:cs="宋体"/>
          <w:kern w:val="0"/>
          <w:sz w:val="32"/>
          <w:szCs w:val="32"/>
          <w:lang w:val="en-US" w:eastAsia="zh-CN"/>
        </w:rPr>
        <w:t>预算10表：</w:t>
      </w:r>
      <w:r>
        <w:rPr>
          <w:rFonts w:ascii="仿宋" w:hAnsi="仿宋" w:eastAsia="仿宋" w:cs="宋体"/>
          <w:kern w:val="0"/>
          <w:sz w:val="32"/>
          <w:szCs w:val="32"/>
        </w:rPr>
        <w:t>政府性基金预算支出情况表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预算11表：</w:t>
      </w:r>
      <w:r>
        <w:rPr>
          <w:rFonts w:hint="eastAsia" w:ascii="仿宋" w:hAnsi="仿宋" w:eastAsia="仿宋" w:cs="宋体"/>
          <w:kern w:val="0"/>
          <w:sz w:val="32"/>
          <w:szCs w:val="32"/>
        </w:rPr>
        <w:t>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 xml:space="preserve">新县金兰山街道办事处中心学校 </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新县金兰山街道办事处中心学校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新县金兰山街道办事处中心学校</w:t>
      </w:r>
      <w:r>
        <w:rPr>
          <w:rFonts w:hint="eastAsia" w:ascii="仿宋" w:hAnsi="仿宋" w:eastAsia="仿宋" w:cs="宋体"/>
          <w:kern w:val="0"/>
          <w:sz w:val="32"/>
          <w:szCs w:val="32"/>
          <w:lang w:eastAsia="zh-CN"/>
        </w:rPr>
        <w:t>的</w:t>
      </w:r>
      <w:r>
        <w:rPr>
          <w:rFonts w:hint="eastAsia" w:ascii="仿宋" w:hAnsi="仿宋" w:eastAsia="仿宋" w:cs="宋体"/>
          <w:kern w:val="0"/>
          <w:sz w:val="32"/>
          <w:szCs w:val="32"/>
        </w:rPr>
        <w:t>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ascii="仿宋_GB2312" w:hAnsi="仿宋_GB2312" w:eastAsia="仿宋_GB2312" w:cs="仿宋_GB2312"/>
          <w:color w:val="000000"/>
          <w:sz w:val="32"/>
          <w:szCs w:val="32"/>
        </w:rPr>
        <w:t>贯彻执行中央、省、市关于教育工作的方针、政策和法规，</w:t>
      </w:r>
      <w:r>
        <w:rPr>
          <w:rFonts w:hint="eastAsia" w:ascii="仿宋_GB2312" w:hAnsi="仿宋_GB2312" w:eastAsia="仿宋_GB2312" w:cs="仿宋_GB2312"/>
          <w:color w:val="000000"/>
          <w:sz w:val="32"/>
          <w:szCs w:val="32"/>
          <w:lang w:val="en-US" w:eastAsia="zh-CN"/>
        </w:rPr>
        <w:t>实行五育并举，对学生进行德智体美劳等全面教育</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w:t>
      </w:r>
      <w:r>
        <w:rPr>
          <w:rFonts w:hint="eastAsia" w:ascii="仿宋_GB2312" w:hAnsi="仿宋_GB2312" w:eastAsia="仿宋_GB2312" w:cs="仿宋_GB2312"/>
          <w:color w:val="000000"/>
          <w:sz w:val="32"/>
          <w:szCs w:val="32"/>
          <w:lang w:val="en-US" w:eastAsia="zh-CN"/>
        </w:rPr>
        <w:t>按照要求接受辖区内适龄儿童入学，严格控制学生辍学，依法保证适龄儿童、少年接受九年义务教育</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eastAsia" w:ascii="仿宋_GB2312" w:hAnsi="仿宋_GB2312" w:eastAsia="仿宋_GB2312" w:cs="仿宋_GB2312"/>
          <w:color w:val="000000"/>
          <w:sz w:val="32"/>
          <w:szCs w:val="32"/>
          <w:lang w:val="en-US" w:eastAsia="zh-CN"/>
        </w:rPr>
        <w:t>按照教育主管部门发布的指导性教学计划、教学大纲，组织实施教育教学活动</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四</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做好学籍管理</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五</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做好教师的培训、考核，依法奖励或处分有关教师和职工</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六</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严格执行财务管理制度，科学管理、合理使用学校的设施和经费，改善办学条件。</w:t>
      </w:r>
    </w:p>
    <w:p>
      <w:pPr>
        <w:numPr>
          <w:ilvl w:val="0"/>
          <w:numId w:val="1"/>
        </w:num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rPr>
        <w:t>新县金兰山街道办事处中心学校的</w:t>
      </w:r>
      <w:r>
        <w:rPr>
          <w:rFonts w:hint="eastAsia" w:ascii="黑体" w:hAnsi="黑体" w:eastAsia="黑体" w:cs="黑体"/>
          <w:kern w:val="0"/>
          <w:sz w:val="32"/>
          <w:szCs w:val="32"/>
          <w:lang w:val="en-US" w:eastAsia="zh-CN"/>
        </w:rPr>
        <w:t>机构设置</w:t>
      </w:r>
    </w:p>
    <w:p>
      <w:pPr>
        <w:spacing w:line="60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lang w:val="en-US" w:eastAsia="zh-CN"/>
        </w:rPr>
        <w:t>新县金兰山街道办事处中心学校是一所小学义务教育学校，内设3个处室，分别为教导处、政教处、总务处。新县金兰山街道办事处中心学校</w:t>
      </w:r>
      <w:r>
        <w:rPr>
          <w:rFonts w:hint="eastAsia" w:eastAsia="仿宋_GB2312"/>
          <w:color w:val="000000"/>
          <w:kern w:val="0"/>
          <w:sz w:val="32"/>
          <w:szCs w:val="32"/>
          <w:lang w:eastAsia="zh-CN"/>
        </w:rPr>
        <w:t>收支预算为本单位预算，无下属预算单位。</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rPr>
        <w:t>新县金兰山街道办事处中心学校</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rPr>
        <w:t>新县金兰山街道办事处中心学校</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新县金兰山街道办事处中心学校2022年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ascii="仿宋" w:hAnsi="仿宋" w:eastAsia="仿宋" w:cs="宋体"/>
          <w:kern w:val="0"/>
          <w:sz w:val="32"/>
          <w:szCs w:val="32"/>
          <w:lang w:val="en-US" w:eastAsia="zh-CN"/>
        </w:rPr>
        <w:t>增加了51.27</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增加6.8</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改善办公条件经费增加</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hint="eastAsia" w:ascii="黑体" w:hAnsi="黑体" w:eastAsia="仿宋" w:cs="宋体"/>
          <w:bCs/>
          <w:kern w:val="0"/>
          <w:sz w:val="32"/>
          <w:szCs w:val="32"/>
          <w:lang w:val="en-US" w:eastAsia="zh-CN"/>
        </w:rPr>
      </w:pPr>
      <w:r>
        <w:rPr>
          <w:rFonts w:hint="eastAsia" w:ascii="仿宋" w:hAnsi="仿宋" w:eastAsia="仿宋" w:cs="宋体"/>
          <w:kern w:val="0"/>
          <w:sz w:val="32"/>
          <w:szCs w:val="32"/>
          <w:lang w:val="en-US" w:eastAsia="zh-CN"/>
        </w:rPr>
        <w:t xml:space="preserve">新县金兰山街道办事处中心学校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黑体" w:hAnsi="黑体" w:eastAsia="黑体" w:cs="宋体"/>
          <w:bCs/>
          <w:kern w:val="0"/>
          <w:sz w:val="32"/>
          <w:szCs w:val="32"/>
          <w:lang w:eastAsia="zh-CN"/>
        </w:rPr>
        <w:t>三、支出</w:t>
      </w:r>
      <w:r>
        <w:rPr>
          <w:rFonts w:ascii="黑体" w:hAnsi="黑体" w:eastAsia="黑体" w:cs="宋体"/>
          <w:bCs/>
          <w:kern w:val="0"/>
          <w:sz w:val="32"/>
          <w:szCs w:val="32"/>
        </w:rPr>
        <w:t>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新县金兰山街道办事处中心学校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新县金兰山街道办事处中心学校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ascii="仿宋" w:hAnsi="仿宋" w:eastAsia="仿宋" w:cs="宋体"/>
          <w:kern w:val="0"/>
          <w:sz w:val="32"/>
          <w:szCs w:val="32"/>
        </w:rPr>
        <w:t>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w:t>
      </w:r>
      <w:r>
        <w:rPr>
          <w:rFonts w:hint="eastAsia" w:ascii="仿宋" w:hAnsi="仿宋" w:eastAsia="仿宋" w:cs="宋体"/>
          <w:kern w:val="0"/>
          <w:sz w:val="32"/>
          <w:szCs w:val="32"/>
          <w:lang w:val="en-US" w:eastAsia="zh-CN"/>
        </w:rPr>
        <w:t>增加51.27</w:t>
      </w:r>
      <w:r>
        <w:rPr>
          <w:rFonts w:ascii="仿宋" w:hAnsi="仿宋" w:eastAsia="仿宋" w:cs="宋体"/>
          <w:kern w:val="0"/>
          <w:sz w:val="32"/>
          <w:szCs w:val="32"/>
        </w:rPr>
        <w:t>万元，主要原因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lang w:eastAsia="zh-CN"/>
        </w:rPr>
        <w:t>改善办公条件经费增加</w:t>
      </w:r>
      <w:r>
        <w:rPr>
          <w:rFonts w:hint="eastAsia" w:ascii="仿宋" w:hAnsi="仿宋" w:eastAsia="仿宋" w:cs="宋体"/>
          <w:kern w:val="0"/>
          <w:sz w:val="32"/>
          <w:szCs w:val="32"/>
          <w:lang w:val="en-US"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新县金兰山街道办事处中心学校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745.88</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lang w:val="en-US" w:eastAsia="zh-CN"/>
        </w:rPr>
        <w:t>575.2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77</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77.06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10.3</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38.71</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5.1</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54.90</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7.6</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745.88</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683.08</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62.8</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新县金兰山街道办事处中心学校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2.33</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_GB2312" w:hAnsi="仿宋_GB2312" w:eastAsia="仿宋_GB2312" w:cs="仿宋_GB2312"/>
          <w:color w:val="000000"/>
          <w:kern w:val="0"/>
          <w:sz w:val="32"/>
          <w:szCs w:val="32"/>
          <w:lang w:val="en-US" w:eastAsia="zh-CN"/>
        </w:rPr>
        <w:t>0.6</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，下降原因是单位厉行节约、节省开支</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numPr>
          <w:ilvl w:val="0"/>
          <w:numId w:val="2"/>
        </w:num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因公出国（境）费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_GB2312" w:hAnsi="仿宋_GB2312" w:eastAsia="仿宋_GB2312" w:cs="仿宋_GB2312"/>
          <w:bCs/>
          <w:color w:val="000000"/>
          <w:kern w:val="0"/>
          <w:sz w:val="32"/>
          <w:szCs w:val="32"/>
        </w:rPr>
        <w:t>，</w:t>
      </w:r>
      <w:r>
        <w:rPr>
          <w:rFonts w:hint="eastAsia" w:ascii="仿宋_GB2312" w:hAnsi="仿宋_GB2312" w:eastAsia="仿宋_GB2312" w:cs="仿宋_GB2312"/>
          <w:bCs/>
          <w:color w:val="000000"/>
          <w:kern w:val="0"/>
          <w:sz w:val="32"/>
          <w:szCs w:val="32"/>
          <w:lang w:eastAsia="zh-CN"/>
        </w:rPr>
        <w:t>与上年持平，原因是单位没有因公出国（境）事务活动</w:t>
      </w:r>
      <w:r>
        <w:rPr>
          <w:rFonts w:ascii="仿宋" w:hAnsi="仿宋" w:eastAsia="仿宋" w:cs="宋体"/>
          <w:kern w:val="0"/>
          <w:sz w:val="32"/>
          <w:szCs w:val="32"/>
        </w:rPr>
        <w:t>。</w:t>
      </w:r>
    </w:p>
    <w:p>
      <w:pPr>
        <w:numPr>
          <w:numId w:val="0"/>
        </w:num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lang w:val="en-US" w:eastAsia="zh-CN"/>
        </w:rPr>
        <w:t>2.33</w:t>
      </w:r>
      <w:r>
        <w:rPr>
          <w:rFonts w:ascii="仿宋" w:hAnsi="仿宋" w:eastAsia="仿宋" w:cs="宋体"/>
          <w:kern w:val="0"/>
          <w:sz w:val="32"/>
          <w:szCs w:val="32"/>
        </w:rPr>
        <w:t>万元，</w:t>
      </w:r>
      <w:r>
        <w:rPr>
          <w:rFonts w:hint="eastAsia" w:ascii="仿宋" w:hAnsi="仿宋" w:eastAsia="仿宋" w:cs="宋体"/>
          <w:kern w:val="0"/>
          <w:sz w:val="32"/>
          <w:szCs w:val="32"/>
        </w:rPr>
        <w:t>主要用于</w:t>
      </w:r>
      <w:r>
        <w:rPr>
          <w:rFonts w:hint="eastAsia" w:ascii="仿宋" w:hAnsi="仿宋" w:eastAsia="仿宋" w:cs="宋体"/>
          <w:kern w:val="0"/>
          <w:sz w:val="32"/>
          <w:szCs w:val="32"/>
          <w:lang w:val="en-US" w:eastAsia="zh-CN"/>
        </w:rPr>
        <w:t>接待学校日常教学交流</w:t>
      </w:r>
      <w:r>
        <w:rPr>
          <w:rFonts w:hint="eastAsia" w:ascii="仿宋" w:hAnsi="仿宋" w:eastAsia="仿宋" w:cs="宋体"/>
          <w:kern w:val="0"/>
          <w:sz w:val="32"/>
          <w:szCs w:val="32"/>
        </w:rPr>
        <w:t>，</w:t>
      </w:r>
      <w:r>
        <w:rPr>
          <w:rFonts w:hint="eastAsia" w:ascii="仿宋" w:hAnsi="仿宋" w:eastAsia="仿宋" w:cs="宋体"/>
          <w:kern w:val="0"/>
          <w:sz w:val="32"/>
          <w:szCs w:val="32"/>
          <w:lang w:val="en-US" w:eastAsia="zh-CN"/>
        </w:rPr>
        <w:t>教育教学活动及常规检查工作餐</w:t>
      </w:r>
      <w:r>
        <w:rPr>
          <w:rFonts w:hint="eastAsia"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hint="eastAsia" w:ascii="仿宋" w:hAnsi="仿宋" w:eastAsia="仿宋" w:cs="宋体"/>
          <w:kern w:val="0"/>
          <w:sz w:val="32"/>
          <w:szCs w:val="32"/>
        </w:rPr>
        <w:t>万元，下降</w:t>
      </w:r>
      <w:r>
        <w:rPr>
          <w:rFonts w:hint="eastAsia" w:ascii="仿宋" w:hAnsi="仿宋" w:eastAsia="仿宋" w:cs="宋体"/>
          <w:kern w:val="0"/>
          <w:sz w:val="32"/>
          <w:szCs w:val="32"/>
          <w:lang w:val="en-US" w:eastAsia="zh-CN"/>
        </w:rPr>
        <w:t>0.6</w:t>
      </w:r>
      <w:r>
        <w:rPr>
          <w:rFonts w:hint="eastAsia" w:ascii="仿宋" w:hAnsi="仿宋" w:eastAsia="仿宋" w:cs="宋体"/>
          <w:kern w:val="0"/>
          <w:sz w:val="32"/>
          <w:szCs w:val="32"/>
        </w:rPr>
        <w:t>%，主要原因是：</w:t>
      </w:r>
      <w:r>
        <w:rPr>
          <w:rFonts w:hint="eastAsia" w:ascii="仿宋" w:hAnsi="仿宋" w:eastAsia="仿宋" w:cs="宋体"/>
          <w:kern w:val="0"/>
          <w:sz w:val="32"/>
          <w:szCs w:val="32"/>
          <w:lang w:val="en-US" w:eastAsia="zh-CN"/>
        </w:rPr>
        <w:t>学校厉行节俭，减少招待费用支出</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新县金兰山街道办事处中心学校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单位无</w:t>
      </w:r>
      <w:r>
        <w:rPr>
          <w:rFonts w:ascii="仿宋" w:hAnsi="仿宋" w:eastAsia="仿宋" w:cs="宋体"/>
          <w:kern w:val="0"/>
          <w:sz w:val="32"/>
          <w:szCs w:val="32"/>
        </w:rPr>
        <w:t>政府性基金</w:t>
      </w:r>
      <w:r>
        <w:rPr>
          <w:rFonts w:hint="eastAsia" w:ascii="仿宋" w:hAnsi="仿宋" w:eastAsia="仿宋" w:cs="宋体"/>
          <w:kern w:val="0"/>
          <w:sz w:val="32"/>
          <w:szCs w:val="32"/>
          <w:lang w:eastAsia="zh-CN"/>
        </w:rPr>
        <w:t>收入</w:t>
      </w:r>
      <w:r>
        <w:rPr>
          <w:rFonts w:ascii="仿宋" w:hAnsi="仿宋" w:eastAsia="仿宋" w:cs="宋体"/>
          <w:kern w:val="0"/>
          <w:sz w:val="32"/>
          <w:szCs w:val="32"/>
        </w:rPr>
        <w:t>预算</w:t>
      </w:r>
      <w:r>
        <w:rPr>
          <w:rFonts w:hint="eastAsia" w:ascii="仿宋" w:hAnsi="仿宋" w:eastAsia="仿宋" w:cs="宋体"/>
          <w:kern w:val="0"/>
          <w:sz w:val="32"/>
          <w:szCs w:val="32"/>
          <w:lang w:eastAsia="zh-CN"/>
        </w:rPr>
        <w:t>，因此没有支出预算数据</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由于新县金兰山街道办事处中心学校不属于行政单位或参照公务员管理的事业单位，故没有该项开支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 xml:space="preserve">新县金兰山街道办事处中心学校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无</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新县金兰山街道办事处中心学校2022年无专项转移支付项目。</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default" w:ascii="仿宋" w:hAnsi="仿宋" w:eastAsia="仿宋" w:cs="宋体"/>
          <w:kern w:val="0"/>
          <w:sz w:val="32"/>
          <w:szCs w:val="32"/>
          <w:lang w:val="en-US" w:eastAsia="zh-CN"/>
        </w:rPr>
      </w:pPr>
    </w:p>
    <w:p>
      <w:pPr>
        <w:adjustRightInd w:val="0"/>
        <w:snapToGrid w:val="0"/>
        <w:spacing w:line="560" w:lineRule="exact"/>
        <w:ind w:firstLine="3840" w:firstLineChars="1200"/>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w:t>
      </w:r>
      <w:bookmarkStart w:id="0" w:name="_GoBack"/>
      <w:bookmarkEnd w:id="0"/>
      <w:r>
        <w:rPr>
          <w:rFonts w:ascii="仿宋" w:hAnsi="仿宋" w:eastAsia="仿宋" w:cs="宋体"/>
          <w:kern w:val="0"/>
          <w:sz w:val="32"/>
          <w:szCs w:val="32"/>
        </w:rPr>
        <w:t>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 xml:space="preserve">新县金兰山街道办事处中心学校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BBC90E"/>
    <w:multiLevelType w:val="singleLevel"/>
    <w:tmpl w:val="C1BBC90E"/>
    <w:lvl w:ilvl="0" w:tentative="0">
      <w:start w:val="1"/>
      <w:numFmt w:val="chineseCounting"/>
      <w:suff w:val="nothing"/>
      <w:lvlText w:val="（%1）"/>
      <w:lvlJc w:val="left"/>
      <w:rPr>
        <w:rFonts w:hint="eastAsia"/>
      </w:rPr>
    </w:lvl>
  </w:abstractNum>
  <w:abstractNum w:abstractNumId="1">
    <w:nsid w:val="67A9D5DB"/>
    <w:multiLevelType w:val="singleLevel"/>
    <w:tmpl w:val="67A9D5DB"/>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9364543"/>
    <w:rsid w:val="0A6F1B02"/>
    <w:rsid w:val="1C34759A"/>
    <w:rsid w:val="1D9C09E6"/>
    <w:rsid w:val="1E940EEE"/>
    <w:rsid w:val="1F310DAE"/>
    <w:rsid w:val="2069348A"/>
    <w:rsid w:val="24133DF1"/>
    <w:rsid w:val="26B86B17"/>
    <w:rsid w:val="29C8276C"/>
    <w:rsid w:val="2BCB7B04"/>
    <w:rsid w:val="2C3D31C4"/>
    <w:rsid w:val="32655CF5"/>
    <w:rsid w:val="32EB6CD2"/>
    <w:rsid w:val="40D35D65"/>
    <w:rsid w:val="46FC6FF6"/>
    <w:rsid w:val="49F61DEB"/>
    <w:rsid w:val="50AD2EA7"/>
    <w:rsid w:val="51F87B96"/>
    <w:rsid w:val="526E38D7"/>
    <w:rsid w:val="588C69A8"/>
    <w:rsid w:val="5CA95D7B"/>
    <w:rsid w:val="5F552F7D"/>
    <w:rsid w:val="67C0189B"/>
    <w:rsid w:val="68707874"/>
    <w:rsid w:val="6A014E5B"/>
    <w:rsid w:val="6C9854C4"/>
    <w:rsid w:val="76177A80"/>
    <w:rsid w:val="7994240D"/>
    <w:rsid w:val="7B633C51"/>
    <w:rsid w:val="7DA34429"/>
    <w:rsid w:val="7E5624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2963</Words>
  <Characters>3163</Characters>
  <Lines>29</Lines>
  <Paragraphs>8</Paragraphs>
  <TotalTime>0</TotalTime>
  <ScaleCrop>false</ScaleCrop>
  <LinksUpToDate>false</LinksUpToDate>
  <CharactersWithSpaces>3203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2023-04-11T06:22:18Z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170C366340CC4948BBA053DFEA3F681F</vt:lpwstr>
  </property>
</Properties>
</file>