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  <w:t>2022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年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  <w:t>度新县教师培训中心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预算说明</w:t>
      </w:r>
    </w:p>
    <w:p>
      <w:pPr>
        <w:spacing w:line="600" w:lineRule="exact"/>
        <w:jc w:val="both"/>
        <w:rPr>
          <w:rFonts w:hint="eastAsia" w:ascii="方正小标宋简体" w:hAnsi="宋体" w:eastAsia="方正小标宋简体"/>
          <w:b w:val="0"/>
          <w:bCs/>
          <w:color w:val="000000"/>
          <w:sz w:val="44"/>
          <w:szCs w:val="44"/>
          <w:highlight w:val="none"/>
        </w:rPr>
      </w:pPr>
    </w:p>
    <w:p>
      <w:pPr>
        <w:jc w:val="center"/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</w:pP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  <w:t>目   录</w:t>
      </w:r>
    </w:p>
    <w:p>
      <w:pPr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新县教师培训中心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ind w:firstLine="640" w:firstLineChars="200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新县教师培训中心2022年度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新县教师培训中心2022年度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</w:rPr>
      </w:pPr>
    </w:p>
    <w:p>
      <w:pPr>
        <w:adjustRightInd w:val="0"/>
        <w:snapToGrid w:val="0"/>
        <w:spacing w:line="560" w:lineRule="exact"/>
        <w:ind w:left="0" w:leftChars="0" w:firstLine="0" w:firstLineChars="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left="0" w:leftChars="0" w:firstLine="0" w:firstLineChars="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新县教师培训中心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新县教师培训中心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新县教师培训中心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1.健全制度，形成有序开展教师培训、教学改革、研讨交流、咨询服务的长效机制。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2.关注教师专业发展，引导教师做好职业规划。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3.开展教师职业道德教育活动，推动良好师德师风的形成。</w:t>
      </w:r>
    </w:p>
    <w:p>
      <w:pPr>
        <w:spacing w:line="600" w:lineRule="exact"/>
        <w:ind w:left="638" w:leftChars="304"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4.组织开展新教师入职培训和教师资格认定工作。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5.开展系列专题培训、教学技能比赛、评先活动和示范交流活动等，提升教师教学能力和水平。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6.开展各类教学研讨、咨询和交流活动，为教师提供教学咨询、诊断与建议。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7.开展培训和讲座，提升青年教师学术能力。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8.建设教师发展中心网络资源，为教师提供专业指导、专题讲座、示范视频、优秀案例、教学素材等资源平台。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二、新县教师培训中心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新县教师培训中心下设综合办、主任办、师训股、职称股、师政股五个办公室。</w:t>
      </w:r>
    </w:p>
    <w:p>
      <w:pPr>
        <w:adjustRightInd w:val="0"/>
        <w:snapToGrid w:val="0"/>
        <w:spacing w:line="560" w:lineRule="exact"/>
        <w:ind w:left="0" w:leftChars="0" w:firstLine="537" w:firstLineChars="168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新县教师培训中心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预算单位构成</w:t>
      </w:r>
    </w:p>
    <w:p>
      <w:pPr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ind w:firstLine="1600" w:firstLineChars="5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1600" w:firstLineChars="5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新县教师培训中心2022年度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（一）收入支出预算总体情况说明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363.6万元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363.6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210.3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137.2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%。主要原因：人员工资自然晋升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下设股室增加，业务量增加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  <w:highlight w:val="none"/>
        </w:rPr>
      </w:pP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二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）收入预算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说明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363.6万元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342.8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万元，部门结转资金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  <w:highlight w:val="none"/>
        </w:rPr>
      </w:pP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三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）支出预算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363.6万元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363.6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；项目支出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%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四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）财政拨款收入支出预算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说明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363.6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363.6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210.3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137.2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%。增加主要原因为：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人员增资调资以及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下设股室增加，业务量增加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五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）一般公共预算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  <w:t>基本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支出预算情况说明</w:t>
      </w:r>
    </w:p>
    <w:p>
      <w:pPr>
        <w:widowControl/>
        <w:spacing w:line="600" w:lineRule="exact"/>
        <w:ind w:left="10" w:leftChars="0" w:firstLine="838" w:firstLineChars="262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363.6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教育</w:t>
      </w:r>
      <w:r>
        <w:rPr>
          <w:rFonts w:ascii="仿宋" w:hAnsi="仿宋" w:eastAsia="仿宋" w:cs="宋体"/>
          <w:kern w:val="0"/>
          <w:sz w:val="32"/>
          <w:szCs w:val="32"/>
        </w:rPr>
        <w:t>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322.05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88.57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18.81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5.17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9.38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2.58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13.36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3.68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600" w:lineRule="exact"/>
        <w:ind w:left="-13" w:leftChars="0" w:firstLine="643" w:firstLineChars="0"/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  <w:t>支出预算经济分类情况说明</w:t>
      </w:r>
    </w:p>
    <w:p>
      <w:pPr>
        <w:widowControl/>
        <w:spacing w:line="600" w:lineRule="exact"/>
        <w:ind w:left="0" w:leftChars="0" w:firstLine="640" w:firstLineChars="200"/>
        <w:jc w:val="left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numPr>
          <w:ilvl w:val="0"/>
          <w:numId w:val="0"/>
        </w:num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</w:pP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  <w:t>七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一般公共预算基本支出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  <w:t>预算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情况说明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2022年一般公共预算基本支出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363.6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万元，其中：人员经费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167.66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195.94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  <w:highlight w:val="none"/>
        </w:rPr>
      </w:pP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  <w:t>八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“三公”经费支出预算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 xml:space="preserve"> 年“三公”经费预算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3万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与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2021年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持平，无变化，持平原因是单位节约开支，确保公务接待支出预算不增加。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万元，主要用于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开展日常教师培训业务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  <w:highlight w:val="none"/>
        </w:rPr>
      </w:pP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  <w:t>九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）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  <w:lang w:eastAsia="zh-CN"/>
        </w:rPr>
        <w:t>政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府性基金预算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支出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预算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情况说明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年无政府性基金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收入预算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  <w:highlight w:val="none"/>
        </w:rPr>
      </w:pP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（</w:t>
      </w:r>
      <w:r>
        <w:rPr>
          <w:rFonts w:hint="eastAsia" w:ascii="楷体_GB2312" w:eastAsia="楷体_GB2312"/>
          <w:b/>
          <w:color w:val="000000"/>
          <w:sz w:val="32"/>
          <w:szCs w:val="32"/>
          <w:highlight w:val="none"/>
        </w:rPr>
        <w:t>十</w:t>
      </w:r>
      <w:r>
        <w:rPr>
          <w:rFonts w:ascii="楷体_GB2312" w:eastAsia="楷体_GB2312"/>
          <w:b/>
          <w:color w:val="000000"/>
          <w:sz w:val="32"/>
          <w:szCs w:val="32"/>
          <w:highlight w:val="none"/>
        </w:rPr>
        <w:t>）其他重要事项情况说明</w:t>
      </w:r>
    </w:p>
    <w:p>
      <w:pPr>
        <w:widowControl/>
        <w:spacing w:line="600" w:lineRule="exact"/>
        <w:ind w:firstLine="640"/>
        <w:jc w:val="left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1、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机关运行经费支出情况</w:t>
      </w:r>
    </w:p>
    <w:p>
      <w:pPr>
        <w:widowControl/>
        <w:spacing w:line="600" w:lineRule="exact"/>
        <w:ind w:firstLine="640"/>
        <w:jc w:val="left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机关运行经费支出预算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与上年持平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不属于行政单位或参照公务员法管理的事业单位，故没有该项开支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widowControl/>
        <w:numPr>
          <w:ilvl w:val="0"/>
          <w:numId w:val="0"/>
        </w:numPr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2、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政府采购支出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情况</w:t>
      </w:r>
    </w:p>
    <w:p>
      <w:pPr>
        <w:widowControl/>
        <w:spacing w:line="600" w:lineRule="exact"/>
        <w:ind w:firstLine="640" w:firstLineChars="200"/>
        <w:jc w:val="left"/>
        <w:rPr>
          <w:rFonts w:hint="eastAsia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单位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政府采购预算安排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万元，其中：政府采购货物预算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万元、政府采购工程预算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万元、政府采购服务预算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万元。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hint="eastAsia" w:eastAsia="仿宋_GB2312"/>
          <w:color w:val="00000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3、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绩效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目标设置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情况</w:t>
      </w:r>
    </w:p>
    <w:p>
      <w:pPr>
        <w:widowControl/>
        <w:spacing w:line="600" w:lineRule="exact"/>
        <w:ind w:firstLine="64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我单位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2022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预算项目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均按要求编制了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绩效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4、国有资产占用情况说明。</w:t>
      </w:r>
    </w:p>
    <w:p>
      <w:pPr>
        <w:widowControl/>
        <w:spacing w:line="600" w:lineRule="exact"/>
        <w:ind w:firstLine="64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</w:t>
      </w:r>
      <w:r>
        <w:rPr>
          <w:rFonts w:ascii="仿宋_GB2312" w:eastAsia="仿宋_GB2312"/>
          <w:sz w:val="32"/>
          <w:szCs w:val="32"/>
          <w:highlight w:val="none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  <w:highlight w:val="none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ascii="仿宋_GB2312" w:eastAsia="仿宋_GB2312"/>
          <w:sz w:val="32"/>
          <w:szCs w:val="32"/>
          <w:highlight w:val="none"/>
        </w:rPr>
        <w:t>共有车辆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</w:rPr>
        <w:t>辆，其中：</w:t>
      </w:r>
      <w:r>
        <w:rPr>
          <w:rFonts w:hint="eastAsia" w:ascii="仿宋_GB2312" w:eastAsia="仿宋_GB2312"/>
          <w:sz w:val="32"/>
          <w:szCs w:val="32"/>
        </w:rPr>
        <w:t>一般公务用车0辆</w:t>
      </w:r>
      <w:r>
        <w:rPr>
          <w:rFonts w:hint="eastAsia" w:ascii="仿宋_GB2312" w:eastAsia="仿宋_GB2312"/>
          <w:sz w:val="32"/>
          <w:szCs w:val="32"/>
          <w:lang w:eastAsia="zh-CN"/>
        </w:rPr>
        <w:t>、一般执法执勤车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0辆、特种专业技术用车0辆，其他用车0辆</w:t>
      </w:r>
      <w:r>
        <w:rPr>
          <w:rFonts w:hint="eastAsia" w:ascii="仿宋_GB2312" w:eastAsia="仿宋_GB2312"/>
          <w:sz w:val="32"/>
          <w:szCs w:val="32"/>
        </w:rPr>
        <w:t>。单价50万元以上通用设备0套，单位价值100万元以上专用设备0套。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5、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专项转移支付项目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情况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ascii="仿宋_GB2312" w:eastAsia="仿宋_GB2312"/>
          <w:sz w:val="32"/>
          <w:szCs w:val="32"/>
          <w:lang w:eastAsia="zh-CN"/>
        </w:rPr>
        <w:t>2022年无专项转移支付项目。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新县教师培训中心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widowControl/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4527C9"/>
    <w:multiLevelType w:val="singleLevel"/>
    <w:tmpl w:val="CA4527C9"/>
    <w:lvl w:ilvl="0" w:tentative="0">
      <w:start w:val="6"/>
      <w:numFmt w:val="chineseCounting"/>
      <w:suff w:val="nothing"/>
      <w:lvlText w:val="（%1）"/>
      <w:lvlJc w:val="left"/>
      <w:pPr>
        <w:ind w:left="-1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7B8B0CE7"/>
    <w:rsid w:val="00AA3CEC"/>
    <w:rsid w:val="00B00BD6"/>
    <w:rsid w:val="01BC170F"/>
    <w:rsid w:val="01D6466C"/>
    <w:rsid w:val="01FE1C73"/>
    <w:rsid w:val="02E77B5B"/>
    <w:rsid w:val="03EC6F53"/>
    <w:rsid w:val="04E62E18"/>
    <w:rsid w:val="059B1E55"/>
    <w:rsid w:val="05B97C51"/>
    <w:rsid w:val="060B59C8"/>
    <w:rsid w:val="065D535C"/>
    <w:rsid w:val="073C016C"/>
    <w:rsid w:val="074A1D85"/>
    <w:rsid w:val="0B4727BB"/>
    <w:rsid w:val="0C403756"/>
    <w:rsid w:val="0DCF660A"/>
    <w:rsid w:val="0E060087"/>
    <w:rsid w:val="0E5644E0"/>
    <w:rsid w:val="0E6C0F75"/>
    <w:rsid w:val="0F9B0A8B"/>
    <w:rsid w:val="0F9B0CA3"/>
    <w:rsid w:val="104B091B"/>
    <w:rsid w:val="11587AB6"/>
    <w:rsid w:val="12421961"/>
    <w:rsid w:val="129F67B6"/>
    <w:rsid w:val="13511DA5"/>
    <w:rsid w:val="14202E7D"/>
    <w:rsid w:val="14CF38C9"/>
    <w:rsid w:val="177613E5"/>
    <w:rsid w:val="17B56CB2"/>
    <w:rsid w:val="18651B7E"/>
    <w:rsid w:val="1A7A1B5C"/>
    <w:rsid w:val="1B897503"/>
    <w:rsid w:val="1BE730A7"/>
    <w:rsid w:val="1CDF5248"/>
    <w:rsid w:val="1E3E4FB4"/>
    <w:rsid w:val="21D27F99"/>
    <w:rsid w:val="22D93B65"/>
    <w:rsid w:val="23A82625"/>
    <w:rsid w:val="23D721BF"/>
    <w:rsid w:val="23DA1943"/>
    <w:rsid w:val="26C37006"/>
    <w:rsid w:val="26FC6074"/>
    <w:rsid w:val="277867E0"/>
    <w:rsid w:val="280B47C0"/>
    <w:rsid w:val="28E3573D"/>
    <w:rsid w:val="296F6FD1"/>
    <w:rsid w:val="297D7484"/>
    <w:rsid w:val="2A41271B"/>
    <w:rsid w:val="2B3F7867"/>
    <w:rsid w:val="2D022ADE"/>
    <w:rsid w:val="2DE949C5"/>
    <w:rsid w:val="2E0C1292"/>
    <w:rsid w:val="2F7C5FA4"/>
    <w:rsid w:val="31B05432"/>
    <w:rsid w:val="31D238AE"/>
    <w:rsid w:val="31E9290D"/>
    <w:rsid w:val="32C739DA"/>
    <w:rsid w:val="346352C0"/>
    <w:rsid w:val="3701378C"/>
    <w:rsid w:val="37714155"/>
    <w:rsid w:val="37BF4EB1"/>
    <w:rsid w:val="387C2DFF"/>
    <w:rsid w:val="39B05E71"/>
    <w:rsid w:val="3A5E1856"/>
    <w:rsid w:val="3B3F4C52"/>
    <w:rsid w:val="3C7F3423"/>
    <w:rsid w:val="3E4D3888"/>
    <w:rsid w:val="3E8338F9"/>
    <w:rsid w:val="3F586B0E"/>
    <w:rsid w:val="42A3601D"/>
    <w:rsid w:val="442A3DC9"/>
    <w:rsid w:val="442E38B9"/>
    <w:rsid w:val="46F54B62"/>
    <w:rsid w:val="47EE5E9B"/>
    <w:rsid w:val="48245649"/>
    <w:rsid w:val="482A083B"/>
    <w:rsid w:val="4C68074A"/>
    <w:rsid w:val="4CE93B6B"/>
    <w:rsid w:val="4D302450"/>
    <w:rsid w:val="4D471547"/>
    <w:rsid w:val="4DB210B7"/>
    <w:rsid w:val="4F5E2074"/>
    <w:rsid w:val="509C7DFC"/>
    <w:rsid w:val="52974D1F"/>
    <w:rsid w:val="52AF3C5D"/>
    <w:rsid w:val="52BC78D9"/>
    <w:rsid w:val="538F59F6"/>
    <w:rsid w:val="54931516"/>
    <w:rsid w:val="55275A0F"/>
    <w:rsid w:val="55E541CD"/>
    <w:rsid w:val="56231CEF"/>
    <w:rsid w:val="56A705AA"/>
    <w:rsid w:val="56DE6BF7"/>
    <w:rsid w:val="57376F68"/>
    <w:rsid w:val="58065F40"/>
    <w:rsid w:val="591946E0"/>
    <w:rsid w:val="592F4A9C"/>
    <w:rsid w:val="59745DBA"/>
    <w:rsid w:val="59C701CA"/>
    <w:rsid w:val="5A026F22"/>
    <w:rsid w:val="5AC947C4"/>
    <w:rsid w:val="5C245875"/>
    <w:rsid w:val="5EFE1A1F"/>
    <w:rsid w:val="604E4ED6"/>
    <w:rsid w:val="604F6C39"/>
    <w:rsid w:val="608A1A1F"/>
    <w:rsid w:val="60AC5E39"/>
    <w:rsid w:val="612754C0"/>
    <w:rsid w:val="61E63FF8"/>
    <w:rsid w:val="62382A94"/>
    <w:rsid w:val="62D60F4C"/>
    <w:rsid w:val="63691DC0"/>
    <w:rsid w:val="66DA0D0B"/>
    <w:rsid w:val="67E660D5"/>
    <w:rsid w:val="68AE7E78"/>
    <w:rsid w:val="6A4204C9"/>
    <w:rsid w:val="6B881251"/>
    <w:rsid w:val="6BD10E4A"/>
    <w:rsid w:val="6CF748E0"/>
    <w:rsid w:val="6D8B4D72"/>
    <w:rsid w:val="6E6733A0"/>
    <w:rsid w:val="6E761835"/>
    <w:rsid w:val="708D5EC3"/>
    <w:rsid w:val="71121CE9"/>
    <w:rsid w:val="71E82A49"/>
    <w:rsid w:val="729F135A"/>
    <w:rsid w:val="72C85609"/>
    <w:rsid w:val="72D57472"/>
    <w:rsid w:val="738B18DE"/>
    <w:rsid w:val="74AE3AD6"/>
    <w:rsid w:val="74F24573"/>
    <w:rsid w:val="75640639"/>
    <w:rsid w:val="76086F57"/>
    <w:rsid w:val="7654160E"/>
    <w:rsid w:val="76D82194"/>
    <w:rsid w:val="76FD6F97"/>
    <w:rsid w:val="775C1F10"/>
    <w:rsid w:val="779C67B0"/>
    <w:rsid w:val="79314CD6"/>
    <w:rsid w:val="7A2001EE"/>
    <w:rsid w:val="7AB43E11"/>
    <w:rsid w:val="7B01022D"/>
    <w:rsid w:val="7B8B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2745</Words>
  <Characters>2978</Characters>
  <Lines>0</Lines>
  <Paragraphs>0</Paragraphs>
  <TotalTime>1</TotalTime>
  <ScaleCrop>false</ScaleCrop>
  <LinksUpToDate>false</LinksUpToDate>
  <CharactersWithSpaces>3028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Administrator</cp:lastModifiedBy>
  <dcterms:modified xsi:type="dcterms:W3CDTF">2023-04-07T02:25:56Z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86DA572F599448589F06C269B94D3C9A</vt:lpwstr>
  </property>
</Properties>
</file>