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b w:val="0"/>
          <w:bCs/>
          <w:color w:val="000000"/>
          <w:sz w:val="40"/>
          <w:szCs w:val="40"/>
          <w:highlight w:val="none"/>
        </w:rPr>
      </w:pPr>
      <w:r>
        <w:rPr>
          <w:rFonts w:hint="eastAsia" w:ascii="黑体" w:hAnsi="黑体" w:eastAsia="黑体"/>
          <w:b w:val="0"/>
          <w:bCs/>
          <w:color w:val="000000"/>
          <w:sz w:val="40"/>
          <w:szCs w:val="40"/>
          <w:highlight w:val="none"/>
          <w:lang w:eastAsia="zh-CN"/>
        </w:rPr>
        <w:t>2022</w:t>
      </w:r>
      <w:r>
        <w:rPr>
          <w:rFonts w:hint="eastAsia" w:ascii="黑体" w:hAnsi="黑体" w:eastAsia="黑体"/>
          <w:b w:val="0"/>
          <w:bCs/>
          <w:color w:val="000000"/>
          <w:sz w:val="40"/>
          <w:szCs w:val="40"/>
          <w:highlight w:val="none"/>
        </w:rPr>
        <w:t>年</w:t>
      </w:r>
      <w:r>
        <w:rPr>
          <w:rFonts w:hint="eastAsia" w:ascii="黑体" w:hAnsi="黑体" w:eastAsia="黑体"/>
          <w:b w:val="0"/>
          <w:bCs/>
          <w:color w:val="000000"/>
          <w:sz w:val="40"/>
          <w:szCs w:val="40"/>
          <w:highlight w:val="none"/>
          <w:lang w:eastAsia="zh-CN"/>
        </w:rPr>
        <w:t>新县成人教育职业教育办公室</w:t>
      </w:r>
      <w:r>
        <w:rPr>
          <w:rFonts w:hint="eastAsia" w:ascii="黑体" w:hAnsi="黑体" w:eastAsia="黑体"/>
          <w:b w:val="0"/>
          <w:bCs/>
          <w:color w:val="000000"/>
          <w:sz w:val="40"/>
          <w:szCs w:val="40"/>
          <w:highlight w:val="none"/>
        </w:rPr>
        <w:t>预算说明</w:t>
      </w:r>
    </w:p>
    <w:p>
      <w:pPr>
        <w:spacing w:line="600" w:lineRule="exact"/>
        <w:jc w:val="center"/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  <w:t>目   录</w:t>
      </w:r>
    </w:p>
    <w:p>
      <w:pPr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单位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二、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新县成人教育职业教育办公室2022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年度预算情况说明</w:t>
      </w:r>
    </w:p>
    <w:p>
      <w:pPr>
        <w:spacing w:line="60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三、 名词解释</w:t>
      </w: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附件：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新县成人教育职业教育办公室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spacing w:line="600" w:lineRule="exact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rPr>
          <w:rFonts w:eastAsia="黑体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新县成人教育职业教育办公室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一、新县成人教育职业教育办公室主要职能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负责全县职业教育与成人（社区）教育统筹规划、综合协调和宏观管理工作，协调指导终身教育工作。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拟订中等职业学校的教育教学指导文件及评估标准，指导教学改革。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负责中等职业学校的专业设置、教材建设、招生及学历学籍等管理工作。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指导县、乡（镇）、村（居）加强三级社区教育组织体系建设，扩充社区教育资源，强化队伍建设、基地建设，规范社区教育经营管理。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指导社区开展老年教育、社区教育和家庭教育活动，开展城乡产业及实用技术培训等。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二、新县成人教育职业教育办公室的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新县成人教育职业教育办公室是独立的预算编制机构，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根据部门预算管理有关规定，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部门收支预算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本级预算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下属预算单位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新县成人教育职业教育办公室预算单位构成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>此次公开的预算“无下属机构及其他预算单位”，仅有本单位预算。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spacing w:line="600" w:lineRule="exact"/>
        <w:ind w:firstLine="640" w:firstLineChars="200"/>
        <w:rPr>
          <w:rFonts w:ascii="仿宋" w:hAnsi="仿宋" w:eastAsia="仿宋_GB2312" w:cs="仿宋"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一、收入支出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预算总体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情况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81.63万元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81.63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38.54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32%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厉行节约以及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退休造成的人员经费减少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二、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收入预算总体情况说明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81.63万元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81.63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三、</w:t>
      </w:r>
      <w:r>
        <w:rPr>
          <w:rFonts w:ascii="楷体_GB2312" w:eastAsia="楷体_GB2312"/>
          <w:b/>
          <w:color w:val="000000"/>
          <w:sz w:val="32"/>
          <w:szCs w:val="32"/>
        </w:rPr>
        <w:t>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81.63万元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81.63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四、</w:t>
      </w:r>
      <w:r>
        <w:rPr>
          <w:rFonts w:ascii="楷体_GB2312" w:eastAsia="楷体_GB2312"/>
          <w:b/>
          <w:color w:val="000000"/>
          <w:sz w:val="32"/>
          <w:szCs w:val="32"/>
        </w:rPr>
        <w:t>财政拨款收入支出预算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2022年一般</w:t>
      </w:r>
      <w:r>
        <w:rPr>
          <w:rFonts w:ascii="仿宋" w:hAnsi="仿宋" w:eastAsia="仿宋" w:cs="宋体"/>
          <w:kern w:val="0"/>
          <w:sz w:val="32"/>
          <w:szCs w:val="32"/>
        </w:rPr>
        <w:t>公共预算收支预算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81.63</w:t>
      </w:r>
      <w:r>
        <w:rPr>
          <w:rFonts w:ascii="仿宋" w:hAnsi="仿宋" w:eastAsia="仿宋" w:cs="宋体"/>
          <w:kern w:val="0"/>
          <w:sz w:val="32"/>
          <w:szCs w:val="32"/>
        </w:rPr>
        <w:t>万元。与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23.04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23.35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主要原因为：厉行节约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以及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人员退休造成人员经费减少。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楷体_GB2312" w:eastAsia="楷体_GB2312"/>
          <w:b/>
          <w:color w:val="00000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一般公共预算支出年初预算为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81.63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65.18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79.85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7.45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9.13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3.71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4.54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5.29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6.48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81.63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70.76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10.87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eastAsia="仿宋_GB2312"/>
          <w:color w:val="000000"/>
          <w:kern w:val="0"/>
          <w:sz w:val="32"/>
          <w:szCs w:val="32"/>
        </w:rPr>
        <w:t>原因是单位节约开支。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与上年持平，原因是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单位没有因公出国（境）事务，故没有该项开支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0.9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主要用于教学研讨交流活动餐费，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10%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原因是厉行节约、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，与上年持平，原因是单位没有公务用车，故无该项开支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>不属于行政单位或参照公务员法管理的事业单位，故没有该项开支。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，单位没有该项开支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新县成人教育职业教育办公室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  <w:docVar w:name="KSO_WPS_MARK_KEY" w:val="5e4dae0e-1338-427c-9f43-e2d3c089b76c"/>
  </w:docVars>
  <w:rsids>
    <w:rsidRoot w:val="7B8B0CE7"/>
    <w:rsid w:val="004B48CF"/>
    <w:rsid w:val="01BC170F"/>
    <w:rsid w:val="01FE1C73"/>
    <w:rsid w:val="02274F67"/>
    <w:rsid w:val="04907E98"/>
    <w:rsid w:val="0689271A"/>
    <w:rsid w:val="07524795"/>
    <w:rsid w:val="07D05421"/>
    <w:rsid w:val="07FA4B0E"/>
    <w:rsid w:val="09E368B0"/>
    <w:rsid w:val="0AA3355A"/>
    <w:rsid w:val="0DCB704F"/>
    <w:rsid w:val="0E060087"/>
    <w:rsid w:val="0E2A0570"/>
    <w:rsid w:val="0F0A004B"/>
    <w:rsid w:val="0FD54405"/>
    <w:rsid w:val="10A83678"/>
    <w:rsid w:val="10AB6CCF"/>
    <w:rsid w:val="11311F50"/>
    <w:rsid w:val="12421961"/>
    <w:rsid w:val="12E75906"/>
    <w:rsid w:val="13511DA5"/>
    <w:rsid w:val="13737F6D"/>
    <w:rsid w:val="13CF716E"/>
    <w:rsid w:val="1460499A"/>
    <w:rsid w:val="147026FF"/>
    <w:rsid w:val="15DB3275"/>
    <w:rsid w:val="15DF61CD"/>
    <w:rsid w:val="16746B36"/>
    <w:rsid w:val="177613E5"/>
    <w:rsid w:val="17E92EF4"/>
    <w:rsid w:val="18351C95"/>
    <w:rsid w:val="19257F5C"/>
    <w:rsid w:val="1A7A1B5C"/>
    <w:rsid w:val="1B897503"/>
    <w:rsid w:val="1BE730A7"/>
    <w:rsid w:val="1C7B5ED8"/>
    <w:rsid w:val="1D226171"/>
    <w:rsid w:val="1D2B3346"/>
    <w:rsid w:val="1D554E04"/>
    <w:rsid w:val="1EA8749E"/>
    <w:rsid w:val="1F7F7C9A"/>
    <w:rsid w:val="238910E7"/>
    <w:rsid w:val="23AE1A23"/>
    <w:rsid w:val="23D721BF"/>
    <w:rsid w:val="23DA1943"/>
    <w:rsid w:val="245931AF"/>
    <w:rsid w:val="24920B00"/>
    <w:rsid w:val="24AF1021"/>
    <w:rsid w:val="25AF752A"/>
    <w:rsid w:val="26443BEC"/>
    <w:rsid w:val="26C37006"/>
    <w:rsid w:val="27005B64"/>
    <w:rsid w:val="275B665F"/>
    <w:rsid w:val="28400A04"/>
    <w:rsid w:val="29776517"/>
    <w:rsid w:val="2A41271B"/>
    <w:rsid w:val="2A6C52BE"/>
    <w:rsid w:val="2B3F7867"/>
    <w:rsid w:val="2F7C5FA4"/>
    <w:rsid w:val="31295CB7"/>
    <w:rsid w:val="3163566D"/>
    <w:rsid w:val="31692558"/>
    <w:rsid w:val="31B05432"/>
    <w:rsid w:val="31CA36C5"/>
    <w:rsid w:val="31D238AE"/>
    <w:rsid w:val="32BC2F1A"/>
    <w:rsid w:val="32C739DA"/>
    <w:rsid w:val="33020DA2"/>
    <w:rsid w:val="334E5EA9"/>
    <w:rsid w:val="336F3DA6"/>
    <w:rsid w:val="347D07F4"/>
    <w:rsid w:val="34B51D60"/>
    <w:rsid w:val="37714155"/>
    <w:rsid w:val="37BF4EB1"/>
    <w:rsid w:val="37ED7A3F"/>
    <w:rsid w:val="39B05E71"/>
    <w:rsid w:val="39B2192F"/>
    <w:rsid w:val="3A5E1856"/>
    <w:rsid w:val="3B3F4C52"/>
    <w:rsid w:val="3C2D6FA3"/>
    <w:rsid w:val="3CCD7E3F"/>
    <w:rsid w:val="3E5727AD"/>
    <w:rsid w:val="3F586B0E"/>
    <w:rsid w:val="3F5C046E"/>
    <w:rsid w:val="3F5E5B15"/>
    <w:rsid w:val="3FC51C6A"/>
    <w:rsid w:val="40472707"/>
    <w:rsid w:val="40B539EB"/>
    <w:rsid w:val="40CD43BD"/>
    <w:rsid w:val="40D23C76"/>
    <w:rsid w:val="425256AA"/>
    <w:rsid w:val="44DA759D"/>
    <w:rsid w:val="462D194E"/>
    <w:rsid w:val="463A2C1D"/>
    <w:rsid w:val="482A083B"/>
    <w:rsid w:val="4921579A"/>
    <w:rsid w:val="4C68074A"/>
    <w:rsid w:val="4CE93B6B"/>
    <w:rsid w:val="4E2125F7"/>
    <w:rsid w:val="4E5A2CD0"/>
    <w:rsid w:val="4F5E2074"/>
    <w:rsid w:val="503C110B"/>
    <w:rsid w:val="51791EEB"/>
    <w:rsid w:val="518B2E02"/>
    <w:rsid w:val="51EB38A4"/>
    <w:rsid w:val="52AF3C5D"/>
    <w:rsid w:val="530A2A33"/>
    <w:rsid w:val="54C811C0"/>
    <w:rsid w:val="5588094F"/>
    <w:rsid w:val="55B032F5"/>
    <w:rsid w:val="55DD2BA5"/>
    <w:rsid w:val="55E541CD"/>
    <w:rsid w:val="56073214"/>
    <w:rsid w:val="56A705AA"/>
    <w:rsid w:val="56DE6BF7"/>
    <w:rsid w:val="57376F68"/>
    <w:rsid w:val="57F8000E"/>
    <w:rsid w:val="58065F40"/>
    <w:rsid w:val="58770836"/>
    <w:rsid w:val="589070B4"/>
    <w:rsid w:val="589F66DB"/>
    <w:rsid w:val="592F4A9C"/>
    <w:rsid w:val="59745DBA"/>
    <w:rsid w:val="59C701CA"/>
    <w:rsid w:val="5A60547D"/>
    <w:rsid w:val="5AE909ED"/>
    <w:rsid w:val="5CDA23D8"/>
    <w:rsid w:val="5D1D4073"/>
    <w:rsid w:val="5D5C103F"/>
    <w:rsid w:val="5DAE1EDC"/>
    <w:rsid w:val="60E11843"/>
    <w:rsid w:val="613362A6"/>
    <w:rsid w:val="61A46B11"/>
    <w:rsid w:val="61DA0220"/>
    <w:rsid w:val="61E63FF8"/>
    <w:rsid w:val="62714880"/>
    <w:rsid w:val="62FD472A"/>
    <w:rsid w:val="6384309D"/>
    <w:rsid w:val="658B7132"/>
    <w:rsid w:val="66810A3A"/>
    <w:rsid w:val="66DA0D0B"/>
    <w:rsid w:val="67777968"/>
    <w:rsid w:val="68964749"/>
    <w:rsid w:val="68AE7E78"/>
    <w:rsid w:val="68BA4506"/>
    <w:rsid w:val="6931466C"/>
    <w:rsid w:val="6A7379C8"/>
    <w:rsid w:val="6AD44356"/>
    <w:rsid w:val="6B881251"/>
    <w:rsid w:val="6BA75920"/>
    <w:rsid w:val="6C40158C"/>
    <w:rsid w:val="6C563602"/>
    <w:rsid w:val="6D142D9C"/>
    <w:rsid w:val="6DCE38AA"/>
    <w:rsid w:val="6F307C36"/>
    <w:rsid w:val="6F4B0F13"/>
    <w:rsid w:val="6F51623B"/>
    <w:rsid w:val="6FCC3E02"/>
    <w:rsid w:val="6FFD045F"/>
    <w:rsid w:val="702F4391"/>
    <w:rsid w:val="70473489"/>
    <w:rsid w:val="71C84B3A"/>
    <w:rsid w:val="72930C07"/>
    <w:rsid w:val="72C85609"/>
    <w:rsid w:val="73923B7B"/>
    <w:rsid w:val="73CC7691"/>
    <w:rsid w:val="74AE3AD6"/>
    <w:rsid w:val="766D176F"/>
    <w:rsid w:val="76D82194"/>
    <w:rsid w:val="77275DC2"/>
    <w:rsid w:val="77552C0D"/>
    <w:rsid w:val="77C2072D"/>
    <w:rsid w:val="788074CF"/>
    <w:rsid w:val="78AA2807"/>
    <w:rsid w:val="797A042B"/>
    <w:rsid w:val="7A901D9E"/>
    <w:rsid w:val="7AB43E11"/>
    <w:rsid w:val="7B8B0CE7"/>
    <w:rsid w:val="7BB35BCB"/>
    <w:rsid w:val="7D160F4B"/>
    <w:rsid w:val="7E0E4CF0"/>
    <w:rsid w:val="7F5F07EF"/>
    <w:rsid w:val="7F965547"/>
    <w:rsid w:val="7FC1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2925</Words>
  <Characters>3109</Characters>
  <Lines>0</Lines>
  <Paragraphs>0</Paragraphs>
  <TotalTime>4</TotalTime>
  <ScaleCrop>false</ScaleCrop>
  <LinksUpToDate>false</LinksUpToDate>
  <CharactersWithSpaces>3121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Administrator</cp:lastModifiedBy>
  <dcterms:modified xsi:type="dcterms:W3CDTF">2023-04-11T00:24:04Z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50991BF09E4346FE9E18B5AE4934C7FD</vt:lpwstr>
  </property>
</Properties>
</file>