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olor w:val="000000"/>
          <w:sz w:val="32"/>
          <w:szCs w:val="32"/>
        </w:rPr>
      </w:pPr>
      <w:bookmarkStart w:id="0" w:name="_GoBack"/>
      <w:bookmarkEnd w:id="0"/>
      <w:r>
        <w:rPr>
          <w:rFonts w:hint="eastAsia" w:ascii="黑体" w:hAnsi="黑体" w:eastAsia="黑体"/>
          <w:bCs/>
          <w:color w:val="000000"/>
          <w:sz w:val="44"/>
          <w:szCs w:val="44"/>
        </w:rPr>
        <w:t>2022年新县浒湾乡中心学校预算说明</w:t>
      </w:r>
    </w:p>
    <w:p>
      <w:pPr>
        <w:spacing w:line="600" w:lineRule="exact"/>
        <w:jc w:val="center"/>
        <w:rPr>
          <w:rFonts w:ascii="宋体" w:hAnsi="宋体"/>
          <w:bCs/>
          <w:color w:val="000000"/>
          <w:sz w:val="44"/>
          <w:szCs w:val="44"/>
        </w:rPr>
      </w:pPr>
    </w:p>
    <w:p>
      <w:pPr>
        <w:spacing w:line="600" w:lineRule="exact"/>
        <w:ind w:firstLine="440" w:firstLineChars="100"/>
        <w:jc w:val="center"/>
        <w:rPr>
          <w:rFonts w:ascii="仿宋_GB2312" w:hAnsi="宋体" w:eastAsia="仿宋_GB2312"/>
          <w:color w:val="000000"/>
          <w:sz w:val="44"/>
          <w:szCs w:val="44"/>
        </w:rPr>
      </w:pPr>
      <w:r>
        <w:rPr>
          <w:rFonts w:hint="eastAsia" w:ascii="仿宋_GB2312" w:hAnsi="宋体" w:eastAsia="仿宋_GB2312"/>
          <w:color w:val="000000"/>
          <w:sz w:val="44"/>
          <w:szCs w:val="44"/>
        </w:rPr>
        <w:t>目   录</w:t>
      </w:r>
    </w:p>
    <w:p>
      <w:pPr>
        <w:spacing w:line="600" w:lineRule="exact"/>
        <w:ind w:firstLine="640" w:firstLineChars="200"/>
        <w:rPr>
          <w:rFonts w:ascii="黑体" w:eastAsia="黑体"/>
          <w:color w:val="000000"/>
          <w:sz w:val="32"/>
          <w:szCs w:val="32"/>
        </w:rPr>
      </w:pPr>
      <w:r>
        <w:rPr>
          <w:rFonts w:hint="eastAsia" w:ascii="黑体" w:eastAsia="黑体"/>
          <w:color w:val="000000"/>
          <w:sz w:val="32"/>
          <w:szCs w:val="32"/>
        </w:rPr>
        <w:t>第一部分  新县浒湾乡中心学校概况</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（一）主要职能</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（二）机构设置</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（三）预算单位构成</w:t>
      </w:r>
    </w:p>
    <w:p>
      <w:pPr>
        <w:spacing w:line="600" w:lineRule="exact"/>
        <w:ind w:firstLine="640" w:firstLineChars="200"/>
        <w:rPr>
          <w:rFonts w:ascii="黑体" w:eastAsia="黑体"/>
          <w:color w:val="000000"/>
          <w:sz w:val="32"/>
          <w:szCs w:val="32"/>
        </w:rPr>
      </w:pPr>
      <w:r>
        <w:rPr>
          <w:rFonts w:hint="eastAsia" w:ascii="黑体" w:eastAsia="黑体"/>
          <w:color w:val="000000"/>
          <w:sz w:val="32"/>
          <w:szCs w:val="32"/>
        </w:rPr>
        <w:t xml:space="preserve">第二部分 </w:t>
      </w:r>
      <w:r>
        <w:rPr>
          <w:rFonts w:ascii="黑体" w:eastAsia="黑体"/>
          <w:color w:val="000000"/>
          <w:sz w:val="32"/>
          <w:szCs w:val="32"/>
        </w:rPr>
        <w:t xml:space="preserve"> </w:t>
      </w:r>
      <w:r>
        <w:rPr>
          <w:rFonts w:hint="eastAsia" w:ascii="黑体" w:eastAsia="黑体"/>
          <w:color w:val="000000"/>
          <w:sz w:val="32"/>
          <w:szCs w:val="32"/>
        </w:rPr>
        <w:t>新县浒湾乡中心学校2022年度预算情况说明</w:t>
      </w:r>
    </w:p>
    <w:p>
      <w:pPr>
        <w:spacing w:line="600" w:lineRule="exact"/>
        <w:ind w:firstLine="640" w:firstLineChars="200"/>
        <w:rPr>
          <w:rFonts w:ascii="仿宋_GB2312" w:eastAsia="仿宋_GB2312"/>
          <w:color w:val="000000"/>
          <w:sz w:val="32"/>
          <w:szCs w:val="32"/>
        </w:rPr>
      </w:pPr>
      <w:r>
        <w:rPr>
          <w:rFonts w:hint="eastAsia" w:ascii="黑体" w:eastAsia="黑体"/>
          <w:color w:val="000000"/>
          <w:sz w:val="32"/>
          <w:szCs w:val="32"/>
        </w:rPr>
        <w:t xml:space="preserve">第三部分 </w:t>
      </w:r>
      <w:r>
        <w:rPr>
          <w:rFonts w:ascii="黑体" w:eastAsia="黑体"/>
          <w:color w:val="000000"/>
          <w:sz w:val="32"/>
          <w:szCs w:val="32"/>
        </w:rPr>
        <w:t xml:space="preserve"> </w:t>
      </w:r>
      <w:r>
        <w:rPr>
          <w:rFonts w:hint="eastAsia" w:ascii="黑体" w:eastAsia="黑体"/>
          <w:color w:val="000000"/>
          <w:sz w:val="32"/>
          <w:szCs w:val="32"/>
        </w:rPr>
        <w:t>名词解释</w:t>
      </w:r>
    </w:p>
    <w:p>
      <w:pPr>
        <w:spacing w:line="600" w:lineRule="exact"/>
        <w:ind w:firstLine="640" w:firstLineChars="200"/>
        <w:rPr>
          <w:rFonts w:ascii="黑体" w:eastAsia="黑体"/>
          <w:color w:val="000000"/>
          <w:sz w:val="32"/>
          <w:szCs w:val="32"/>
        </w:rPr>
      </w:pPr>
      <w:r>
        <w:rPr>
          <w:rFonts w:hint="eastAsia" w:ascii="黑体" w:eastAsia="黑体"/>
          <w:color w:val="000000"/>
          <w:sz w:val="32"/>
          <w:szCs w:val="32"/>
        </w:rPr>
        <w:t>附件：新县浒湾乡中心学校 2022年度预算表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一、收支总体情况表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二、收入总体情况表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三、支出总体情况表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四、财政拨款收支总体情况表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五、一般公共预算支出情况表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六、支出经济分类汇总表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七、一般公共预算基本支出情况表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八、一般公共预算“三公”经费支出情况表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九、项目支出表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十、政府性基金预算支出情况表</w:t>
      </w:r>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十一、财政支出绩效目标表</w:t>
      </w:r>
    </w:p>
    <w:p>
      <w:pPr>
        <w:spacing w:line="600" w:lineRule="exact"/>
        <w:ind w:firstLine="640" w:firstLineChars="200"/>
        <w:jc w:val="center"/>
        <w:rPr>
          <w:rFonts w:eastAsia="黑体"/>
          <w:color w:val="000000"/>
          <w:sz w:val="32"/>
          <w:szCs w:val="32"/>
        </w:rPr>
      </w:pPr>
    </w:p>
    <w:p>
      <w:pPr>
        <w:spacing w:line="600" w:lineRule="exact"/>
        <w:ind w:firstLine="640" w:firstLineChars="200"/>
        <w:jc w:val="center"/>
        <w:rPr>
          <w:rFonts w:eastAsia="黑体"/>
          <w:color w:val="000000"/>
          <w:sz w:val="32"/>
          <w:szCs w:val="32"/>
        </w:rPr>
      </w:pPr>
      <w:r>
        <w:rPr>
          <w:rFonts w:hint="eastAsia" w:eastAsia="黑体"/>
          <w:color w:val="000000"/>
          <w:sz w:val="32"/>
          <w:szCs w:val="32"/>
        </w:rPr>
        <w:t>第一部分</w:t>
      </w:r>
    </w:p>
    <w:p>
      <w:pPr>
        <w:spacing w:line="600" w:lineRule="exact"/>
        <w:ind w:firstLine="640" w:firstLineChars="200"/>
        <w:jc w:val="center"/>
        <w:rPr>
          <w:rFonts w:eastAsia="黑体"/>
          <w:color w:val="000000"/>
          <w:sz w:val="32"/>
          <w:szCs w:val="32"/>
        </w:rPr>
      </w:pPr>
      <w:r>
        <w:rPr>
          <w:rFonts w:hint="eastAsia" w:eastAsia="黑体"/>
          <w:color w:val="000000"/>
          <w:sz w:val="32"/>
          <w:szCs w:val="32"/>
        </w:rPr>
        <w:t>新县浒湾乡中心学校概况</w:t>
      </w:r>
    </w:p>
    <w:p>
      <w:pPr>
        <w:spacing w:line="600" w:lineRule="exact"/>
        <w:rPr>
          <w:rFonts w:eastAsia="黑体"/>
          <w:color w:val="000000"/>
          <w:sz w:val="32"/>
          <w:szCs w:val="32"/>
        </w:rPr>
      </w:pPr>
    </w:p>
    <w:p>
      <w:pPr>
        <w:spacing w:line="600" w:lineRule="exact"/>
        <w:ind w:firstLine="640" w:firstLineChars="200"/>
        <w:rPr>
          <w:rFonts w:eastAsia="仿宋_GB2312"/>
          <w:color w:val="000000"/>
          <w:sz w:val="32"/>
          <w:szCs w:val="32"/>
        </w:rPr>
      </w:pPr>
      <w:r>
        <w:rPr>
          <w:rFonts w:eastAsia="黑体"/>
          <w:color w:val="000000"/>
          <w:sz w:val="32"/>
          <w:szCs w:val="32"/>
        </w:rPr>
        <w:t>一、</w:t>
      </w:r>
      <w:r>
        <w:rPr>
          <w:rFonts w:hint="eastAsia" w:eastAsia="黑体"/>
          <w:color w:val="000000"/>
          <w:sz w:val="32"/>
          <w:szCs w:val="32"/>
        </w:rPr>
        <w:t>新县浒湾乡中心学校主要职能</w:t>
      </w:r>
    </w:p>
    <w:p>
      <w:pPr>
        <w:spacing w:line="600" w:lineRule="exact"/>
        <w:ind w:firstLine="643" w:firstLineChars="200"/>
        <w:rPr>
          <w:rFonts w:ascii="仿宋_GB2312" w:hAnsi="仿宋_GB2312" w:eastAsia="楷体_GB2312" w:cs="仿宋_GB2312"/>
          <w:color w:val="000000"/>
          <w:sz w:val="32"/>
          <w:szCs w:val="32"/>
        </w:rPr>
      </w:pPr>
      <w:r>
        <w:rPr>
          <w:rFonts w:hint="eastAsia" w:ascii="楷体_GB2312" w:eastAsia="楷体_GB2312"/>
          <w:b/>
          <w:color w:val="000000"/>
          <w:sz w:val="32"/>
          <w:szCs w:val="32"/>
        </w:rPr>
        <w:t>新县浒湾乡中心学校的</w:t>
      </w:r>
      <w:r>
        <w:rPr>
          <w:rFonts w:ascii="楷体_GB2312" w:eastAsia="楷体_GB2312"/>
          <w:b/>
          <w:color w:val="000000"/>
          <w:sz w:val="32"/>
          <w:szCs w:val="32"/>
        </w:rPr>
        <w:t>主要职责</w:t>
      </w:r>
      <w:r>
        <w:rPr>
          <w:rFonts w:hint="eastAsia" w:ascii="楷体_GB2312" w:eastAsia="楷体_GB2312"/>
          <w:b/>
          <w:color w:val="000000"/>
          <w:sz w:val="32"/>
          <w:szCs w:val="32"/>
        </w:rPr>
        <w:t>是：</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（一）贯彻执行中央、省、市关于教育工作的方针、政策和法规，研究</w:t>
      </w:r>
      <w:r>
        <w:rPr>
          <w:rFonts w:hint="eastAsia" w:ascii="仿宋_GB2312" w:hAnsi="仿宋_GB2312" w:eastAsia="仿宋_GB2312" w:cs="仿宋_GB2312"/>
          <w:color w:val="000000"/>
          <w:sz w:val="32"/>
          <w:szCs w:val="32"/>
          <w:lang w:eastAsia="zh-CN"/>
        </w:rPr>
        <w:t>制定</w:t>
      </w:r>
      <w:r>
        <w:rPr>
          <w:rFonts w:hint="eastAsia" w:ascii="仿宋_GB2312" w:hAnsi="仿宋_GB2312" w:eastAsia="仿宋_GB2312" w:cs="仿宋_GB2312"/>
          <w:color w:val="000000"/>
          <w:sz w:val="32"/>
          <w:szCs w:val="32"/>
        </w:rPr>
        <w:t>浒湾乡中心学校事业发展规划、年度计划、实施小学义务教育，促进小学义务教育教学的发展；</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（二）综合管理全镇小学义务教育、民办幼儿教育、小学特殊教育等工作；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（三）主管学校的德育工作和思想政治工作，端正办学方向，培养德、智、体、美、劳全面发展的社会主义新人；</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（四）负责本校教育系统的干部管理、教师调配、教师的职称评聘，在职教师培训、计划生育、老干部管理等工作；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（五）负责本校教育事业的计划、统计和教育经费预算、决算及教育系统内部审计工作；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（六）负责本校教育系统的校园规划和教学设施装备供应工作；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（七）负责学校贯彻执行教学大纲、教学改革、学校安全卫生、提高教育质量和教学水平等情况；</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（八）认真高效完成上级教育行政部门交办的其它工作。</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二、新县浒湾乡中心学校的机构设置</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新县浒湾乡中心学校是一所九年义务教育学校，</w:t>
      </w:r>
      <w:r>
        <w:rPr>
          <w:rFonts w:hint="eastAsia" w:ascii="仿宋_GB2312" w:hAnsi="仿宋_GB2312" w:eastAsia="仿宋_GB2312" w:cs="仿宋_GB2312"/>
          <w:color w:val="000000"/>
          <w:sz w:val="32"/>
          <w:szCs w:val="32"/>
          <w:lang w:eastAsia="zh-CN"/>
        </w:rPr>
        <w:t>主管部门为新县教育局，</w:t>
      </w:r>
      <w:r>
        <w:rPr>
          <w:rFonts w:hint="eastAsia" w:ascii="仿宋_GB2312" w:hAnsi="仿宋_GB2312" w:eastAsia="仿宋_GB2312" w:cs="仿宋_GB2312"/>
          <w:color w:val="000000"/>
          <w:sz w:val="32"/>
          <w:szCs w:val="32"/>
        </w:rPr>
        <w:t>学校内设</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个业务办公室：教导处、政教处和总务处。</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三、新县浒湾乡中心学校预算单位构成</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2022年新县浒湾乡中心学校此次公开的预算“无下属机构及其他预算单位”，仅有本单位预算。</w:t>
      </w: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left="638" w:leftChars="304"/>
        <w:jc w:val="center"/>
        <w:rPr>
          <w:rFonts w:eastAsia="黑体"/>
          <w:color w:val="000000"/>
          <w:sz w:val="32"/>
          <w:szCs w:val="32"/>
        </w:rPr>
      </w:pPr>
    </w:p>
    <w:p>
      <w:pPr>
        <w:spacing w:line="600" w:lineRule="exact"/>
        <w:ind w:firstLine="3840" w:firstLineChars="1200"/>
        <w:rPr>
          <w:rFonts w:eastAsia="黑体"/>
          <w:color w:val="000000"/>
          <w:sz w:val="32"/>
          <w:szCs w:val="32"/>
        </w:rPr>
      </w:pPr>
      <w:r>
        <w:rPr>
          <w:rFonts w:hint="eastAsia" w:eastAsia="黑体"/>
          <w:color w:val="000000"/>
          <w:sz w:val="32"/>
          <w:szCs w:val="32"/>
        </w:rPr>
        <w:t>第</w:t>
      </w:r>
      <w:r>
        <w:rPr>
          <w:rFonts w:eastAsia="黑体"/>
          <w:color w:val="000000"/>
          <w:sz w:val="32"/>
          <w:szCs w:val="32"/>
        </w:rPr>
        <w:t>二</w:t>
      </w:r>
      <w:r>
        <w:rPr>
          <w:rFonts w:hint="eastAsia" w:eastAsia="黑体"/>
          <w:color w:val="000000"/>
          <w:sz w:val="32"/>
          <w:szCs w:val="32"/>
        </w:rPr>
        <w:t>部分</w:t>
      </w:r>
    </w:p>
    <w:p>
      <w:pPr>
        <w:spacing w:line="600" w:lineRule="exact"/>
        <w:ind w:left="638" w:leftChars="304"/>
        <w:jc w:val="center"/>
        <w:rPr>
          <w:rFonts w:eastAsia="黑体"/>
          <w:color w:val="000000"/>
          <w:sz w:val="32"/>
          <w:szCs w:val="32"/>
        </w:rPr>
      </w:pPr>
      <w:r>
        <w:rPr>
          <w:rFonts w:hint="eastAsia" w:eastAsia="黑体"/>
          <w:color w:val="000000"/>
          <w:sz w:val="32"/>
          <w:szCs w:val="32"/>
        </w:rPr>
        <w:t>新县浒湾乡中心学校 2022</w:t>
      </w:r>
      <w:r>
        <w:rPr>
          <w:rFonts w:eastAsia="黑体"/>
          <w:color w:val="000000"/>
          <w:sz w:val="32"/>
          <w:szCs w:val="32"/>
        </w:rPr>
        <w:t>年</w:t>
      </w:r>
      <w:r>
        <w:rPr>
          <w:rFonts w:hint="eastAsia" w:eastAsia="黑体"/>
          <w:color w:val="000000"/>
          <w:sz w:val="32"/>
          <w:szCs w:val="32"/>
        </w:rPr>
        <w:t xml:space="preserve">度 </w:t>
      </w:r>
      <w:r>
        <w:rPr>
          <w:rFonts w:eastAsia="黑体"/>
          <w:color w:val="000000"/>
          <w:sz w:val="32"/>
          <w:szCs w:val="32"/>
        </w:rPr>
        <w:t>预算</w:t>
      </w:r>
      <w:r>
        <w:rPr>
          <w:rFonts w:hint="eastAsia" w:eastAsia="黑体"/>
          <w:color w:val="000000"/>
          <w:sz w:val="32"/>
          <w:szCs w:val="32"/>
        </w:rPr>
        <w:t>情况</w:t>
      </w:r>
      <w:r>
        <w:rPr>
          <w:rFonts w:eastAsia="黑体"/>
          <w:color w:val="000000"/>
          <w:sz w:val="32"/>
          <w:szCs w:val="32"/>
        </w:rPr>
        <w:t>说明</w:t>
      </w:r>
    </w:p>
    <w:p>
      <w:pPr>
        <w:spacing w:line="600" w:lineRule="exact"/>
        <w:ind w:firstLine="643" w:firstLineChars="200"/>
        <w:rPr>
          <w:rFonts w:ascii="楷体_GB2312" w:eastAsia="楷体_GB2312"/>
          <w:b/>
          <w:color w:val="000000"/>
          <w:sz w:val="32"/>
          <w:szCs w:val="32"/>
        </w:rPr>
      </w:pP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一、收入支出预算总体情况说明</w:t>
      </w:r>
    </w:p>
    <w:p>
      <w:pPr>
        <w:spacing w:line="600" w:lineRule="exact"/>
        <w:ind w:firstLine="640" w:firstLineChars="200"/>
        <w:rPr>
          <w:rFonts w:eastAsia="仿宋_GB2312"/>
          <w:color w:val="000000"/>
          <w:kern w:val="0"/>
          <w:sz w:val="32"/>
          <w:szCs w:val="32"/>
        </w:rPr>
      </w:pPr>
      <w:r>
        <w:rPr>
          <w:rFonts w:hint="eastAsia" w:ascii="仿宋_GB2312" w:hAnsi="仿宋_GB2312" w:eastAsia="仿宋_GB2312" w:cs="仿宋_GB2312"/>
          <w:color w:val="000000"/>
          <w:kern w:val="0"/>
          <w:sz w:val="32"/>
          <w:szCs w:val="32"/>
        </w:rPr>
        <w:t>新县浒湾乡中心学校2022年收入总计6</w:t>
      </w:r>
      <w:r>
        <w:rPr>
          <w:rFonts w:ascii="仿宋_GB2312" w:hAnsi="仿宋_GB2312" w:eastAsia="仿宋_GB2312" w:cs="仿宋_GB2312"/>
          <w:color w:val="000000"/>
          <w:kern w:val="0"/>
          <w:sz w:val="32"/>
          <w:szCs w:val="32"/>
        </w:rPr>
        <w:t>54.8</w:t>
      </w:r>
      <w:r>
        <w:rPr>
          <w:rFonts w:hint="eastAsia" w:ascii="仿宋_GB2312" w:hAnsi="仿宋_GB2312" w:eastAsia="仿宋_GB2312" w:cs="仿宋_GB2312"/>
          <w:color w:val="000000"/>
          <w:kern w:val="0"/>
          <w:sz w:val="32"/>
          <w:szCs w:val="32"/>
        </w:rPr>
        <w:t>1万元，支出总计</w:t>
      </w:r>
      <w:r>
        <w:rPr>
          <w:rFonts w:ascii="仿宋_GB2312" w:hAnsi="仿宋_GB2312" w:eastAsia="仿宋_GB2312" w:cs="仿宋_GB2312"/>
          <w:color w:val="000000"/>
          <w:kern w:val="0"/>
          <w:sz w:val="32"/>
          <w:szCs w:val="32"/>
        </w:rPr>
        <w:t>654.8</w:t>
      </w:r>
      <w:r>
        <w:rPr>
          <w:rFonts w:hint="eastAsia" w:ascii="仿宋_GB2312" w:hAnsi="仿宋_GB2312" w:eastAsia="仿宋_GB2312" w:cs="仿宋_GB2312"/>
          <w:color w:val="000000"/>
          <w:kern w:val="0"/>
          <w:sz w:val="32"/>
          <w:szCs w:val="32"/>
        </w:rPr>
        <w:t>1万元，与2021年相比，收、支预算总计各减少</w:t>
      </w:r>
      <w:r>
        <w:rPr>
          <w:rFonts w:ascii="仿宋_GB2312" w:hAnsi="仿宋_GB2312" w:eastAsia="仿宋_GB2312" w:cs="仿宋_GB2312"/>
          <w:color w:val="000000"/>
          <w:kern w:val="0"/>
          <w:sz w:val="32"/>
          <w:szCs w:val="32"/>
        </w:rPr>
        <w:t>18.1</w:t>
      </w:r>
      <w:r>
        <w:rPr>
          <w:rFonts w:hint="eastAsia" w:ascii="仿宋_GB2312" w:hAnsi="仿宋_GB2312" w:eastAsia="仿宋_GB2312" w:cs="仿宋_GB2312"/>
          <w:color w:val="000000"/>
          <w:kern w:val="0"/>
          <w:sz w:val="32"/>
          <w:szCs w:val="32"/>
        </w:rPr>
        <w:t>万元，减少</w:t>
      </w:r>
      <w:r>
        <w:rPr>
          <w:rFonts w:ascii="仿宋_GB2312" w:hAnsi="仿宋_GB2312" w:eastAsia="仿宋_GB2312" w:cs="仿宋_GB2312"/>
          <w:color w:val="000000"/>
          <w:kern w:val="0"/>
          <w:sz w:val="32"/>
          <w:szCs w:val="32"/>
        </w:rPr>
        <w:t>0.03</w:t>
      </w:r>
      <w:r>
        <w:rPr>
          <w:rFonts w:hint="eastAsia" w:ascii="仿宋_GB2312" w:hAnsi="仿宋_GB2312" w:eastAsia="仿宋_GB2312" w:cs="仿宋_GB2312"/>
          <w:color w:val="000000"/>
          <w:kern w:val="0"/>
          <w:sz w:val="32"/>
          <w:szCs w:val="32"/>
        </w:rPr>
        <w:t>%。主要原因：学生减少，人员调出及退休。</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二、</w:t>
      </w:r>
      <w:r>
        <w:rPr>
          <w:rFonts w:ascii="楷体_GB2312" w:eastAsia="楷体_GB2312"/>
          <w:b/>
          <w:color w:val="000000"/>
          <w:sz w:val="32"/>
          <w:szCs w:val="32"/>
        </w:rPr>
        <w:t>收入预算</w:t>
      </w:r>
      <w:r>
        <w:rPr>
          <w:rFonts w:hint="eastAsia" w:ascii="楷体_GB2312" w:eastAsia="楷体_GB2312"/>
          <w:b/>
          <w:color w:val="000000"/>
          <w:sz w:val="32"/>
          <w:szCs w:val="32"/>
        </w:rPr>
        <w:t>总体情况</w:t>
      </w:r>
      <w:r>
        <w:rPr>
          <w:rFonts w:ascii="楷体_GB2312" w:eastAsia="楷体_GB2312"/>
          <w:b/>
          <w:color w:val="000000"/>
          <w:sz w:val="32"/>
          <w:szCs w:val="32"/>
        </w:rPr>
        <w:t>说明</w:t>
      </w:r>
    </w:p>
    <w:p>
      <w:pPr>
        <w:widowControl/>
        <w:spacing w:line="600" w:lineRule="exact"/>
        <w:ind w:firstLine="63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新县浒湾乡中心学校2022年收入合计</w:t>
      </w:r>
      <w:r>
        <w:rPr>
          <w:rFonts w:ascii="仿宋_GB2312" w:hAnsi="仿宋_GB2312" w:eastAsia="仿宋_GB2312" w:cs="仿宋_GB2312"/>
          <w:color w:val="000000"/>
          <w:kern w:val="0"/>
          <w:sz w:val="32"/>
          <w:szCs w:val="32"/>
        </w:rPr>
        <w:t>654.8</w:t>
      </w:r>
      <w:r>
        <w:rPr>
          <w:rFonts w:hint="eastAsia" w:ascii="仿宋_GB2312" w:hAnsi="仿宋_GB2312" w:eastAsia="仿宋_GB2312" w:cs="仿宋_GB2312"/>
          <w:color w:val="000000"/>
          <w:kern w:val="0"/>
          <w:sz w:val="32"/>
          <w:szCs w:val="32"/>
        </w:rPr>
        <w:t>1万元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其中：一般公共预算收入</w:t>
      </w:r>
      <w:r>
        <w:rPr>
          <w:rFonts w:ascii="仿宋_GB2312" w:hAnsi="仿宋_GB2312" w:eastAsia="仿宋_GB2312" w:cs="仿宋_GB2312"/>
          <w:sz w:val="32"/>
          <w:szCs w:val="32"/>
        </w:rPr>
        <w:t>654.81</w:t>
      </w:r>
      <w:r>
        <w:rPr>
          <w:rFonts w:hint="eastAsia" w:ascii="仿宋_GB2312" w:hAnsi="仿宋_GB2312" w:eastAsia="仿宋_GB2312" w:cs="仿宋_GB2312"/>
          <w:sz w:val="32"/>
          <w:szCs w:val="32"/>
        </w:rPr>
        <w:t>万元。</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三、</w:t>
      </w:r>
      <w:r>
        <w:rPr>
          <w:rFonts w:ascii="楷体_GB2312" w:eastAsia="楷体_GB2312"/>
          <w:b/>
          <w:color w:val="000000"/>
          <w:sz w:val="32"/>
          <w:szCs w:val="32"/>
        </w:rPr>
        <w:t>支出预算</w:t>
      </w:r>
      <w:r>
        <w:rPr>
          <w:rFonts w:hint="eastAsia" w:ascii="楷体_GB2312" w:eastAsia="楷体_GB2312"/>
          <w:b/>
          <w:color w:val="000000"/>
          <w:sz w:val="32"/>
          <w:szCs w:val="32"/>
        </w:rPr>
        <w:t>总体情况</w:t>
      </w:r>
      <w:r>
        <w:rPr>
          <w:rFonts w:ascii="楷体_GB2312" w:eastAsia="楷体_GB2312"/>
          <w:b/>
          <w:color w:val="000000"/>
          <w:sz w:val="32"/>
          <w:szCs w:val="32"/>
        </w:rPr>
        <w:t>说明</w:t>
      </w:r>
    </w:p>
    <w:p>
      <w:pPr>
        <w:widowControl/>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新县浒湾乡中心学校2022年支出合计</w:t>
      </w:r>
      <w:r>
        <w:rPr>
          <w:rFonts w:ascii="仿宋_GB2312" w:hAnsi="仿宋_GB2312" w:eastAsia="仿宋_GB2312" w:cs="仿宋_GB2312"/>
          <w:color w:val="000000"/>
          <w:kern w:val="0"/>
          <w:sz w:val="32"/>
          <w:szCs w:val="32"/>
        </w:rPr>
        <w:t>654.8</w:t>
      </w:r>
      <w:r>
        <w:rPr>
          <w:rFonts w:hint="eastAsia" w:ascii="仿宋_GB2312" w:hAnsi="仿宋_GB2312" w:eastAsia="仿宋_GB2312" w:cs="仿宋_GB2312"/>
          <w:color w:val="000000"/>
          <w:kern w:val="0"/>
          <w:sz w:val="32"/>
          <w:szCs w:val="32"/>
        </w:rPr>
        <w:t>1万元</w:t>
      </w:r>
      <w:r>
        <w:rPr>
          <w:rFonts w:hint="eastAsia" w:ascii="仿宋_GB2312" w:hAnsi="仿宋_GB2312" w:eastAsia="仿宋_GB2312" w:cs="仿宋_GB2312"/>
          <w:color w:val="000000"/>
          <w:sz w:val="32"/>
          <w:szCs w:val="32"/>
        </w:rPr>
        <w:t>，其中：基本支出</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54.81</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kern w:val="0"/>
          <w:sz w:val="32"/>
          <w:szCs w:val="32"/>
        </w:rPr>
        <w:t>100%。</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四、</w:t>
      </w:r>
      <w:r>
        <w:rPr>
          <w:rFonts w:ascii="楷体_GB2312" w:eastAsia="楷体_GB2312"/>
          <w:b/>
          <w:color w:val="000000"/>
          <w:sz w:val="32"/>
          <w:szCs w:val="32"/>
        </w:rPr>
        <w:t>财政拨款收入支出预算</w:t>
      </w:r>
      <w:r>
        <w:rPr>
          <w:rFonts w:hint="eastAsia" w:ascii="楷体_GB2312" w:eastAsia="楷体_GB2312"/>
          <w:b/>
          <w:color w:val="000000"/>
          <w:sz w:val="32"/>
          <w:szCs w:val="32"/>
        </w:rPr>
        <w:t>总体情况</w:t>
      </w:r>
      <w:r>
        <w:rPr>
          <w:rFonts w:ascii="楷体_GB2312" w:eastAsia="楷体_GB2312"/>
          <w:b/>
          <w:color w:val="000000"/>
          <w:sz w:val="32"/>
          <w:szCs w:val="32"/>
        </w:rPr>
        <w:t>说明</w:t>
      </w:r>
    </w:p>
    <w:p>
      <w:pPr>
        <w:widowControl/>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新县浒湾乡中心学校2022年财政拨款收入预</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54.81万元，</w:t>
      </w:r>
      <w:r>
        <w:rPr>
          <w:rFonts w:hint="eastAsia" w:ascii="仿宋_GB2312" w:hAnsi="仿宋_GB2312" w:eastAsia="仿宋_GB2312" w:cs="仿宋_GB2312"/>
          <w:color w:val="000000"/>
          <w:kern w:val="0"/>
          <w:sz w:val="32"/>
          <w:szCs w:val="32"/>
        </w:rPr>
        <w:t>财政拨款支出预算</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54.81</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与 2021年相比，财政拨款收支预算减少18.1万元，减少</w:t>
      </w:r>
      <w:r>
        <w:rPr>
          <w:rFonts w:ascii="仿宋_GB2312" w:hAnsi="仿宋_GB2312" w:eastAsia="仿宋_GB2312" w:cs="仿宋_GB2312"/>
          <w:color w:val="000000"/>
          <w:kern w:val="0"/>
          <w:sz w:val="32"/>
          <w:szCs w:val="32"/>
        </w:rPr>
        <w:t>0.0</w:t>
      </w:r>
      <w:r>
        <w:rPr>
          <w:rFonts w:hint="eastAsia" w:ascii="仿宋_GB2312" w:hAnsi="仿宋_GB2312" w:eastAsia="仿宋_GB2312" w:cs="仿宋_GB2312"/>
          <w:color w:val="000000"/>
          <w:kern w:val="0"/>
          <w:sz w:val="32"/>
          <w:szCs w:val="32"/>
        </w:rPr>
        <w:t>3%。减少主要原因为：学生减少，人员调出及退休。</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五、</w:t>
      </w:r>
      <w:r>
        <w:rPr>
          <w:rFonts w:ascii="楷体_GB2312" w:eastAsia="楷体_GB2312"/>
          <w:b/>
          <w:color w:val="000000"/>
          <w:sz w:val="32"/>
          <w:szCs w:val="32"/>
        </w:rPr>
        <w:t>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_GB2312" w:hAnsi="仿宋_GB2312" w:eastAsia="仿宋_GB2312" w:cs="仿宋_GB2312"/>
          <w:color w:val="000000"/>
          <w:kern w:val="0"/>
          <w:sz w:val="32"/>
          <w:szCs w:val="32"/>
        </w:rPr>
        <w:t>新县浒湾乡中心学校2022年一般公共预算支出预算</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54.81 万元</w:t>
      </w:r>
      <w:r>
        <w:rPr>
          <w:rFonts w:hint="eastAsia" w:ascii="仿宋_GB2312" w:hAnsi="仿宋_GB2312" w:eastAsia="仿宋_GB2312" w:cs="仿宋_GB2312"/>
          <w:color w:val="000000"/>
          <w:kern w:val="0"/>
          <w:sz w:val="32"/>
          <w:szCs w:val="32"/>
        </w:rPr>
        <w:t>。</w:t>
      </w:r>
      <w:r>
        <w:rPr>
          <w:rFonts w:ascii="仿宋" w:hAnsi="仿宋" w:eastAsia="仿宋" w:cs="宋体"/>
          <w:kern w:val="0"/>
          <w:sz w:val="32"/>
          <w:szCs w:val="32"/>
        </w:rPr>
        <w:t>主要用于以下方面：教育（类）支出</w:t>
      </w:r>
      <w:r>
        <w:rPr>
          <w:rFonts w:hint="eastAsia" w:ascii="仿宋" w:hAnsi="仿宋" w:eastAsia="仿宋" w:cs="宋体"/>
          <w:kern w:val="0"/>
          <w:sz w:val="32"/>
          <w:szCs w:val="32"/>
        </w:rPr>
        <w:t>533.91</w:t>
      </w:r>
      <w:r>
        <w:rPr>
          <w:rFonts w:ascii="仿宋" w:hAnsi="仿宋" w:eastAsia="仿宋" w:cs="宋体"/>
          <w:kern w:val="0"/>
          <w:sz w:val="32"/>
          <w:szCs w:val="32"/>
        </w:rPr>
        <w:t>万元，占</w:t>
      </w:r>
      <w:r>
        <w:rPr>
          <w:rFonts w:hint="eastAsia" w:ascii="仿宋" w:hAnsi="仿宋" w:eastAsia="仿宋" w:cs="宋体"/>
          <w:kern w:val="0"/>
          <w:sz w:val="32"/>
          <w:szCs w:val="32"/>
        </w:rPr>
        <w:t>81.5</w:t>
      </w:r>
      <w:r>
        <w:rPr>
          <w:rFonts w:ascii="仿宋" w:hAnsi="仿宋" w:eastAsia="仿宋" w:cs="宋体"/>
          <w:kern w:val="0"/>
          <w:sz w:val="32"/>
          <w:szCs w:val="32"/>
        </w:rPr>
        <w:t>%；社会保障和就业（类）支出</w:t>
      </w:r>
      <w:r>
        <w:rPr>
          <w:rFonts w:hint="eastAsia" w:ascii="仿宋" w:hAnsi="仿宋" w:eastAsia="仿宋" w:cs="宋体"/>
          <w:kern w:val="0"/>
          <w:sz w:val="32"/>
          <w:szCs w:val="32"/>
        </w:rPr>
        <w:t>54.82</w:t>
      </w:r>
      <w:r>
        <w:rPr>
          <w:rFonts w:ascii="仿宋" w:hAnsi="仿宋" w:eastAsia="仿宋" w:cs="宋体"/>
          <w:kern w:val="0"/>
          <w:sz w:val="32"/>
          <w:szCs w:val="32"/>
        </w:rPr>
        <w:t>万元，占</w:t>
      </w:r>
      <w:r>
        <w:rPr>
          <w:rFonts w:hint="eastAsia" w:ascii="仿宋" w:hAnsi="仿宋" w:eastAsia="仿宋" w:cs="宋体"/>
          <w:kern w:val="0"/>
          <w:sz w:val="32"/>
          <w:szCs w:val="32"/>
        </w:rPr>
        <w:t>8.5</w:t>
      </w:r>
      <w:r>
        <w:rPr>
          <w:rFonts w:ascii="仿宋" w:hAnsi="仿宋" w:eastAsia="仿宋" w:cs="宋体"/>
          <w:kern w:val="0"/>
          <w:sz w:val="32"/>
          <w:szCs w:val="32"/>
        </w:rPr>
        <w:t>%；医疗卫生与计划生育（类）支出</w:t>
      </w:r>
      <w:r>
        <w:rPr>
          <w:rFonts w:hint="eastAsia" w:ascii="仿宋" w:hAnsi="仿宋" w:eastAsia="仿宋" w:cs="宋体"/>
          <w:kern w:val="0"/>
          <w:sz w:val="32"/>
          <w:szCs w:val="32"/>
        </w:rPr>
        <w:t>27.16</w:t>
      </w:r>
      <w:r>
        <w:rPr>
          <w:rFonts w:ascii="仿宋" w:hAnsi="仿宋" w:eastAsia="仿宋" w:cs="宋体"/>
          <w:kern w:val="0"/>
          <w:sz w:val="32"/>
          <w:szCs w:val="32"/>
        </w:rPr>
        <w:t>万元，占</w:t>
      </w:r>
      <w:r>
        <w:rPr>
          <w:rFonts w:hint="eastAsia" w:ascii="仿宋" w:hAnsi="仿宋" w:eastAsia="仿宋" w:cs="宋体"/>
          <w:kern w:val="0"/>
          <w:sz w:val="32"/>
          <w:szCs w:val="32"/>
        </w:rPr>
        <w:t>4.1</w:t>
      </w:r>
      <w:r>
        <w:rPr>
          <w:rFonts w:ascii="仿宋" w:hAnsi="仿宋" w:eastAsia="仿宋" w:cs="宋体"/>
          <w:kern w:val="0"/>
          <w:sz w:val="32"/>
          <w:szCs w:val="32"/>
        </w:rPr>
        <w:t>%；住房保障（类）支出</w:t>
      </w:r>
      <w:r>
        <w:rPr>
          <w:rFonts w:hint="eastAsia" w:ascii="仿宋" w:hAnsi="仿宋" w:eastAsia="仿宋" w:cs="宋体"/>
          <w:kern w:val="0"/>
          <w:sz w:val="32"/>
          <w:szCs w:val="32"/>
        </w:rPr>
        <w:t>38.92</w:t>
      </w:r>
      <w:r>
        <w:rPr>
          <w:rFonts w:ascii="仿宋" w:hAnsi="仿宋" w:eastAsia="仿宋" w:cs="宋体"/>
          <w:kern w:val="0"/>
          <w:sz w:val="32"/>
          <w:szCs w:val="32"/>
        </w:rPr>
        <w:t>万元，占</w:t>
      </w:r>
      <w:r>
        <w:rPr>
          <w:rFonts w:hint="eastAsia" w:ascii="仿宋" w:hAnsi="仿宋" w:eastAsia="仿宋" w:cs="宋体"/>
          <w:kern w:val="0"/>
          <w:sz w:val="32"/>
          <w:szCs w:val="32"/>
        </w:rPr>
        <w:t>5.9</w:t>
      </w:r>
      <w:r>
        <w:rPr>
          <w:rFonts w:ascii="仿宋" w:hAnsi="仿宋" w:eastAsia="仿宋" w:cs="宋体"/>
          <w:kern w:val="0"/>
          <w:sz w:val="32"/>
          <w:szCs w:val="32"/>
        </w:rPr>
        <w:t>%</w:t>
      </w:r>
      <w:r>
        <w:rPr>
          <w:rFonts w:hint="eastAsia" w:ascii="仿宋" w:hAnsi="仿宋" w:eastAsia="仿宋" w:cs="宋体"/>
          <w:kern w:val="0"/>
          <w:sz w:val="32"/>
          <w:szCs w:val="32"/>
        </w:rPr>
        <w:t>。</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六、支出预算经济分类情况说明</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_GB2312" w:eastAsia="楷体_GB2312"/>
          <w:b/>
          <w:color w:val="000000"/>
          <w:sz w:val="32"/>
          <w:szCs w:val="32"/>
        </w:rPr>
        <w:t xml:space="preserve"> </w:t>
      </w: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ascii="仿宋" w:hAnsi="仿宋" w:eastAsia="仿宋" w:cs="宋体"/>
          <w:b/>
          <w:color w:val="FF0000"/>
          <w:kern w:val="0"/>
          <w:sz w:val="32"/>
          <w:szCs w:val="32"/>
          <w:highlight w:val="yellow"/>
        </w:rPr>
      </w:pPr>
      <w:r>
        <w:rPr>
          <w:rFonts w:hint="eastAsia" w:ascii="仿宋" w:hAnsi="仿宋" w:eastAsia="仿宋" w:cs="仿宋"/>
          <w:b/>
          <w:bCs/>
          <w:color w:val="000000"/>
          <w:sz w:val="32"/>
          <w:szCs w:val="32"/>
          <w:shd w:val="clear" w:color="auto" w:fill="FFFFFF"/>
        </w:rPr>
        <w:t>七</w:t>
      </w:r>
      <w:r>
        <w:rPr>
          <w:rFonts w:ascii="仿宋" w:hAnsi="仿宋" w:eastAsia="仿宋" w:cs="仿宋"/>
          <w:b/>
          <w:bCs/>
          <w:color w:val="000000"/>
          <w:sz w:val="32"/>
          <w:szCs w:val="32"/>
          <w:shd w:val="clear" w:color="auto" w:fill="FFFFFF"/>
        </w:rPr>
        <w:t>、一般公共预算基本支出预算情况说明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654.81万元，其中：人员经费558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96.81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八、“三公”经费支出预算</w:t>
      </w:r>
      <w:r>
        <w:rPr>
          <w:rFonts w:ascii="楷体_GB2312" w:eastAsia="楷体_GB2312"/>
          <w:b/>
          <w:color w:val="000000"/>
          <w:sz w:val="32"/>
          <w:szCs w:val="32"/>
        </w:rPr>
        <w:t>情况说明</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新县浒湾乡中心学校2022 年“三公”经费预算为</w:t>
      </w:r>
      <w:r>
        <w:rPr>
          <w:rFonts w:ascii="仿宋_GB2312" w:hAnsi="仿宋_GB2312" w:eastAsia="仿宋_GB2312" w:cs="仿宋_GB2312"/>
          <w:color w:val="000000"/>
          <w:kern w:val="0"/>
          <w:sz w:val="32"/>
          <w:szCs w:val="32"/>
        </w:rPr>
        <w:t>3.36</w:t>
      </w:r>
      <w:r>
        <w:rPr>
          <w:rFonts w:hint="eastAsia" w:ascii="仿宋_GB2312" w:hAnsi="仿宋_GB2312" w:eastAsia="仿宋_GB2312" w:cs="仿宋_GB2312"/>
          <w:color w:val="000000"/>
          <w:kern w:val="0"/>
          <w:sz w:val="32"/>
          <w:szCs w:val="32"/>
        </w:rPr>
        <w:t>万元。2</w:t>
      </w:r>
      <w:r>
        <w:rPr>
          <w:rFonts w:ascii="仿宋_GB2312" w:hAnsi="仿宋_GB2312" w:eastAsia="仿宋_GB2312" w:cs="仿宋_GB2312"/>
          <w:color w:val="000000"/>
          <w:kern w:val="0"/>
          <w:sz w:val="32"/>
          <w:szCs w:val="32"/>
        </w:rPr>
        <w:t>022</w:t>
      </w:r>
      <w:r>
        <w:rPr>
          <w:rFonts w:hint="eastAsia" w:ascii="仿宋_GB2312" w:hAnsi="仿宋_GB2312" w:eastAsia="仿宋_GB2312" w:cs="仿宋_GB2312"/>
          <w:color w:val="000000"/>
          <w:kern w:val="0"/>
          <w:sz w:val="32"/>
          <w:szCs w:val="32"/>
        </w:rPr>
        <w:t>年“三公”经费支出预算数与2</w:t>
      </w:r>
      <w:r>
        <w:rPr>
          <w:rFonts w:ascii="仿宋_GB2312" w:hAnsi="仿宋_GB2312" w:eastAsia="仿宋_GB2312" w:cs="仿宋_GB2312"/>
          <w:color w:val="000000"/>
          <w:kern w:val="0"/>
          <w:sz w:val="32"/>
          <w:szCs w:val="32"/>
        </w:rPr>
        <w:t>021</w:t>
      </w:r>
      <w:r>
        <w:rPr>
          <w:rFonts w:hint="eastAsia" w:ascii="仿宋_GB2312" w:hAnsi="仿宋_GB2312" w:eastAsia="仿宋_GB2312" w:cs="仿宋_GB2312"/>
          <w:color w:val="000000"/>
          <w:kern w:val="0"/>
          <w:sz w:val="32"/>
          <w:szCs w:val="32"/>
        </w:rPr>
        <w:t>年相比，比上年下降0.</w:t>
      </w:r>
      <w:r>
        <w:rPr>
          <w:rFonts w:ascii="仿宋_GB2312" w:hAnsi="仿宋_GB2312" w:eastAsia="仿宋_GB2312" w:cs="仿宋_GB2312"/>
          <w:color w:val="000000"/>
          <w:kern w:val="0"/>
          <w:sz w:val="32"/>
          <w:szCs w:val="32"/>
        </w:rPr>
        <w:t>01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rPr>
        <w:t>本单位节约开支。</w:t>
      </w:r>
    </w:p>
    <w:p>
      <w:pPr>
        <w:widowControl/>
        <w:kinsoku w:val="0"/>
        <w:overflowPunct w:val="0"/>
        <w:adjustRightInd w:val="0"/>
        <w:snapToGrid w:val="0"/>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具体支出情况如下：</w:t>
      </w:r>
    </w:p>
    <w:p>
      <w:pPr>
        <w:widowControl/>
        <w:kinsoku w:val="0"/>
        <w:overflowPunct w:val="0"/>
        <w:adjustRightInd w:val="0"/>
        <w:snapToGrid w:val="0"/>
        <w:spacing w:line="600" w:lineRule="exact"/>
        <w:ind w:firstLine="636"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pacing w:val="-1"/>
          <w:kern w:val="0"/>
          <w:sz w:val="32"/>
          <w:szCs w:val="32"/>
        </w:rPr>
        <w:t>（一）因公出国（境）费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kern w:val="0"/>
          <w:sz w:val="32"/>
          <w:szCs w:val="32"/>
        </w:rPr>
        <w:t>与上年持平，</w:t>
      </w:r>
      <w:r>
        <w:rPr>
          <w:rFonts w:hint="eastAsia" w:ascii="仿宋_GB2312" w:hAnsi="仿宋_GB2312" w:eastAsia="仿宋_GB2312" w:cs="仿宋_GB2312"/>
          <w:bCs/>
          <w:color w:val="000000"/>
          <w:kern w:val="0"/>
          <w:sz w:val="32"/>
          <w:szCs w:val="32"/>
        </w:rPr>
        <w:t>持平原因是单位没有因公出国（境）事务支出预算</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 xml:space="preserve">              </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w:t>
      </w:r>
      <w:r>
        <w:rPr>
          <w:rFonts w:hint="eastAsia" w:ascii="仿宋_GB2312" w:hAnsi="仿宋_GB2312" w:eastAsia="仿宋_GB2312" w:cs="仿宋_GB2312"/>
          <w:color w:val="000000"/>
          <w:spacing w:val="-1"/>
          <w:kern w:val="0"/>
          <w:sz w:val="32"/>
          <w:szCs w:val="32"/>
        </w:rPr>
        <w:t>公务接待费</w:t>
      </w:r>
      <w:r>
        <w:rPr>
          <w:rFonts w:ascii="仿宋_GB2312" w:hAnsi="仿宋_GB2312" w:eastAsia="仿宋_GB2312" w:cs="仿宋_GB2312"/>
          <w:color w:val="000000"/>
          <w:kern w:val="0"/>
          <w:sz w:val="32"/>
          <w:szCs w:val="32"/>
        </w:rPr>
        <w:t>3.36</w:t>
      </w:r>
      <w:r>
        <w:rPr>
          <w:rFonts w:hint="eastAsia" w:ascii="仿宋_GB2312" w:hAnsi="仿宋_GB2312" w:eastAsia="仿宋_GB2312" w:cs="仿宋_GB2312"/>
          <w:color w:val="000000"/>
          <w:kern w:val="0"/>
          <w:sz w:val="32"/>
          <w:szCs w:val="32"/>
        </w:rPr>
        <w:t>万元，</w:t>
      </w:r>
      <w:r>
        <w:rPr>
          <w:rFonts w:hint="eastAsia" w:ascii="仿宋" w:hAnsi="仿宋" w:eastAsia="仿宋" w:cs="宋体"/>
          <w:kern w:val="0"/>
          <w:sz w:val="32"/>
          <w:szCs w:val="32"/>
        </w:rPr>
        <w:t>主要用于接待学校日常教学交流，教育教学活动及常规检查工作餐，</w:t>
      </w:r>
      <w:r>
        <w:rPr>
          <w:rFonts w:hint="eastAsia" w:ascii="仿宋_GB2312" w:hAnsi="仿宋_GB2312" w:eastAsia="仿宋_GB2312" w:cs="仿宋_GB2312"/>
          <w:color w:val="000000"/>
          <w:kern w:val="0"/>
          <w:sz w:val="32"/>
          <w:szCs w:val="32"/>
        </w:rPr>
        <w:t>比 2021年下降0.</w:t>
      </w:r>
      <w:r>
        <w:rPr>
          <w:rFonts w:ascii="仿宋_GB2312" w:hAnsi="仿宋_GB2312" w:eastAsia="仿宋_GB2312" w:cs="仿宋_GB2312"/>
          <w:color w:val="000000"/>
          <w:kern w:val="0"/>
          <w:sz w:val="32"/>
          <w:szCs w:val="32"/>
        </w:rPr>
        <w:t>01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rPr>
        <w:t>本单位节约开支。</w:t>
      </w:r>
    </w:p>
    <w:p>
      <w:pPr>
        <w:widowControl/>
        <w:kinsoku w:val="0"/>
        <w:overflowPunct w:val="0"/>
        <w:adjustRightInd w:val="0"/>
        <w:snapToGrid w:val="0"/>
        <w:spacing w:line="600" w:lineRule="exact"/>
        <w:ind w:firstLine="636"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pacing w:val="-1"/>
          <w:kern w:val="0"/>
          <w:sz w:val="32"/>
          <w:szCs w:val="32"/>
        </w:rPr>
        <w:t>（三）</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运行费年初预算0万元，与上年持平，持平原因是单位没有公务用车；公务用车购置费为0万元，公务用车车辆为0辆，公车保有量为0辆。公务用车运行维护费0万元。</w:t>
      </w:r>
    </w:p>
    <w:p>
      <w:pPr>
        <w:pStyle w:val="7"/>
        <w:numPr>
          <w:ilvl w:val="0"/>
          <w:numId w:val="1"/>
        </w:numPr>
        <w:spacing w:line="600" w:lineRule="exact"/>
        <w:ind w:firstLineChars="0"/>
        <w:rPr>
          <w:rFonts w:ascii="楷体_GB2312" w:eastAsia="楷体_GB2312"/>
          <w:b/>
          <w:color w:val="000000"/>
          <w:sz w:val="32"/>
          <w:szCs w:val="32"/>
        </w:rPr>
      </w:pPr>
      <w:r>
        <w:rPr>
          <w:rFonts w:hint="eastAsia" w:ascii="楷体_GB2312" w:eastAsia="楷体_GB2312"/>
          <w:b/>
          <w:color w:val="000000"/>
          <w:sz w:val="32"/>
          <w:szCs w:val="32"/>
        </w:rPr>
        <w:t>政府性基金预算</w:t>
      </w:r>
      <w:r>
        <w:rPr>
          <w:rFonts w:ascii="楷体_GB2312" w:eastAsia="楷体_GB2312"/>
          <w:b/>
          <w:color w:val="000000"/>
          <w:sz w:val="32"/>
          <w:szCs w:val="32"/>
        </w:rPr>
        <w:t>支出</w:t>
      </w:r>
      <w:r>
        <w:rPr>
          <w:rFonts w:hint="eastAsia" w:ascii="楷体_GB2312" w:eastAsia="楷体_GB2312"/>
          <w:b/>
          <w:color w:val="000000"/>
          <w:sz w:val="32"/>
          <w:szCs w:val="32"/>
        </w:rPr>
        <w:t>预算</w:t>
      </w:r>
      <w:r>
        <w:rPr>
          <w:rFonts w:ascii="楷体_GB2312" w:eastAsia="楷体_GB2312"/>
          <w:b/>
          <w:color w:val="000000"/>
          <w:sz w:val="32"/>
          <w:szCs w:val="32"/>
        </w:rPr>
        <w:t>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新县浒湾乡中心学校2022年</w:t>
      </w:r>
      <w:r>
        <w:rPr>
          <w:rFonts w:ascii="仿宋" w:hAnsi="仿宋" w:eastAsia="仿宋" w:cs="宋体"/>
          <w:kern w:val="0"/>
          <w:sz w:val="32"/>
          <w:szCs w:val="32"/>
        </w:rPr>
        <w:t>政府性基金预算支出</w:t>
      </w:r>
      <w:r>
        <w:rPr>
          <w:rFonts w:hint="eastAsia" w:ascii="仿宋" w:hAnsi="仿宋" w:eastAsia="仿宋" w:cs="宋体"/>
          <w:kern w:val="0"/>
          <w:sz w:val="32"/>
          <w:szCs w:val="32"/>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单位</w:t>
      </w:r>
      <w:r>
        <w:rPr>
          <w:rFonts w:hint="eastAsia" w:ascii="仿宋" w:hAnsi="仿宋" w:eastAsia="仿宋" w:cs="宋体"/>
          <w:kern w:val="0"/>
          <w:sz w:val="32"/>
          <w:szCs w:val="32"/>
        </w:rPr>
        <w:t>无政府性基金收入预算，因此没有支出预算数据。</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十、</w:t>
      </w:r>
      <w:r>
        <w:rPr>
          <w:rFonts w:ascii="楷体_GB2312" w:eastAsia="楷体_GB2312"/>
          <w:b/>
          <w:color w:val="000000"/>
          <w:sz w:val="32"/>
          <w:szCs w:val="32"/>
        </w:rPr>
        <w:t>其他重要事项</w:t>
      </w:r>
      <w:r>
        <w:rPr>
          <w:rFonts w:hint="eastAsia" w:ascii="楷体_GB2312" w:eastAsia="楷体_GB2312"/>
          <w:b/>
          <w:color w:val="000000"/>
          <w:sz w:val="32"/>
          <w:szCs w:val="32"/>
        </w:rPr>
        <w:t>的</w:t>
      </w:r>
      <w:r>
        <w:rPr>
          <w:rFonts w:ascii="楷体_GB2312" w:eastAsia="楷体_GB2312"/>
          <w:b/>
          <w:color w:val="000000"/>
          <w:sz w:val="32"/>
          <w:szCs w:val="32"/>
        </w:rPr>
        <w:t>情况说明</w:t>
      </w:r>
    </w:p>
    <w:p>
      <w:pPr>
        <w:widowControl/>
        <w:spacing w:line="600" w:lineRule="exact"/>
        <w:jc w:val="left"/>
        <w:rPr>
          <w:rFonts w:ascii="仿宋_GB2312" w:hAnsi="仿宋_GB2312" w:eastAsia="仿宋_GB2312" w:cs="仿宋_GB2312"/>
          <w:color w:val="000000"/>
          <w:kern w:val="0"/>
          <w:sz w:val="32"/>
          <w:szCs w:val="32"/>
        </w:rPr>
      </w:pPr>
      <w:r>
        <w:rPr>
          <w:color w:val="000000"/>
          <w:kern w:val="0"/>
          <w:sz w:val="32"/>
          <w:szCs w:val="32"/>
        </w:rPr>
        <w:t xml:space="preserve">    </w:t>
      </w:r>
      <w:r>
        <w:rPr>
          <w:rFonts w:hint="eastAsia"/>
          <w:b/>
          <w:bCs/>
          <w:color w:val="000000"/>
          <w:kern w:val="0"/>
          <w:sz w:val="32"/>
          <w:szCs w:val="32"/>
        </w:rPr>
        <w:t>（一）</w:t>
      </w:r>
      <w:r>
        <w:rPr>
          <w:rFonts w:hint="eastAsia" w:ascii="仿宋_GB2312" w:hAnsi="仿宋_GB2312" w:eastAsia="仿宋_GB2312" w:cs="仿宋_GB2312"/>
          <w:b/>
          <w:bCs/>
          <w:color w:val="000000"/>
          <w:kern w:val="0"/>
          <w:sz w:val="32"/>
          <w:szCs w:val="32"/>
        </w:rPr>
        <w:t>机关运行经费支出情况</w:t>
      </w:r>
    </w:p>
    <w:p>
      <w:pPr>
        <w:widowControl/>
        <w:spacing w:line="600" w:lineRule="exact"/>
        <w:ind w:firstLine="64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新县浒湾乡中心学校不属于行政单位或参照公务员法管理的事业单位，故没有该项开支。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hint="eastAsia" w:ascii="仿宋_GB2312" w:hAnsi="仿宋_GB2312" w:eastAsia="仿宋_GB2312" w:cs="仿宋_GB2312"/>
          <w:b/>
          <w:bCs/>
          <w:color w:val="000000"/>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单位2022年预算项目均按要求编制了绩效目标，从项目产出、项目效益、满意度等方面设置了绩效目标，综合反映项目预期完成的数量、实效、质量，预期达到的社会经济效益、可持续影响以及对象满意度等情况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rPr>
        <w:t>21</w:t>
      </w:r>
      <w:r>
        <w:rPr>
          <w:rFonts w:ascii="仿宋" w:hAnsi="仿宋" w:eastAsia="仿宋" w:cs="宋体"/>
          <w:kern w:val="0"/>
          <w:sz w:val="32"/>
          <w:szCs w:val="32"/>
        </w:rPr>
        <w:t>年期末，</w:t>
      </w:r>
      <w:r>
        <w:rPr>
          <w:rFonts w:hint="eastAsia" w:ascii="仿宋" w:hAnsi="仿宋" w:eastAsia="仿宋" w:cs="宋体"/>
          <w:kern w:val="0"/>
          <w:sz w:val="32"/>
          <w:szCs w:val="32"/>
        </w:rPr>
        <w:t>新县浒湾乡中心学校</w:t>
      </w:r>
      <w:r>
        <w:rPr>
          <w:rFonts w:ascii="仿宋" w:hAnsi="仿宋" w:eastAsia="仿宋" w:cs="宋体"/>
          <w:kern w:val="0"/>
          <w:sz w:val="32"/>
          <w:szCs w:val="32"/>
        </w:rPr>
        <w:t>共有车辆</w:t>
      </w:r>
      <w:r>
        <w:rPr>
          <w:rFonts w:hint="eastAsia" w:ascii="仿宋" w:hAnsi="仿宋" w:eastAsia="仿宋" w:cs="宋体"/>
          <w:kern w:val="0"/>
          <w:sz w:val="32"/>
          <w:szCs w:val="32"/>
        </w:rPr>
        <w:t>0</w:t>
      </w:r>
      <w:r>
        <w:rPr>
          <w:rFonts w:ascii="仿宋" w:hAnsi="仿宋" w:eastAsia="仿宋" w:cs="宋体"/>
          <w:kern w:val="0"/>
          <w:sz w:val="32"/>
          <w:szCs w:val="32"/>
        </w:rPr>
        <w:t>辆，其中：一般公务用车</w:t>
      </w:r>
      <w:r>
        <w:rPr>
          <w:rFonts w:hint="eastAsia" w:ascii="仿宋" w:hAnsi="仿宋" w:eastAsia="仿宋" w:cs="宋体"/>
          <w:kern w:val="0"/>
          <w:sz w:val="32"/>
          <w:szCs w:val="32"/>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、一般执法执勤用车0辆、其他用车0辆，其他用车无</w:t>
      </w:r>
      <w:r>
        <w:rPr>
          <w:rFonts w:ascii="仿宋" w:hAnsi="仿宋" w:eastAsia="仿宋" w:cs="宋体"/>
          <w:kern w:val="0"/>
          <w:sz w:val="32"/>
          <w:szCs w:val="32"/>
        </w:rPr>
        <w:t>；单价50万元以上通用设备</w:t>
      </w:r>
      <w:r>
        <w:rPr>
          <w:rFonts w:hint="eastAsia" w:ascii="仿宋" w:hAnsi="仿宋" w:eastAsia="仿宋" w:cs="宋体"/>
          <w:kern w:val="0"/>
          <w:sz w:val="32"/>
          <w:szCs w:val="32"/>
        </w:rPr>
        <w:t>0套，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rPr>
        <w:t>0套</w:t>
      </w:r>
      <w:r>
        <w:rPr>
          <w:rFonts w:ascii="仿宋" w:hAnsi="仿宋" w:eastAsia="仿宋" w:cs="宋体"/>
          <w:kern w:val="0"/>
          <w:sz w:val="32"/>
          <w:szCs w:val="32"/>
        </w:rPr>
        <w:t>。</w:t>
      </w:r>
    </w:p>
    <w:p>
      <w:pPr>
        <w:widowControl/>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（五）、专项转移支付项目情况</w:t>
      </w:r>
    </w:p>
    <w:p>
      <w:pPr>
        <w:widowControl/>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新县浒湾乡中心学校2022年无专项转移支付项目。</w:t>
      </w:r>
    </w:p>
    <w:p>
      <w:pPr>
        <w:widowControl/>
        <w:adjustRightInd w:val="0"/>
        <w:snapToGrid w:val="0"/>
        <w:spacing w:line="600" w:lineRule="exact"/>
        <w:jc w:val="center"/>
        <w:rPr>
          <w:rFonts w:hAnsi="黑体" w:eastAsia="黑体"/>
          <w:color w:val="000000"/>
          <w:kern w:val="0"/>
          <w:sz w:val="32"/>
          <w:szCs w:val="32"/>
        </w:rPr>
      </w:pPr>
      <w:r>
        <w:rPr>
          <w:rFonts w:hint="eastAsia" w:hAnsi="黑体" w:eastAsia="黑体"/>
          <w:color w:val="000000"/>
          <w:kern w:val="0"/>
          <w:sz w:val="32"/>
          <w:szCs w:val="32"/>
        </w:rPr>
        <w:t xml:space="preserve">   </w:t>
      </w:r>
    </w:p>
    <w:p>
      <w:pPr>
        <w:widowControl/>
        <w:adjustRightInd w:val="0"/>
        <w:snapToGrid w:val="0"/>
        <w:spacing w:line="600" w:lineRule="exact"/>
        <w:jc w:val="center"/>
        <w:rPr>
          <w:rFonts w:hAnsi="黑体" w:eastAsia="黑体"/>
          <w:color w:val="000000"/>
          <w:kern w:val="0"/>
          <w:sz w:val="32"/>
          <w:szCs w:val="32"/>
        </w:rPr>
      </w:pPr>
      <w:r>
        <w:rPr>
          <w:rFonts w:hint="eastAsia" w:hAnsi="黑体" w:eastAsia="黑体"/>
          <w:color w:val="000000"/>
          <w:kern w:val="0"/>
          <w:sz w:val="32"/>
          <w:szCs w:val="32"/>
        </w:rPr>
        <w:t xml:space="preserve">   </w:t>
      </w: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p>
    <w:p>
      <w:pPr>
        <w:widowControl/>
        <w:adjustRightInd w:val="0"/>
        <w:snapToGrid w:val="0"/>
        <w:spacing w:line="600" w:lineRule="exact"/>
        <w:jc w:val="center"/>
        <w:rPr>
          <w:rFonts w:hAnsi="黑体" w:eastAsia="黑体"/>
          <w:color w:val="000000"/>
          <w:kern w:val="0"/>
          <w:sz w:val="32"/>
          <w:szCs w:val="32"/>
        </w:rPr>
      </w:pPr>
      <w:r>
        <w:rPr>
          <w:rFonts w:hint="eastAsia" w:hAnsi="黑体" w:eastAsia="黑体"/>
          <w:color w:val="000000"/>
          <w:kern w:val="0"/>
          <w:sz w:val="32"/>
          <w:szCs w:val="32"/>
        </w:rPr>
        <w:t xml:space="preserve"> </w:t>
      </w:r>
      <w:r>
        <w:rPr>
          <w:rFonts w:hAnsi="黑体" w:eastAsia="黑体"/>
          <w:color w:val="000000"/>
          <w:kern w:val="0"/>
          <w:sz w:val="32"/>
          <w:szCs w:val="32"/>
        </w:rPr>
        <w:t xml:space="preserve">  </w:t>
      </w:r>
      <w:r>
        <w:rPr>
          <w:rFonts w:hint="eastAsia" w:hAnsi="黑体" w:eastAsia="黑体"/>
          <w:color w:val="000000"/>
          <w:kern w:val="0"/>
          <w:sz w:val="32"/>
          <w:szCs w:val="32"/>
        </w:rPr>
        <w:t>第三部分</w:t>
      </w:r>
    </w:p>
    <w:p>
      <w:pPr>
        <w:widowControl/>
        <w:adjustRightInd w:val="0"/>
        <w:snapToGrid w:val="0"/>
        <w:spacing w:line="600" w:lineRule="exact"/>
        <w:ind w:firstLine="480" w:firstLineChars="150"/>
        <w:jc w:val="center"/>
        <w:rPr>
          <w:rFonts w:eastAsia="黑体"/>
          <w:color w:val="000000"/>
          <w:kern w:val="0"/>
          <w:sz w:val="32"/>
          <w:szCs w:val="32"/>
        </w:rPr>
      </w:pPr>
      <w:r>
        <w:rPr>
          <w:rFonts w:hAnsi="黑体" w:eastAsia="黑体"/>
          <w:color w:val="000000"/>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 HYPERLINK "http://www.haedu.gov.cn/UserFiles/File/201803/20180309144718540.doc" </w:instrText>
      </w:r>
      <w:r>
        <w:fldChar w:fldCharType="separate"/>
      </w:r>
      <w:r>
        <w:rPr>
          <w:rFonts w:hint="eastAsia" w:ascii="仿宋" w:hAnsi="仿宋" w:eastAsia="仿宋" w:cs="仿宋"/>
          <w:sz w:val="32"/>
          <w:szCs w:val="32"/>
        </w:rPr>
        <w:t>新县浒湾乡中心学校</w:t>
      </w:r>
      <w:r>
        <w:rPr>
          <w:rFonts w:hint="eastAsia" w:ascii="仿宋" w:hAnsi="仿宋" w:eastAsia="仿宋" w:cs="宋体"/>
          <w:kern w:val="0"/>
          <w:sz w:val="32"/>
          <w:szCs w:val="32"/>
        </w:rPr>
        <w:t>2022年预算表</w:t>
      </w:r>
      <w:r>
        <w:rPr>
          <w:rFonts w:hint="eastAsia" w:ascii="仿宋" w:hAnsi="仿宋" w:eastAsia="仿宋" w:cs="宋体"/>
          <w:kern w:val="0"/>
          <w:sz w:val="32"/>
          <w:szCs w:val="32"/>
        </w:rP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pgNumType w:chapStyle="1"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412C3F"/>
    <w:multiLevelType w:val="multilevel"/>
    <w:tmpl w:val="1C412C3F"/>
    <w:lvl w:ilvl="0" w:tentative="0">
      <w:start w:val="9"/>
      <w:numFmt w:val="japaneseCounting"/>
      <w:lvlText w:val="%1、"/>
      <w:lvlJc w:val="left"/>
      <w:pPr>
        <w:ind w:left="1429" w:hanging="720"/>
      </w:pPr>
      <w:rPr>
        <w:rFonts w:hint="default"/>
      </w:rPr>
    </w:lvl>
    <w:lvl w:ilvl="1" w:tentative="0">
      <w:start w:val="1"/>
      <w:numFmt w:val="lowerLetter"/>
      <w:lvlText w:val="%2)"/>
      <w:lvlJc w:val="left"/>
      <w:pPr>
        <w:ind w:left="1589" w:hanging="440"/>
      </w:pPr>
    </w:lvl>
    <w:lvl w:ilvl="2" w:tentative="0">
      <w:start w:val="1"/>
      <w:numFmt w:val="lowerRoman"/>
      <w:lvlText w:val="%3."/>
      <w:lvlJc w:val="right"/>
      <w:pPr>
        <w:ind w:left="2029" w:hanging="440"/>
      </w:pPr>
    </w:lvl>
    <w:lvl w:ilvl="3" w:tentative="0">
      <w:start w:val="1"/>
      <w:numFmt w:val="decimal"/>
      <w:lvlText w:val="%4."/>
      <w:lvlJc w:val="left"/>
      <w:pPr>
        <w:ind w:left="2469" w:hanging="440"/>
      </w:pPr>
    </w:lvl>
    <w:lvl w:ilvl="4" w:tentative="0">
      <w:start w:val="1"/>
      <w:numFmt w:val="lowerLetter"/>
      <w:lvlText w:val="%5)"/>
      <w:lvlJc w:val="left"/>
      <w:pPr>
        <w:ind w:left="2909" w:hanging="440"/>
      </w:pPr>
    </w:lvl>
    <w:lvl w:ilvl="5" w:tentative="0">
      <w:start w:val="1"/>
      <w:numFmt w:val="lowerRoman"/>
      <w:lvlText w:val="%6."/>
      <w:lvlJc w:val="right"/>
      <w:pPr>
        <w:ind w:left="3349" w:hanging="440"/>
      </w:pPr>
    </w:lvl>
    <w:lvl w:ilvl="6" w:tentative="0">
      <w:start w:val="1"/>
      <w:numFmt w:val="decimal"/>
      <w:lvlText w:val="%7."/>
      <w:lvlJc w:val="left"/>
      <w:pPr>
        <w:ind w:left="3789" w:hanging="440"/>
      </w:pPr>
    </w:lvl>
    <w:lvl w:ilvl="7" w:tentative="0">
      <w:start w:val="1"/>
      <w:numFmt w:val="lowerLetter"/>
      <w:lvlText w:val="%8)"/>
      <w:lvlJc w:val="left"/>
      <w:pPr>
        <w:ind w:left="4229" w:hanging="440"/>
      </w:pPr>
    </w:lvl>
    <w:lvl w:ilvl="8" w:tentative="0">
      <w:start w:val="1"/>
      <w:numFmt w:val="lowerRoman"/>
      <w:lvlText w:val="%9."/>
      <w:lvlJc w:val="right"/>
      <w:pPr>
        <w:ind w:left="4669"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wMmY3M2Y5YjE0MDNkNDkxOGUxMjNiZmNiYzZjZTgifQ=="/>
    <w:docVar w:name="KSO_WPS_MARK_KEY" w:val="fe33f451-6d95-4a47-94b9-2762ccb5357b"/>
  </w:docVars>
  <w:rsids>
    <w:rsidRoot w:val="7B8B0CE7"/>
    <w:rsid w:val="00037AA4"/>
    <w:rsid w:val="000D4C06"/>
    <w:rsid w:val="00101A52"/>
    <w:rsid w:val="00146081"/>
    <w:rsid w:val="00167ACC"/>
    <w:rsid w:val="001E10D2"/>
    <w:rsid w:val="001E1D9B"/>
    <w:rsid w:val="00250E7A"/>
    <w:rsid w:val="00373343"/>
    <w:rsid w:val="003777BC"/>
    <w:rsid w:val="00433769"/>
    <w:rsid w:val="005C42C7"/>
    <w:rsid w:val="006D7E50"/>
    <w:rsid w:val="007B43A3"/>
    <w:rsid w:val="007E2658"/>
    <w:rsid w:val="00864C11"/>
    <w:rsid w:val="008B1A1F"/>
    <w:rsid w:val="008E297C"/>
    <w:rsid w:val="00A71BFE"/>
    <w:rsid w:val="00AE1050"/>
    <w:rsid w:val="00AE76B2"/>
    <w:rsid w:val="00B33A66"/>
    <w:rsid w:val="00CB5DFF"/>
    <w:rsid w:val="00D53CB2"/>
    <w:rsid w:val="00E07CFA"/>
    <w:rsid w:val="00E84539"/>
    <w:rsid w:val="00FB0F2F"/>
    <w:rsid w:val="00FE2230"/>
    <w:rsid w:val="016814B1"/>
    <w:rsid w:val="01BC170F"/>
    <w:rsid w:val="01FE1C73"/>
    <w:rsid w:val="02F73C38"/>
    <w:rsid w:val="049038AD"/>
    <w:rsid w:val="07464042"/>
    <w:rsid w:val="0A083831"/>
    <w:rsid w:val="0BA93258"/>
    <w:rsid w:val="0C774C9E"/>
    <w:rsid w:val="0CDD6628"/>
    <w:rsid w:val="0DF30354"/>
    <w:rsid w:val="0E060087"/>
    <w:rsid w:val="0E511C4A"/>
    <w:rsid w:val="12421961"/>
    <w:rsid w:val="13511DA5"/>
    <w:rsid w:val="14771CDF"/>
    <w:rsid w:val="15E4769E"/>
    <w:rsid w:val="17285513"/>
    <w:rsid w:val="177613E5"/>
    <w:rsid w:val="18270C24"/>
    <w:rsid w:val="1A7A1B5C"/>
    <w:rsid w:val="1B897503"/>
    <w:rsid w:val="1BE730A7"/>
    <w:rsid w:val="22CC089A"/>
    <w:rsid w:val="23D721BF"/>
    <w:rsid w:val="23DA1943"/>
    <w:rsid w:val="24FD7FDE"/>
    <w:rsid w:val="26C37006"/>
    <w:rsid w:val="29FF0355"/>
    <w:rsid w:val="2A41271B"/>
    <w:rsid w:val="2A810D6A"/>
    <w:rsid w:val="2B216024"/>
    <w:rsid w:val="2B3F7867"/>
    <w:rsid w:val="2D8D7A26"/>
    <w:rsid w:val="2F7C5FA4"/>
    <w:rsid w:val="3071362F"/>
    <w:rsid w:val="31B05432"/>
    <w:rsid w:val="31D238AE"/>
    <w:rsid w:val="32C739DA"/>
    <w:rsid w:val="35623C78"/>
    <w:rsid w:val="37714155"/>
    <w:rsid w:val="37BF4EB1"/>
    <w:rsid w:val="384D4981"/>
    <w:rsid w:val="39B05E71"/>
    <w:rsid w:val="3A5E1856"/>
    <w:rsid w:val="3B3F4C52"/>
    <w:rsid w:val="3BF55114"/>
    <w:rsid w:val="3C3A6FCB"/>
    <w:rsid w:val="3F586B0E"/>
    <w:rsid w:val="427C658F"/>
    <w:rsid w:val="42DE756D"/>
    <w:rsid w:val="43000F6E"/>
    <w:rsid w:val="482A083B"/>
    <w:rsid w:val="485D29BF"/>
    <w:rsid w:val="494F4FF5"/>
    <w:rsid w:val="4C68074A"/>
    <w:rsid w:val="4CE93B6B"/>
    <w:rsid w:val="4EDB463D"/>
    <w:rsid w:val="4F5E2074"/>
    <w:rsid w:val="4FBA6063"/>
    <w:rsid w:val="52AF3C5D"/>
    <w:rsid w:val="55E541CD"/>
    <w:rsid w:val="56A705AA"/>
    <w:rsid w:val="56BA722E"/>
    <w:rsid w:val="56DE6BF7"/>
    <w:rsid w:val="57376F68"/>
    <w:rsid w:val="58065F40"/>
    <w:rsid w:val="592F4A9C"/>
    <w:rsid w:val="59745DBA"/>
    <w:rsid w:val="59BB53CD"/>
    <w:rsid w:val="59C701CA"/>
    <w:rsid w:val="59EC13E9"/>
    <w:rsid w:val="5B4F2955"/>
    <w:rsid w:val="5C052CF9"/>
    <w:rsid w:val="5FBF7663"/>
    <w:rsid w:val="61E63FF8"/>
    <w:rsid w:val="62840EFC"/>
    <w:rsid w:val="634D36B1"/>
    <w:rsid w:val="64F102BF"/>
    <w:rsid w:val="66DA0D0B"/>
    <w:rsid w:val="68AE7E78"/>
    <w:rsid w:val="69790883"/>
    <w:rsid w:val="69912070"/>
    <w:rsid w:val="69C87CDE"/>
    <w:rsid w:val="6B881251"/>
    <w:rsid w:val="6ECC70EF"/>
    <w:rsid w:val="70131A31"/>
    <w:rsid w:val="711F3873"/>
    <w:rsid w:val="71F96A05"/>
    <w:rsid w:val="72C85609"/>
    <w:rsid w:val="733E3340"/>
    <w:rsid w:val="74182DFC"/>
    <w:rsid w:val="74AE3AD6"/>
    <w:rsid w:val="762A3631"/>
    <w:rsid w:val="76D0242A"/>
    <w:rsid w:val="76D82194"/>
    <w:rsid w:val="76F61765"/>
    <w:rsid w:val="77C41863"/>
    <w:rsid w:val="7AB43E11"/>
    <w:rsid w:val="7B8B0CE7"/>
    <w:rsid w:val="7C1A5EF5"/>
    <w:rsid w:val="7D056BA5"/>
    <w:rsid w:val="7D5576BD"/>
    <w:rsid w:val="7ECD72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page number"/>
    <w:basedOn w:val="5"/>
    <w:qFormat/>
    <w:uiPriority w:val="0"/>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3089</Words>
  <Characters>3285</Characters>
  <Lines>25</Lines>
  <Paragraphs>7</Paragraphs>
  <TotalTime>26</TotalTime>
  <ScaleCrop>false</ScaleCrop>
  <LinksUpToDate>false</LinksUpToDate>
  <CharactersWithSpaces>3334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2022-09-07T15:27:00Z</dcterms:created>
  <dc:creator>Administrator</dc:creator>
  <cp:lastModifiedBy>张小乐啊</cp:lastModifiedBy>
  <dcterms:modified xsi:type="dcterms:W3CDTF">2024-03-13T07:49:52Z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CD9A8F2A682948AD86978ED91CC945CA_13</vt:lpwstr>
  </property>
</Properties>
</file>