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40"/>
        </w:rPr>
        <w:t>港口经营许可（变更）办理规程</w:t>
      </w:r>
    </w:p>
    <w:p>
      <w:pPr>
        <w:spacing w:beforeLines="100" w:afterLines="100"/>
        <w:rPr>
          <w:rFonts w:ascii="黑体" w:hAnsi="黑体" w:eastAsia="黑体" w:cs="黑体"/>
        </w:rPr>
      </w:pPr>
      <w:r>
        <w:rPr>
          <w:rFonts w:hint="eastAsia" w:ascii="黑体" w:hAnsi="黑体" w:eastAsia="黑体" w:cs="黑体"/>
        </w:rPr>
        <w:t>1  事项名称及编码</w:t>
      </w:r>
    </w:p>
    <w:p>
      <w:pPr>
        <w:ind w:firstLine="420" w:firstLineChars="200"/>
        <w:rPr>
          <w:rFonts w:ascii="宋体" w:hAnsi="宋体" w:eastAsia="宋体" w:cs="宋体"/>
        </w:rPr>
      </w:pPr>
      <w:r>
        <w:rPr>
          <w:rFonts w:hint="eastAsia" w:ascii="宋体" w:hAnsi="宋体" w:eastAsia="宋体" w:cs="宋体"/>
        </w:rPr>
        <w:t>港口经营许可（变更）  006112054XKCD691003</w:t>
      </w:r>
    </w:p>
    <w:p>
      <w:pPr>
        <w:spacing w:beforeLines="100" w:afterLines="100"/>
        <w:rPr>
          <w:rFonts w:ascii="黑体" w:hAnsi="黑体" w:eastAsia="黑体" w:cs="黑体"/>
        </w:rPr>
      </w:pPr>
      <w:r>
        <w:rPr>
          <w:rFonts w:hint="eastAsia" w:ascii="黑体" w:hAnsi="黑体" w:eastAsia="黑体" w:cs="黑体"/>
        </w:rPr>
        <w:t>2  事项类型</w:t>
      </w:r>
    </w:p>
    <w:p>
      <w:pPr>
        <w:ind w:firstLine="420" w:firstLineChars="200"/>
        <w:rPr>
          <w:rFonts w:ascii="宋体" w:hAnsi="宋体" w:eastAsia="宋体" w:cs="宋体"/>
        </w:rPr>
      </w:pPr>
      <w:r>
        <w:rPr>
          <w:rFonts w:ascii="宋体" w:hAnsi="宋体" w:eastAsia="宋体" w:cs="宋体"/>
        </w:rPr>
        <w:t>行政许可</w:t>
      </w:r>
    </w:p>
    <w:p>
      <w:pPr>
        <w:spacing w:beforeLines="100" w:afterLines="100"/>
        <w:rPr>
          <w:rFonts w:ascii="黑体" w:hAnsi="黑体" w:eastAsia="黑体" w:cs="黑体"/>
        </w:rPr>
      </w:pPr>
      <w:r>
        <w:rPr>
          <w:rFonts w:hint="eastAsia" w:ascii="黑体" w:hAnsi="黑体" w:eastAsia="黑体" w:cs="黑体"/>
        </w:rPr>
        <w:t>3  设立依据</w:t>
      </w:r>
    </w:p>
    <w:p>
      <w:pPr>
        <w:spacing w:beforeLines="100" w:afterLines="100"/>
        <w:rPr>
          <w:rFonts w:hint="eastAsia" w:ascii="宋体" w:hAnsi="宋体" w:eastAsia="宋体" w:cs="宋体"/>
        </w:rPr>
      </w:pPr>
      <w:r>
        <w:rPr>
          <w:rFonts w:hint="eastAsia" w:ascii="宋体" w:hAnsi="宋体" w:eastAsia="宋体" w:cs="宋体"/>
        </w:rPr>
        <w:t>《中华人民共和国港口法》（2003年6月28日主席令第5号，2015年4月24日予以修改）第二十二条：从事港口经营，应当向港口行政管理部门书面申请取得港口经营许可，并依法办理工商登记。</w:t>
      </w:r>
    </w:p>
    <w:p>
      <w:pPr>
        <w:spacing w:beforeLines="100" w:afterLines="100"/>
        <w:rPr>
          <w:rFonts w:ascii="黑体" w:hAnsi="黑体" w:eastAsia="黑体" w:cs="黑体"/>
        </w:rPr>
      </w:pPr>
      <w:r>
        <w:rPr>
          <w:rFonts w:hint="eastAsia" w:ascii="黑体" w:hAnsi="黑体" w:eastAsia="黑体" w:cs="黑体"/>
        </w:rPr>
        <w:t>4  受理机构</w:t>
      </w: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rPr>
          <w:rFonts w:ascii="黑体" w:hAnsi="黑体" w:eastAsia="黑体" w:cs="黑体"/>
        </w:rPr>
      </w:pPr>
      <w:r>
        <w:rPr>
          <w:rFonts w:hint="eastAsia" w:ascii="黑体" w:hAnsi="黑体" w:eastAsia="黑体" w:cs="黑体"/>
        </w:rPr>
        <w:t>6  办理条件</w:t>
      </w:r>
    </w:p>
    <w:p>
      <w:pPr>
        <w:spacing w:beforeLines="100" w:afterLines="100"/>
        <w:ind w:firstLine="420"/>
        <w:rPr>
          <w:rFonts w:ascii="宋体" w:hAnsi="宋体" w:eastAsia="宋体" w:cs="宋体"/>
        </w:rPr>
      </w:pPr>
      <w:r>
        <w:rPr>
          <w:rFonts w:hint="eastAsia" w:ascii="宋体" w:hAnsi="宋体" w:eastAsia="宋体" w:cs="宋体"/>
        </w:rPr>
        <w:t>港口经营许可（内河）1.有固定的经营场所和相应的组织机构。2.有与经营范围、规模相适应的符合规定的港口设施、设备，其中：（1）码头及其他港口设施服务①码头设施应当符合有关港口建设的法律、法规及技术标准；②有相应的船舶污染物、废弃物接收能力，配备必要的设施、设备和器材。（2）港口旅客运输服务①码头、客运站等固定设施应当符合有关港口建设的法律、法规及技术标准；②应当具备至少能遮蔽风、雨、雪的候船和上下船设施。（3）货物装卸、仓储服务①码头、库场、储罐、污水处理设施等固定设施，应当符合有关港口建设的法律、法规及技术标准；②应当具备相应的装卸、搬运、堆存的设施设备。（4）港口拖轮、驳运服务①有与经营范围、规模相适应的码头等设施；②有与经营范围、规模相适应的拖轮、驳船等设施。（5）船舶港口服务①为船舶提供岸电服务，应当具备相应岸上供电设施、设备；②为船舶提供淡水、物料供应服务，应当具备相应的服务设施、设备；③为船舶提供油料供应服务，应当具备相应的岸基供油设施、设备；④为船舶提供围油栏供应服务，应当具备相应的围油栏作业船和围油栏等设施。（5）港口设施、设备和港口机械的租赁、维修服务从事港口设施、设备和港口机械的租赁服务，其港口设施、设备和港口机械应当合格。3.有与经营范围、规模相适应的专业技术人员、特种作业人员、相应资质的管理人员。4.有健全的港口经营管理制度、港口安全生产管理制度、重大生产安全事故的旅客紧急疏散和救援预案以及预防自然灾害预案。5.为船舶提供油料供应服务、围油栏供应服务的，应当同时遵守《港口危险货物安全管理规定》。</w:t>
      </w:r>
    </w:p>
    <w:p>
      <w:pPr>
        <w:spacing w:beforeLines="100" w:afterLines="100"/>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营业执照（可减免）</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水路交通行政许可变更、延续、注销申请书</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涉及港口经营人名称变更的，还应提交经营人名称变更证明材料原件或者复印件（因资产转移导致经营人变更的，按新申请重新申请港口经营许可证）</w:t>
            </w:r>
          </w:p>
        </w:tc>
        <w:tc>
          <w:tcPr>
            <w:tcW w:w="1311" w:type="dxa"/>
            <w:shd w:val="clear" w:color="auto" w:fill="auto"/>
            <w:vAlign w:val="center"/>
          </w:tcPr>
          <w:p>
            <w:pPr>
              <w:ind w:firstLine="180" w:firstLineChars="100"/>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委托书</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变更港口设施的，还应提交：（1）增加港口设施依法需审批的，按新申请提供对应材料；（2）减少港口设施的，在申请书相应栏目中提出对应申请</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原件和复印件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需变更的港口经营许可证正本、副本</w:t>
            </w:r>
          </w:p>
        </w:tc>
        <w:tc>
          <w:tcPr>
            <w:tcW w:w="1311" w:type="dxa"/>
            <w:shd w:val="clear" w:color="auto" w:fill="auto"/>
            <w:vAlign w:val="center"/>
          </w:tcPr>
          <w:p>
            <w:pPr>
              <w:ind w:firstLine="180" w:firstLineChars="100"/>
              <w:jc w:val="center"/>
              <w:rPr>
                <w:rFonts w:ascii="宋体" w:hAnsi="宋体" w:eastAsia="宋体" w:cs="宋体"/>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涉及经营范围变更的，还应提交：（1）增加经营范围的，按新申请港口经营许可要求提供对应的材料；（2）</w:t>
            </w:r>
            <w:r>
              <w:rPr>
                <w:rFonts w:hint="eastAsia" w:ascii="宋体" w:hAnsi="宋体" w:eastAsia="宋体" w:cs="宋体"/>
                <w:color w:val="000000"/>
                <w:sz w:val="18"/>
                <w:szCs w:val="18"/>
                <w:lang w:val="en-US" w:eastAsia="zh-CN"/>
              </w:rPr>
              <w:t>缩小</w:t>
            </w:r>
            <w:r>
              <w:rPr>
                <w:rFonts w:hint="eastAsia" w:ascii="宋体" w:hAnsi="宋体" w:eastAsia="宋体" w:cs="宋体"/>
                <w:color w:val="000000"/>
                <w:sz w:val="18"/>
                <w:szCs w:val="18"/>
              </w:rPr>
              <w:t>经营范围的，在申请书相应栏目中提出对应申请</w:t>
            </w:r>
          </w:p>
        </w:tc>
        <w:tc>
          <w:tcPr>
            <w:tcW w:w="1311" w:type="dxa"/>
            <w:shd w:val="clear" w:color="auto" w:fill="auto"/>
            <w:vAlign w:val="center"/>
          </w:tcPr>
          <w:p>
            <w:pPr>
              <w:ind w:firstLine="180" w:firstLineChars="100"/>
              <w:jc w:val="center"/>
              <w:rPr>
                <w:rFonts w:ascii="宋体" w:hAnsi="宋体" w:eastAsia="宋体" w:cs="宋体"/>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申报材料真实有效</w:t>
            </w:r>
          </w:p>
        </w:tc>
      </w:tr>
    </w:tbl>
    <w:p>
      <w:pPr>
        <w:spacing w:beforeLines="100" w:afterLines="100"/>
        <w:rPr>
          <w:rFonts w:ascii="黑体" w:hAnsi="黑体" w:eastAsia="黑体" w:cs="黑体"/>
        </w:rPr>
      </w:pPr>
    </w:p>
    <w:p>
      <w:pPr>
        <w:spacing w:beforeLines="100" w:afterLines="100"/>
        <w:rPr>
          <w:rFonts w:ascii="黑体" w:hAnsi="黑体" w:eastAsia="黑体" w:cs="黑体"/>
        </w:rPr>
      </w:pPr>
      <w:r>
        <w:rPr>
          <w:rFonts w:hint="eastAsia" w:ascii="黑体" w:hAnsi="黑体" w:eastAsia="黑体" w:cs="黑体"/>
        </w:rPr>
        <w:t>8  受理方式</w:t>
      </w:r>
    </w:p>
    <w:p>
      <w:pPr>
        <w:rPr>
          <w:rFonts w:ascii="宋体" w:hAnsi="宋体" w:eastAsia="宋体" w:cs="宋体"/>
        </w:rPr>
      </w:pPr>
      <w:r>
        <w:rPr>
          <w:rFonts w:hint="eastAsia" w:ascii="宋体" w:hAnsi="宋体" w:eastAsia="宋体" w:cs="宋体"/>
        </w:rPr>
        <w:t>8.1  窗口受理：新县市民之家三楼无差别综合受理窗口提交申办材料。</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rPr>
          <w:rFonts w:ascii="宋体" w:hAnsi="宋体" w:eastAsia="宋体" w:cs="宋体"/>
        </w:rPr>
      </w:pPr>
      <w:r>
        <w:rPr>
          <w:rFonts w:hint="eastAsia" w:ascii="宋体" w:hAnsi="宋体" w:eastAsia="宋体" w:cs="宋体"/>
        </w:rPr>
        <w:t>9.4 工作流程图</w:t>
      </w:r>
    </w:p>
    <w:p>
      <w:pPr>
        <w:rPr>
          <w:rFonts w:ascii="宋体" w:hAnsi="宋体" w:eastAsia="宋体" w:cs="宋体"/>
        </w:rPr>
      </w:pPr>
      <w:r>
        <w:rPr>
          <w:rFonts w:hint="eastAsia" w:ascii="宋体" w:hAnsi="宋体" w:eastAsia="宋体" w:cs="宋体"/>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cstate="print"/>
                    <a:stretch>
                      <a:fillRect/>
                    </a:stretch>
                  </pic:blipFill>
                  <pic:spPr>
                    <a:xfrm>
                      <a:off x="0" y="0"/>
                      <a:ext cx="5229225" cy="6572250"/>
                    </a:xfrm>
                    <a:prstGeom prst="rect">
                      <a:avLst/>
                    </a:prstGeom>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承诺时限：2个工作日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ind w:firstLine="420" w:firstLineChars="200"/>
        <w:rPr>
          <w:rFonts w:ascii="宋体" w:hAnsi="宋体" w:eastAsia="宋体" w:cs="宋体"/>
        </w:rPr>
      </w:pPr>
      <w:r>
        <w:rPr>
          <w:rFonts w:hint="eastAsia" w:ascii="宋体" w:hAnsi="宋体" w:eastAsia="宋体" w:cs="宋体"/>
        </w:rPr>
        <w:t>自受理之日起2个工作日内直接送达或邮寄送达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宋体" w:hAnsi="宋体" w:eastAsia="宋体" w:cs="宋体"/>
        </w:rPr>
      </w:pPr>
      <w:r>
        <w:rPr>
          <w:rFonts w:hint="eastAsia" w:ascii="宋体" w:hAnsi="宋体" w:eastAsia="宋体" w:cs="宋体"/>
        </w:rPr>
        <w:t>13.1  现场咨询：新县市民之家三楼无差别综合受理窗口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13.2  电话咨询：窗口电话：0376－7622311单位电话：0376-2986348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本单位监督举报电话：0376-2986348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黑体" w:hAnsi="黑体" w:eastAsia="黑体" w:cs="黑体"/>
          <w:color w:val="000000" w:themeColor="text1"/>
        </w:rPr>
      </w:pPr>
      <w:r>
        <w:rPr>
          <w:rFonts w:hint="eastAsia" w:ascii="宋体" w:hAnsi="宋体" w:eastAsia="宋体" w:cs="宋体"/>
        </w:rPr>
        <w:t>16.1  现场查询：新县市民之家三楼无差别综合受理窗口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rPr>
      </w:pPr>
      <w:r>
        <w:rPr>
          <w:rFonts w:hint="eastAsia" w:ascii="黑体" w:hAnsi="黑体" w:eastAsia="黑体" w:cs="黑体"/>
          <w:color w:val="000000" w:themeColor="text1"/>
        </w:rPr>
        <w:t>————————————————</w:t>
      </w:r>
    </w:p>
    <w:p>
      <w:pPr>
        <w:spacing w:beforeLines="100" w:afterLines="100"/>
        <w:rPr>
          <w:rFonts w:ascii="黑体" w:hAnsi="黑体" w:eastAsia="黑体" w:cs="黑体"/>
        </w:rPr>
      </w:pPr>
    </w:p>
    <w:p>
      <w:pPr>
        <w:spacing w:beforeLines="100" w:afterLines="100"/>
        <w:rPr>
          <w:rFonts w:ascii="黑体" w:hAnsi="黑体" w:eastAsia="黑体" w:cs="黑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path/>
          <v:fill on="f" focussize="0,0"/>
          <v:stroke on="f" weight="0.5pt" joinstyle="miter"/>
          <v:imagedata o:title=""/>
          <o:lock v:ext="edit"/>
          <v:textbox inset="0mm,0mm,0mm,0mm" style="mso-fit-shape-to-text:t;">
            <w:txbxContent>
              <w:p>
                <w:pPr>
                  <w:pStyle w:val="3"/>
                  <w:bidi/>
                  <w:ind w:left="227"/>
                  <w:jc w:val="right"/>
                </w:pPr>
                <w:r>
                  <w:rPr>
                    <w:rFonts w:hint="eastAsia" w:ascii="宋体" w:hAnsi="宋体"/>
                    <w:szCs w:val="18"/>
                  </w:rPr>
                  <w:fldChar w:fldCharType="begin"/>
                </w:r>
                <w:r>
                  <w:rPr>
                    <w:rFonts w:hint="eastAsia" w:ascii="宋体" w:hAnsi="宋体"/>
                    <w:szCs w:val="18"/>
                  </w:rPr>
                  <w:instrText xml:space="preserve"> PAGE  \* MERGEFORMAT </w:instrText>
                </w:r>
                <w:r>
                  <w:rPr>
                    <w:rFonts w:hint="eastAsia" w:ascii="宋体" w:hAnsi="宋体"/>
                    <w:szCs w:val="18"/>
                  </w:rPr>
                  <w:fldChar w:fldCharType="separate"/>
                </w:r>
                <w:r>
                  <w:rPr>
                    <w:rFonts w:ascii="宋体" w:hAnsi="宋体"/>
                    <w:szCs w:val="18"/>
                  </w:rPr>
                  <w:t>- 3 -</w:t>
                </w:r>
                <w:r>
                  <w:rPr>
                    <w:rFonts w:hint="eastAsia" w:ascii="宋体" w:hAnsi="宋体"/>
                    <w:szCs w:val="18"/>
                  </w:rPr>
                  <w:fldChar w:fldCharType="end"/>
                </w: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8" o:spid="_x0000_s102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path/>
          <v:fill on="f" focussize="0,0"/>
          <v:stroke on="f" weight="0.5pt" joinstyle="miter"/>
          <v:imagedata o:title=""/>
          <o:lock v:ext="edit"/>
          <v:textbox inset="0mm,0mm,0mm,0mm" style="mso-fit-shape-to-text:t;">
            <w:txbxContent>
              <w:p>
                <w:pPr>
                  <w:pStyle w:val="3"/>
                  <w:ind w:left="227"/>
                  <w:rPr>
                    <w:szCs w:val="18"/>
                  </w:rPr>
                </w:pPr>
                <w:r>
                  <w:rPr>
                    <w:rFonts w:hint="eastAsia" w:ascii="宋体" w:hAnsi="宋体" w:eastAsia="宋体" w:cs="宋体"/>
                    <w:szCs w:val="18"/>
                  </w:rPr>
                  <w:fldChar w:fldCharType="begin"/>
                </w:r>
                <w:r>
                  <w:rPr>
                    <w:rFonts w:hint="eastAsia" w:ascii="宋体" w:hAnsi="宋体" w:eastAsia="宋体" w:cs="宋体"/>
                    <w:szCs w:val="18"/>
                  </w:rPr>
                  <w:instrText xml:space="preserve"> PAGE  \* MERGEFORMAT </w:instrText>
                </w:r>
                <w:r>
                  <w:rPr>
                    <w:rFonts w:hint="eastAsia" w:ascii="宋体" w:hAnsi="宋体" w:eastAsia="宋体" w:cs="宋体"/>
                    <w:szCs w:val="18"/>
                  </w:rPr>
                  <w:fldChar w:fldCharType="separate"/>
                </w:r>
                <w:r>
                  <w:rPr>
                    <w:rFonts w:ascii="宋体" w:hAnsi="宋体" w:eastAsia="宋体" w:cs="宋体"/>
                    <w:szCs w:val="18"/>
                  </w:rPr>
                  <w:t>- 4 -</w:t>
                </w:r>
                <w:r>
                  <w:rPr>
                    <w:rFonts w:hint="eastAsia" w:ascii="宋体" w:hAnsi="宋体" w:eastAsia="宋体" w:cs="宋体"/>
                    <w:szCs w:val="18"/>
                  </w:rPr>
                  <w:fldChar w:fldCharType="end"/>
                </w:r>
              </w:p>
            </w:txbxContent>
          </v:textbox>
        </v:shape>
      </w:pict>
    </w:r>
    <w:r>
      <w:pict>
        <v:shape id="_x0000_s1027" o:spid="_x0000_s1027"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101.70—2023</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101.70—2023</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FkZTRmZDMyMTFmMWVmOWJmYzNjY2VjM2JhMzBkNzAifQ=="/>
  </w:docVars>
  <w:rsids>
    <w:rsidRoot w:val="00B206CF"/>
    <w:rsid w:val="000F232E"/>
    <w:rsid w:val="00B206CF"/>
    <w:rsid w:val="00CB186D"/>
    <w:rsid w:val="00EF1DA9"/>
    <w:rsid w:val="01AD7E6D"/>
    <w:rsid w:val="024E57BE"/>
    <w:rsid w:val="03107D3B"/>
    <w:rsid w:val="04F5513A"/>
    <w:rsid w:val="091819E3"/>
    <w:rsid w:val="0A577EDC"/>
    <w:rsid w:val="0B0D44D4"/>
    <w:rsid w:val="0BB43C6B"/>
    <w:rsid w:val="0D2A279F"/>
    <w:rsid w:val="0DCE2A25"/>
    <w:rsid w:val="0DDB3A3F"/>
    <w:rsid w:val="11DC7D06"/>
    <w:rsid w:val="16027499"/>
    <w:rsid w:val="17394603"/>
    <w:rsid w:val="19870F5D"/>
    <w:rsid w:val="1B2D105E"/>
    <w:rsid w:val="1C23651B"/>
    <w:rsid w:val="1C273C13"/>
    <w:rsid w:val="1D8607E8"/>
    <w:rsid w:val="1DFD1F7F"/>
    <w:rsid w:val="21AC28FC"/>
    <w:rsid w:val="236F308A"/>
    <w:rsid w:val="250638CD"/>
    <w:rsid w:val="262C1868"/>
    <w:rsid w:val="26786548"/>
    <w:rsid w:val="2A0505E0"/>
    <w:rsid w:val="2E477B6D"/>
    <w:rsid w:val="32225ABD"/>
    <w:rsid w:val="33C96C75"/>
    <w:rsid w:val="34312375"/>
    <w:rsid w:val="36AE7A0B"/>
    <w:rsid w:val="374534D2"/>
    <w:rsid w:val="37575BD4"/>
    <w:rsid w:val="38296225"/>
    <w:rsid w:val="387A6293"/>
    <w:rsid w:val="3A376F2E"/>
    <w:rsid w:val="3C03787E"/>
    <w:rsid w:val="3FB7726A"/>
    <w:rsid w:val="423A66AC"/>
    <w:rsid w:val="43A85C63"/>
    <w:rsid w:val="43FD267D"/>
    <w:rsid w:val="459828A0"/>
    <w:rsid w:val="47B26EA9"/>
    <w:rsid w:val="48DF0D1A"/>
    <w:rsid w:val="4A8470F0"/>
    <w:rsid w:val="4AE314A0"/>
    <w:rsid w:val="4B131269"/>
    <w:rsid w:val="4B316D23"/>
    <w:rsid w:val="4BCA0D1B"/>
    <w:rsid w:val="4C5F3D5A"/>
    <w:rsid w:val="4DC75A8E"/>
    <w:rsid w:val="4E7216E3"/>
    <w:rsid w:val="4F5D4751"/>
    <w:rsid w:val="4F8D2504"/>
    <w:rsid w:val="51AF7072"/>
    <w:rsid w:val="56C33028"/>
    <w:rsid w:val="57014F55"/>
    <w:rsid w:val="584B21EF"/>
    <w:rsid w:val="59946A08"/>
    <w:rsid w:val="59AE4C53"/>
    <w:rsid w:val="59E2702F"/>
    <w:rsid w:val="5A84723C"/>
    <w:rsid w:val="5D1F636E"/>
    <w:rsid w:val="5D2A7067"/>
    <w:rsid w:val="5DAB327D"/>
    <w:rsid w:val="5E9C127C"/>
    <w:rsid w:val="5F8D56AA"/>
    <w:rsid w:val="60912EFF"/>
    <w:rsid w:val="657255DA"/>
    <w:rsid w:val="6598155C"/>
    <w:rsid w:val="69485F54"/>
    <w:rsid w:val="6B1941C5"/>
    <w:rsid w:val="6C154EF6"/>
    <w:rsid w:val="6D922E67"/>
    <w:rsid w:val="6DBD2312"/>
    <w:rsid w:val="7019553E"/>
    <w:rsid w:val="7067478F"/>
    <w:rsid w:val="713429A1"/>
    <w:rsid w:val="71697A56"/>
    <w:rsid w:val="72A96578"/>
    <w:rsid w:val="754B10F6"/>
    <w:rsid w:val="75C1033A"/>
    <w:rsid w:val="76ED4FE7"/>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autoRedefine/>
    <w:qFormat/>
    <w:uiPriority w:val="0"/>
    <w:rPr>
      <w:color w:val="0000FF"/>
      <w:u w:val="single"/>
    </w:rPr>
  </w:style>
  <w:style w:type="character" w:customStyle="1" w:styleId="8">
    <w:name w:val="ellisiss"/>
    <w:basedOn w:val="6"/>
    <w:autoRedefine/>
    <w:qFormat/>
    <w:uiPriority w:val="0"/>
  </w:style>
  <w:style w:type="character" w:customStyle="1" w:styleId="9">
    <w:name w:val="批注框文本 Char"/>
    <w:basedOn w:val="6"/>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2317</Words>
  <Characters>2613</Characters>
  <Lines>16</Lines>
  <Paragraphs>4</Paragraphs>
  <TotalTime>1</TotalTime>
  <ScaleCrop>false</ScaleCrop>
  <LinksUpToDate>false</LinksUpToDate>
  <CharactersWithSpaces>2694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