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850" w:after="680"/>
        <w:jc w:val="center"/>
        <w:textAlignment w:val="auto"/>
        <w:rPr>
          <w:rFonts w:hint="eastAsia" w:ascii="黑体" w:hAnsi="黑体" w:eastAsia="黑体" w:cs="黑体"/>
          <w:b/>
          <w:bCs/>
          <w:sz w:val="32"/>
          <w:szCs w:val="40"/>
          <w:lang w:val="en-US" w:eastAsia="zh-CN"/>
        </w:rPr>
      </w:pPr>
      <w:bookmarkStart w:id="0" w:name="_GoBack"/>
      <w:bookmarkEnd w:id="0"/>
      <w:r>
        <w:rPr>
          <w:rFonts w:hint="eastAsia" w:ascii="黑体" w:hAnsi="黑体" w:eastAsia="黑体" w:cs="黑体"/>
          <w:b/>
          <w:bCs/>
          <w:sz w:val="32"/>
          <w:szCs w:val="32"/>
          <w:lang w:val="en-US" w:eastAsia="zh-CN"/>
        </w:rPr>
        <w:t>水上水下活动许可（通航水域岸线安全使用）办理</w:t>
      </w:r>
      <w:r>
        <w:rPr>
          <w:rFonts w:hint="eastAsia" w:ascii="黑体" w:hAnsi="黑体" w:eastAsia="黑体" w:cs="黑体"/>
          <w:b/>
          <w:bCs/>
          <w:sz w:val="32"/>
          <w:szCs w:val="40"/>
          <w:lang w:val="en-US" w:eastAsia="zh-CN"/>
        </w:rPr>
        <w:t>规程</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  事项名称及编码</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水上水下活动许可（通航水域岸线安全使用）  006112054XK81969009</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2  事项类型</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eastAsia="宋体" w:cs="宋体"/>
          <w:lang w:val="en-US" w:eastAsia="zh-CN"/>
        </w:rPr>
      </w:pPr>
      <w:r>
        <w:rPr>
          <w:rFonts w:hint="default" w:ascii="宋体" w:hAnsi="宋体" w:eastAsia="宋体" w:cs="宋体"/>
          <w:lang w:val="en-US" w:eastAsia="zh-CN"/>
        </w:rPr>
        <w:t>行政许可</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3  设立依据</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3.1《中华人民共和国海上交通安全法》第二十条 在沿海水域进行水上水下施工以及划定相应的安全作业区，必须报经主管机关核准公告。无关的船舶不得进入安全作业区。施工单位不得擅自扩大安全作业区的范围。在港区内使用岸线或者进行水上水下施工包括架空施工，还必须附图报经主管机关审核同意。</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3.2《中华人民共和国内河交通安全管理条例》第二十五条 在内河通航水域或者岸线上进行下列可能影响通航安全的作业或者活动的，应当在进行作业或者活动前报海事管理机构批准：（一）勘探、采掘、爆破；（二）构筑、设置、维修、拆除水上水下构筑物或者设施；（三）架设桥梁、索道；（四）铺设、检修、拆除水上水下电缆或者管道；（五）设置系船浮筒、浮趸、缆桩等设施；（六）航道建设，航道、码头前沿水域疏浚；（七）举行大型群众性活动、体育比赛。进行前款所列作业或者活动，需要进行可行性研究的，在进行可行性研究时应当征求海事管理机构的意见；依照法律、行政法规的规定，需经其他有关部门审批的，还应当依法办理有关审批手续。</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3.3《中华人民共和国水上水下活动通航安全管理规定》第五条 在内河通航水域或者岸线上进行下列水上水下活动，应当经海事管理机构批准：（一）勘探，港外采掘、爆破；（二）构筑、设置、维修、拆除水上水下构筑物或者设施；（三）架设桥梁、索道；（四）铺设、检修、拆除水上水下电缆或者管道；</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设置系船浮筒、浮趸、缆桩等设施；（六）航道建设施工、码头前沿水域疏浚；（七）举行大型群众性活动、体育比赛；（八）打捞沉船、沉物。在管辖海域进行调查、勘探、开采、测量、建筑、疏浚（航道养护疏浚除外）、爆破、打捞沉船沉物、拖带、捕捞、养殖、科学试验和其他水上水下施工，应当经海事管理机构批准。前款所称建筑，包括构筑、设置、维修、拆除水上水下构筑物或者设施，架设桥梁、索道，铺设、检修、拆除水上水下电缆或者管道，设置系船浮筒、浮趸、缆桩等设施，航道建设。</w:t>
      </w:r>
    </w:p>
    <w:p>
      <w:pPr>
        <w:keepNext w:val="0"/>
        <w:keepLines w:val="0"/>
        <w:pageBreakBefore w:val="0"/>
        <w:widowControl w:val="0"/>
        <w:numPr>
          <w:ilvl w:val="0"/>
          <w:numId w:val="0"/>
        </w:numPr>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4  受理机构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新县政务服务中心（新县市民之家）</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5  决定机构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eastAsia="宋体" w:cs="宋体"/>
          <w:lang w:val="en-US" w:eastAsia="zh-CN"/>
        </w:rPr>
      </w:pPr>
      <w:r>
        <w:rPr>
          <w:rFonts w:hint="eastAsia" w:ascii="宋体" w:hAnsi="宋体" w:eastAsia="宋体" w:cs="宋体"/>
          <w:lang w:val="en-US" w:eastAsia="zh-CN"/>
        </w:rPr>
        <w:t>新县交通运输局</w:t>
      </w:r>
    </w:p>
    <w:p>
      <w:pPr>
        <w:keepNext w:val="0"/>
        <w:keepLines w:val="0"/>
        <w:pageBreakBefore w:val="0"/>
        <w:widowControl w:val="0"/>
        <w:kinsoku/>
        <w:wordWrap/>
        <w:overflowPunct/>
        <w:topLinePunct w:val="0"/>
        <w:autoSpaceDE/>
        <w:autoSpaceDN/>
        <w:bidi w:val="0"/>
        <w:adjustRightInd/>
        <w:snapToGrid/>
        <w:spacing w:before="313" w:beforeLines="100" w:after="313" w:afterLines="100"/>
        <w:ind w:firstLine="210" w:firstLineChars="100"/>
        <w:textAlignment w:val="auto"/>
        <w:rPr>
          <w:rFonts w:hint="eastAsia" w:ascii="黑体" w:hAnsi="黑体" w:eastAsia="黑体" w:cs="黑体"/>
          <w:lang w:val="en-US" w:eastAsia="zh-CN"/>
        </w:rPr>
      </w:pPr>
      <w:r>
        <w:rPr>
          <w:rFonts w:hint="eastAsia" w:ascii="黑体" w:hAnsi="黑体" w:eastAsia="黑体" w:cs="黑体"/>
          <w:lang w:val="en-US" w:eastAsia="zh-CN"/>
        </w:rPr>
        <w:t>6  办理条件</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6.1水上水下活动的单位、人员、船舶、设施符合安全航行、停泊和作业的要求；</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6.2已制定水上水下活动的方案，包括起止时间、地点和范围、进度安排等；</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6.3对安全和防污染有重大影响的，已通过通航安全评估；</w:t>
      </w:r>
    </w:p>
    <w:p>
      <w:pPr>
        <w:keepNext w:val="0"/>
        <w:keepLines w:val="0"/>
        <w:pageBreakBefore w:val="0"/>
        <w:widowControl w:val="0"/>
        <w:kinsoku/>
        <w:wordWrap/>
        <w:overflowPunct/>
        <w:topLinePunct w:val="0"/>
        <w:autoSpaceDE/>
        <w:autoSpaceDN/>
        <w:bidi w:val="0"/>
        <w:adjustRightInd/>
        <w:snapToGrid/>
        <w:ind w:left="210" w:hanging="210" w:hangingChars="100"/>
        <w:textAlignment w:val="auto"/>
        <w:rPr>
          <w:rFonts w:hint="eastAsia" w:ascii="黑体" w:hAnsi="黑体" w:eastAsia="黑体" w:cs="黑体"/>
          <w:lang w:val="en-US" w:eastAsia="zh-CN"/>
        </w:rPr>
      </w:pPr>
      <w:r>
        <w:rPr>
          <w:rFonts w:hint="eastAsia" w:ascii="宋体" w:hAnsi="宋体" w:eastAsia="宋体" w:cs="宋体"/>
          <w:lang w:val="en-US" w:eastAsia="zh-CN"/>
        </w:rPr>
        <w:t>6.4已建立安全、防污染的责任制，并已制定符合水上交通安全和防污染要求的保障措施和应急预案。</w:t>
      </w:r>
      <w:r>
        <w:rPr>
          <w:rFonts w:hint="eastAsia" w:ascii="黑体" w:hAnsi="黑体" w:eastAsia="黑体" w:cs="黑体"/>
          <w:lang w:val="en-US" w:eastAsia="zh-CN"/>
        </w:rPr>
        <w:t>7  申办材料</w:t>
      </w:r>
    </w:p>
    <w:tbl>
      <w:tblPr>
        <w:tblStyle w:val="4"/>
        <w:tblpPr w:leftFromText="180" w:rightFromText="180" w:vertAnchor="text" w:horzAnchor="page" w:tblpXSpec="center" w:tblpY="173"/>
        <w:tblOverlap w:val="never"/>
        <w:tblW w:w="88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0"/>
        <w:gridCol w:w="2007"/>
        <w:gridCol w:w="1311"/>
        <w:gridCol w:w="655"/>
        <w:gridCol w:w="1462"/>
        <w:gridCol w:w="28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val="en-US" w:eastAsia="zh-CN"/>
              </w:rPr>
              <w:t>序</w:t>
            </w:r>
            <w:r>
              <w:rPr>
                <w:rFonts w:hint="eastAsia" w:ascii="宋体" w:hAnsi="宋体" w:eastAsia="宋体" w:cs="宋体"/>
                <w:sz w:val="18"/>
                <w:szCs w:val="18"/>
                <w:lang w:eastAsia="zh-CN"/>
              </w:rPr>
              <w:t>号</w:t>
            </w:r>
          </w:p>
        </w:tc>
        <w:tc>
          <w:tcPr>
            <w:tcW w:w="200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提交材料名称</w:t>
            </w:r>
          </w:p>
        </w:tc>
        <w:tc>
          <w:tcPr>
            <w:tcW w:w="1311"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both"/>
              <w:rPr>
                <w:rFonts w:hint="eastAsia" w:ascii="宋体" w:hAnsi="宋体" w:eastAsia="宋体" w:cs="宋体"/>
                <w:sz w:val="18"/>
                <w:szCs w:val="18"/>
                <w:lang w:eastAsia="zh-CN"/>
              </w:rPr>
            </w:pPr>
            <w:r>
              <w:rPr>
                <w:rFonts w:hint="eastAsia" w:ascii="宋体" w:hAnsi="宋体" w:eastAsia="宋体" w:cs="宋体"/>
                <w:sz w:val="18"/>
                <w:szCs w:val="18"/>
                <w:lang w:eastAsia="zh-CN"/>
              </w:rPr>
              <w:t>原件/复印件</w:t>
            </w:r>
          </w:p>
        </w:tc>
        <w:tc>
          <w:tcPr>
            <w:tcW w:w="655"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份数</w:t>
            </w:r>
          </w:p>
        </w:tc>
        <w:tc>
          <w:tcPr>
            <w:tcW w:w="1462"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纸质/电子版</w:t>
            </w:r>
          </w:p>
        </w:tc>
        <w:tc>
          <w:tcPr>
            <w:tcW w:w="281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特定要求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w:t>
            </w:r>
          </w:p>
        </w:tc>
        <w:tc>
          <w:tcPr>
            <w:tcW w:w="200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有关技术资料和图纸及有关审查会议纪要等有关资料及其复印件</w:t>
            </w:r>
          </w:p>
        </w:tc>
        <w:tc>
          <w:tcPr>
            <w:tcW w:w="1311"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复印件</w:t>
            </w:r>
          </w:p>
        </w:tc>
        <w:tc>
          <w:tcPr>
            <w:tcW w:w="655"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w:t>
            </w:r>
          </w:p>
        </w:tc>
        <w:tc>
          <w:tcPr>
            <w:tcW w:w="1462"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2</w:t>
            </w:r>
          </w:p>
        </w:tc>
        <w:tc>
          <w:tcPr>
            <w:tcW w:w="200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相关部门关于使用岸线的项目的批准文书及其复印件（需办理批准手续的项目）</w:t>
            </w:r>
          </w:p>
        </w:tc>
        <w:tc>
          <w:tcPr>
            <w:tcW w:w="1311"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原件</w:t>
            </w:r>
          </w:p>
        </w:tc>
        <w:tc>
          <w:tcPr>
            <w:tcW w:w="655"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w:t>
            </w:r>
          </w:p>
        </w:tc>
        <w:tc>
          <w:tcPr>
            <w:tcW w:w="1462"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color w:val="000000"/>
                <w:kern w:val="0"/>
                <w:sz w:val="18"/>
                <w:szCs w:val="18"/>
                <w:lang w:val="en-US" w:eastAsia="zh-CN"/>
              </w:rP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3</w:t>
            </w:r>
          </w:p>
        </w:tc>
        <w:tc>
          <w:tcPr>
            <w:tcW w:w="200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通航水域岸线安全使用申请书</w:t>
            </w:r>
          </w:p>
        </w:tc>
        <w:tc>
          <w:tcPr>
            <w:tcW w:w="1311"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原件</w:t>
            </w:r>
          </w:p>
        </w:tc>
        <w:tc>
          <w:tcPr>
            <w:tcW w:w="655"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w:t>
            </w:r>
          </w:p>
        </w:tc>
        <w:tc>
          <w:tcPr>
            <w:tcW w:w="1462"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color w:val="000000"/>
                <w:kern w:val="0"/>
                <w:sz w:val="18"/>
                <w:szCs w:val="18"/>
                <w:lang w:val="en-US" w:eastAsia="zh-CN"/>
              </w:rP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4</w:t>
            </w:r>
          </w:p>
        </w:tc>
        <w:tc>
          <w:tcPr>
            <w:tcW w:w="200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中华人民共和国居民身份证</w:t>
            </w:r>
          </w:p>
        </w:tc>
        <w:tc>
          <w:tcPr>
            <w:tcW w:w="1311"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复印件</w:t>
            </w:r>
          </w:p>
        </w:tc>
        <w:tc>
          <w:tcPr>
            <w:tcW w:w="655"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w:t>
            </w:r>
          </w:p>
        </w:tc>
        <w:tc>
          <w:tcPr>
            <w:tcW w:w="1462"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color w:val="000000"/>
                <w:kern w:val="0"/>
                <w:sz w:val="18"/>
                <w:szCs w:val="18"/>
                <w:lang w:val="en-US" w:eastAsia="zh-CN"/>
              </w:rP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200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设计单位资质认证文书</w:t>
            </w:r>
          </w:p>
        </w:tc>
        <w:tc>
          <w:tcPr>
            <w:tcW w:w="1311"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原件</w:t>
            </w:r>
          </w:p>
        </w:tc>
        <w:tc>
          <w:tcPr>
            <w:tcW w:w="655"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w:t>
            </w:r>
          </w:p>
        </w:tc>
        <w:tc>
          <w:tcPr>
            <w:tcW w:w="1462"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color w:val="000000"/>
                <w:kern w:val="0"/>
                <w:sz w:val="18"/>
                <w:szCs w:val="18"/>
                <w:lang w:val="en-US" w:eastAsia="zh-CN"/>
              </w:rPr>
            </w:pPr>
            <w:r>
              <w:rPr>
                <w:rFonts w:hint="eastAsia" w:ascii="宋体" w:hAnsi="宋体" w:eastAsia="宋体" w:cs="宋体"/>
                <w:color w:val="000000"/>
                <w:sz w:val="18"/>
                <w:szCs w:val="18"/>
              </w:rPr>
              <w:t>申报材料真实有效</w:t>
            </w:r>
          </w:p>
        </w:tc>
      </w:tr>
    </w:tbl>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8  受理方式</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8.1  窗口受理：新县市民之家三楼无差别综合受理窗口提交申办材料。</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8.2  网上申报：进入河南政务服务网（http://xyxinxian.hnzwfw.gov.cn/）按照提示进行网上申报。</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9  办理流程</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  受理</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9.1.1办理人：无差别综合受理窗口</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9.1.2办理时限：当场办结</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9.1.3审查标准：工作人员通过窗口或河南政务服务网接收申请材料，所交材料不齐全或不符合法定要求的，签发《一次性告知书》，如所交材料存在可以当场更正的错误，申请人可当场更正，如所交材料齐全，应当场做出是否受理决定，并签发《受理通知书》或《不予受理通知书》；核对申请人是否符合申请条件，依据办事指南中材料清单逐一核对是否齐全，核对每个材料是否涵盖材料要求中涉及的内容和要素。</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9.1.4办理结果：能当场受理或通过当场补正达到受理条件的,直接进入受理步骤；根据一次性告知内容进行补正后达到受理条件的，出具决定受理通知书。</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  审核</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9.2.1办理人：行政审批股</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9.2.2办理时限：1天</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9.2.3审查标准：在受理申请材料后，由办理股室对内容进行审查。如有必要，启动特殊环节进行辅助审查；按照办理相关规范要求对是否符合法定形式、材料真实性、技术指标等进行审查。</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9.2.4办理结果：审核通过的，签署初审意见，转入决定步骤；审核未通过的退回，并书面说明理由。</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9.3  决定</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9.3.1办理人：无差别综合受理窗口</w:t>
      </w:r>
    </w:p>
    <w:p>
      <w:pPr>
        <w:keepNext w:val="0"/>
        <w:keepLines w:val="0"/>
        <w:pageBreakBefore w:val="0"/>
        <w:widowControl w:val="0"/>
        <w:kinsoku/>
        <w:wordWrap/>
        <w:overflowPunct/>
        <w:topLinePunct w:val="0"/>
        <w:autoSpaceDE/>
        <w:autoSpaceDN/>
        <w:bidi w:val="0"/>
        <w:adjustRightInd/>
        <w:snapToGrid/>
        <w:jc w:val="left"/>
        <w:textAlignment w:val="auto"/>
        <w:rPr>
          <w:rFonts w:hint="default" w:ascii="宋体" w:hAnsi="宋体" w:eastAsia="宋体" w:cs="宋体"/>
          <w:lang w:eastAsia="zh-CN"/>
        </w:rPr>
      </w:pPr>
      <w:r>
        <w:rPr>
          <w:rFonts w:hint="eastAsia" w:ascii="宋体" w:hAnsi="宋体" w:eastAsia="宋体" w:cs="宋体"/>
          <w:lang w:val="en-US" w:eastAsia="zh-CN"/>
        </w:rPr>
        <w:t>9.3.2</w:t>
      </w:r>
      <w:r>
        <w:rPr>
          <w:rFonts w:hint="default" w:ascii="宋体" w:hAnsi="宋体" w:eastAsia="宋体" w:cs="宋体"/>
          <w:lang w:eastAsia="zh-CN"/>
        </w:rPr>
        <w:t>办理时限：1天</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default" w:ascii="宋体" w:hAnsi="宋体" w:eastAsia="宋体" w:cs="宋体"/>
          <w:lang w:eastAsia="zh-CN"/>
        </w:rPr>
        <w:t>9.3.3</w:t>
      </w:r>
      <w:r>
        <w:rPr>
          <w:rFonts w:hint="eastAsia" w:ascii="宋体" w:hAnsi="宋体" w:eastAsia="宋体" w:cs="宋体"/>
          <w:lang w:val="en-US" w:eastAsia="zh-CN"/>
        </w:rPr>
        <w:t>审查标准：在办理股室审查完成后，实施部门应在承诺时限内作出是否同意申请事项的决定。作出准予审批（办理）决定的，签发审批办理结果；作出不予审批（办理）决定的，签发《不予审批（办理）告知单》；复核审核步骤阶段提出的初步意见。</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default" w:ascii="宋体" w:hAnsi="宋体" w:eastAsia="宋体" w:cs="宋体"/>
          <w:lang w:eastAsia="zh-CN"/>
        </w:rPr>
        <w:t>9.3.4</w:t>
      </w:r>
      <w:r>
        <w:rPr>
          <w:rFonts w:hint="eastAsia" w:ascii="宋体" w:hAnsi="宋体" w:eastAsia="宋体" w:cs="宋体"/>
          <w:lang w:val="en-US" w:eastAsia="zh-CN"/>
        </w:rPr>
        <w:t>办理结果：申请符合规定的，准予行政许可，颁发《准予行政许可决定书》；申请不符合规定的，不准予行政许可，颁发《不予行政许可决定书》。</w:t>
      </w: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lang w:val="en-US" w:eastAsia="zh-CN"/>
        </w:rPr>
      </w:pPr>
      <w:r>
        <w:rPr>
          <w:rFonts w:hint="eastAsia" w:ascii="宋体" w:hAnsi="宋体" w:eastAsia="宋体" w:cs="宋体"/>
          <w:lang w:val="en-US" w:eastAsia="zh-CN"/>
        </w:rPr>
        <w:t>9.4  工作流程图</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drawing>
          <wp:inline distT="0" distB="0" distL="114300" distR="114300">
            <wp:extent cx="5936615" cy="5586730"/>
            <wp:effectExtent l="0" t="0" r="6985" b="13970"/>
            <wp:docPr id="2" name="图片 2" descr="流程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流程图"/>
                    <pic:cNvPicPr>
                      <a:picLocks noChangeAspect="1"/>
                    </pic:cNvPicPr>
                  </pic:nvPicPr>
                  <pic:blipFill>
                    <a:blip r:embed="rId8"/>
                    <a:stretch>
                      <a:fillRect/>
                    </a:stretch>
                  </pic:blipFill>
                  <pic:spPr>
                    <a:xfrm>
                      <a:off x="0" y="0"/>
                      <a:ext cx="5936615" cy="558673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10  办理时限</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10.1  法定时限：20个工作日</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10.2  承诺时限：2个工作日</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黑体" w:hAnsi="黑体" w:eastAsia="黑体" w:cs="黑体"/>
          <w:lang w:val="en-US" w:eastAsia="zh-CN"/>
        </w:rPr>
        <w:t>11  收费依据及标准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不收费</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b w:val="0"/>
          <w:bCs w:val="0"/>
          <w:lang w:val="en-US" w:eastAsia="zh-CN"/>
        </w:rPr>
      </w:pPr>
      <w:r>
        <w:rPr>
          <w:rFonts w:hint="eastAsia" w:ascii="黑体" w:hAnsi="黑体" w:eastAsia="黑体" w:cs="黑体"/>
          <w:b w:val="0"/>
          <w:bCs w:val="0"/>
          <w:lang w:val="en-US" w:eastAsia="zh-CN"/>
        </w:rPr>
        <w:t>12  结果送达</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自受理之日起2个工作日内直接送达或邮寄送达</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13  咨询方式</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13.1  现场咨询：新县市民之家三楼无差别综合受理窗口</w:t>
      </w:r>
      <w:r>
        <w:rPr>
          <w:rFonts w:hint="eastAsia" w:ascii="黑体" w:hAnsi="黑体" w:eastAsia="黑体" w:cs="黑体"/>
          <w:b w:val="0"/>
          <w:bCs w:val="0"/>
          <w:color w:val="000000" w:themeColor="text1"/>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13.2  电话咨询：窗口电话：0376－7622311单位电话：0376-2984368</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13.3  网上咨询：</w:t>
      </w: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"http://xyxinxian.hnzwfw.gov.cn" </w:instrText>
      </w:r>
      <w:r>
        <w:rPr>
          <w:rFonts w:hint="eastAsia" w:ascii="宋体" w:hAnsi="宋体" w:eastAsia="宋体" w:cs="宋体"/>
          <w:lang w:val="en-US" w:eastAsia="zh-CN"/>
        </w:rPr>
        <w:fldChar w:fldCharType="separate"/>
      </w:r>
      <w:r>
        <w:rPr>
          <w:rFonts w:hint="eastAsia" w:ascii="宋体" w:hAnsi="宋体" w:eastAsia="宋体" w:cs="宋体"/>
          <w:lang w:val="en-US" w:eastAsia="zh-CN"/>
        </w:rPr>
        <w:t>http://xyxinxian.hnzwfw.gov.cn</w:t>
      </w:r>
      <w:r>
        <w:rPr>
          <w:rFonts w:hint="eastAsia" w:ascii="宋体" w:hAnsi="宋体" w:eastAsia="宋体" w:cs="宋体"/>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14  监督投诉渠道</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14.1  现场监督投诉：新县市民之家投诉中心</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  电话监督投诉：</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14.2.1  新县市民之家投诉电话：0376-2969509</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14.2.2  政务服务热线：12345</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14.2.3  本单位监督举报电话：0376-2984368</w:t>
      </w: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lang w:val="en-US" w:eastAsia="zh-CN"/>
        </w:rPr>
      </w:pPr>
      <w:r>
        <w:rPr>
          <w:rFonts w:hint="eastAsia" w:ascii="宋体" w:hAnsi="宋体" w:eastAsia="宋体" w:cs="宋体"/>
          <w:lang w:val="en-US" w:eastAsia="zh-CN"/>
        </w:rPr>
        <w:t>14.3  网上监督投诉：http://xyxinxian.hnzwfw.gov.cn</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15  办理地址和时间</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15.1  地址：新县北畈路市民之家</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15.2  时间：周一至周五，法定节假日除外，上午9：00-12：00 下午1:00-5:00</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16  办理进程和结果查询</w:t>
      </w:r>
    </w:p>
    <w:p>
      <w:pPr>
        <w:keepNext w:val="0"/>
        <w:keepLines w:val="0"/>
        <w:pageBreakBefore w:val="0"/>
        <w:widowControl w:val="0"/>
        <w:kinsoku/>
        <w:wordWrap/>
        <w:overflowPunct/>
        <w:topLinePunct w:val="0"/>
        <w:autoSpaceDE/>
        <w:autoSpaceDN/>
        <w:bidi w:val="0"/>
        <w:adjustRightInd/>
        <w:snapToGrid/>
        <w:textAlignment w:val="auto"/>
        <w:rPr>
          <w:rFonts w:hint="eastAsia" w:ascii="黑体" w:hAnsi="黑体" w:eastAsia="黑体" w:cs="黑体"/>
          <w:b w:val="0"/>
          <w:bCs w:val="0"/>
          <w:color w:val="000000" w:themeColor="text1"/>
          <w:lang w:val="en-US" w:eastAsia="zh-CN"/>
          <w14:textFill>
            <w14:solidFill>
              <w14:schemeClr w14:val="tx1"/>
            </w14:solidFill>
          </w14:textFill>
        </w:rPr>
      </w:pPr>
      <w:r>
        <w:rPr>
          <w:rFonts w:hint="eastAsia" w:ascii="宋体" w:hAnsi="宋体" w:eastAsia="宋体" w:cs="宋体"/>
          <w:lang w:val="en-US" w:eastAsia="zh-CN"/>
        </w:rPr>
        <w:t>16.1  现场查询：新县市民之家三楼无差别综合受理窗口</w:t>
      </w:r>
      <w:r>
        <w:rPr>
          <w:rFonts w:hint="eastAsia" w:ascii="黑体" w:hAnsi="黑体" w:eastAsia="黑体" w:cs="黑体"/>
          <w:b w:val="0"/>
          <w:bCs w:val="0"/>
          <w:color w:val="000000" w:themeColor="text1"/>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16.2  电话查询：0376-7622311</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16.3  网上查询：登录新县政务服务网（http://xyxinxian.hnzwfw.gov.cn）或下载“豫事办”APP和支付宝小程序查询</w:t>
      </w:r>
    </w:p>
    <w:p>
      <w:pPr>
        <w:keepNext w:val="0"/>
        <w:keepLines w:val="0"/>
        <w:pageBreakBefore w:val="0"/>
        <w:widowControl w:val="0"/>
        <w:kinsoku/>
        <w:wordWrap/>
        <w:overflowPunct/>
        <w:topLinePunct w:val="0"/>
        <w:autoSpaceDE/>
        <w:autoSpaceDN/>
        <w:bidi w:val="0"/>
        <w:adjustRightInd/>
        <w:snapToGrid/>
        <w:spacing w:before="313" w:beforeLines="100" w:after="313" w:afterLines="100"/>
        <w:jc w:val="center"/>
        <w:textAlignment w:val="auto"/>
        <w:rPr>
          <w:rFonts w:hint="eastAsia" w:ascii="黑体" w:hAnsi="黑体" w:eastAsia="黑体" w:cs="黑体"/>
          <w:b w:val="0"/>
          <w:bCs w:val="0"/>
          <w:color w:val="000000" w:themeColor="text1"/>
          <w:lang w:val="en-US" w:eastAsia="zh-CN"/>
          <w14:textFill>
            <w14:solidFill>
              <w14:schemeClr w14:val="tx1"/>
            </w14:solidFill>
          </w14:textFill>
        </w:rPr>
      </w:pPr>
      <w:r>
        <w:rPr>
          <w:rFonts w:hint="eastAsia" w:ascii="黑体" w:hAnsi="黑体" w:eastAsia="黑体" w:cs="黑体"/>
          <w:b w:val="0"/>
          <w:bCs w:val="0"/>
          <w:color w:val="000000" w:themeColor="text1"/>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before="313" w:beforeLines="100" w:after="313" w:afterLines="100"/>
        <w:jc w:val="center"/>
        <w:textAlignment w:val="auto"/>
        <w:rPr>
          <w:rFonts w:hint="default" w:asciiTheme="minorHAnsi" w:hAnsiTheme="minorHAnsi" w:eastAsiaTheme="minorEastAsia" w:cstheme="minorBidi"/>
          <w:kern w:val="2"/>
          <w:sz w:val="21"/>
          <w:szCs w:val="24"/>
          <w:lang w:val="en-US" w:eastAsia="zh-CN" w:bidi="ar-SA"/>
        </w:rPr>
      </w:pPr>
      <w:r>
        <w:rPr>
          <w:rFonts w:hint="eastAsia" w:ascii="黑体" w:hAnsi="黑体" w:eastAsia="黑体" w:cs="黑体"/>
          <w:b w:val="0"/>
          <w:bCs w:val="0"/>
          <w:color w:val="000000" w:themeColor="text1"/>
          <w:lang w:val="en-US" w:eastAsia="zh-CN"/>
          <w14:textFill>
            <w14:solidFill>
              <w14:schemeClr w14:val="tx1"/>
            </w14:solidFill>
          </w14:textFill>
        </w:rPr>
        <w:t xml:space="preserve">              </w:t>
      </w:r>
    </w:p>
    <w:sectPr>
      <w:headerReference r:id="rId3" w:type="default"/>
      <w:footerReference r:id="rId5" w:type="default"/>
      <w:headerReference r:id="rId4" w:type="even"/>
      <w:footerReference r:id="rId6" w:type="even"/>
      <w:pgSz w:w="11906" w:h="16838"/>
      <w:pgMar w:top="1417" w:right="1134" w:bottom="1134" w:left="1417" w:header="1417" w:footer="1134"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1557"/>
        <w:tab w:val="clear" w:pos="4153"/>
      </w:tabs>
      <w:rPr>
        <w:rFonts w:hint="eastAsia" w:eastAsiaTheme="minorEastAsia"/>
        <w:lang w:eastAsia="zh-CN"/>
      </w:rPr>
    </w:pPr>
    <w:r>
      <w:rPr>
        <w:rFonts w:hint="eastAsia"/>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492"/>
        <w:tab w:val="clear" w:pos="4153"/>
      </w:tabs>
    </w:pPr>
    <w:r>
      <w:rPr>
        <w:sz w:val="18"/>
      </w:rPr>
      <mc:AlternateContent>
        <mc:Choice Requires="wps">
          <w:drawing>
            <wp:anchor distT="0" distB="0" distL="114300" distR="114300" simplePos="0" relativeHeight="251659264" behindDoc="0" locked="0" layoutInCell="1" allowOverlap="1">
              <wp:simplePos x="0" y="0"/>
              <wp:positionH relativeFrom="margin">
                <wp:posOffset>-9525</wp:posOffset>
              </wp:positionH>
              <wp:positionV relativeFrom="paragraph">
                <wp:posOffset>0</wp:posOffset>
              </wp:positionV>
              <wp:extent cx="1030605" cy="14605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030605" cy="1460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keepNext w:val="0"/>
                            <w:keepLines w:val="0"/>
                            <w:pageBreakBefore w:val="0"/>
                            <w:widowControl w:val="0"/>
                            <w:kinsoku/>
                            <w:wordWrap/>
                            <w:overflowPunct/>
                            <w:topLinePunct w:val="0"/>
                            <w:autoSpaceDE/>
                            <w:autoSpaceDN/>
                            <w:bidi/>
                            <w:adjustRightInd/>
                            <w:snapToGrid w:val="0"/>
                            <w:ind w:left="1361"/>
                            <w:jc w:val="right"/>
                            <w:textAlignment w:val="auto"/>
                            <w:rPr>
                              <w:rFonts w:hint="eastAsia" w:eastAsiaTheme="minorEastAsia"/>
                              <w:lang w:eastAsia="zh-CN"/>
                            </w:rPr>
                          </w:pP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0.75pt;margin-top:0pt;height:11.5pt;width:81.15pt;mso-position-horizontal-relative:margin;z-index:251659264;mso-width-relative:page;mso-height-relative:page;" filled="f" stroked="f" coordsize="21600,21600" o:gfxdata="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6wW7f1AAAAAYBAAAPAAAAAAAAAAEAIAAAACIAAABkcnMvZG93bnJldi54bWxQ&#10;SwECFAAUAAAACACHTuJAT1EZBzQCAABiBAAADgAAAAAAAAABACAAAAAjAQAAZHJzL2Uyb0RvYy54&#10;bWxQSwUGAAAAAAYABgBZAQAAyQUAAAAA&#10;">
              <v:fill on="f" focussize="0,0"/>
              <v:stroke on="f" weight="0.5pt"/>
              <v:imagedata o:title=""/>
              <o:lock v:ext="edit" aspectratio="f"/>
              <v:textbox inset="0mm,0mm,0mm,0mm">
                <w:txbxContent>
                  <w:p>
                    <w:pPr>
                      <w:pStyle w:val="2"/>
                      <w:keepNext w:val="0"/>
                      <w:keepLines w:val="0"/>
                      <w:pageBreakBefore w:val="0"/>
                      <w:widowControl w:val="0"/>
                      <w:kinsoku/>
                      <w:wordWrap/>
                      <w:overflowPunct/>
                      <w:topLinePunct w:val="0"/>
                      <w:autoSpaceDE/>
                      <w:autoSpaceDN/>
                      <w:bidi/>
                      <w:adjustRightInd/>
                      <w:snapToGrid w:val="0"/>
                      <w:ind w:left="1361"/>
                      <w:jc w:val="right"/>
                      <w:textAlignment w:val="auto"/>
                      <w:rPr>
                        <w:rFonts w:hint="eastAsia" w:eastAsiaTheme="minorEastAsia"/>
                        <w:lang w:eastAsia="zh-CN"/>
                      </w:rPr>
                    </w:pPr>
                  </w:p>
                </w:txbxContent>
              </v:textbox>
            </v:shape>
          </w:pict>
        </mc:Fallback>
      </mc:AlternateContent>
    </w:r>
    <w:r>
      <w:rPr>
        <w:rFonts w:hint="eastAsia"/>
        <w:lang w:eastAsia="zh-CN"/>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jc w:val="right"/>
      <w:rPr>
        <w:rFonts w:hint="eastAsia" w:ascii="黑体" w:hAnsi="黑体" w:eastAsia="黑体" w:cs="黑体"/>
        <w:sz w:val="21"/>
        <w:szCs w:val="32"/>
        <w:lang w:val="en-US" w:eastAsia="zh-CN"/>
      </w:rPr>
    </w:pPr>
    <w:r>
      <w:rPr>
        <w:rFonts w:hint="eastAsia" w:ascii="黑体" w:hAnsi="黑体" w:eastAsia="黑体" w:cs="黑体"/>
        <w:sz w:val="21"/>
        <w:szCs w:val="32"/>
        <w:lang w:val="en-US" w:eastAsia="zh-CN"/>
      </w:rPr>
      <w:t>Q/XXZW 101.59—2023</w:t>
    </w:r>
  </w:p>
  <w:p>
    <w:pPr>
      <w:pStyle w:val="3"/>
      <w:rPr>
        <w:rFonts w:hint="eastAsia"/>
        <w:lang w:val="en-US"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jc w:val="both"/>
      <w:rPr>
        <w:rFonts w:hint="eastAsia" w:ascii="黑体" w:hAnsi="黑体" w:eastAsia="黑体" w:cs="黑体"/>
        <w:sz w:val="21"/>
        <w:szCs w:val="32"/>
        <w:lang w:val="en-US" w:eastAsia="zh-CN"/>
      </w:rPr>
    </w:pPr>
    <w:r>
      <w:rPr>
        <w:rFonts w:hint="eastAsia" w:ascii="黑体" w:hAnsi="黑体" w:eastAsia="黑体" w:cs="黑体"/>
        <w:sz w:val="21"/>
        <w:szCs w:val="32"/>
        <w:lang w:val="en-US" w:eastAsia="zh-CN"/>
      </w:rPr>
      <w:t>Q/XXZW 101.59—2023</w:t>
    </w:r>
  </w:p>
  <w:p>
    <w:pPr>
      <w:pStyle w:val="3"/>
      <w:pBdr>
        <w:bottom w:val="none" w:color="auto" w:sz="0" w:space="1"/>
      </w:pBdr>
      <w:tabs>
        <w:tab w:val="left" w:pos="1947"/>
        <w:tab w:val="clear" w:pos="4153"/>
      </w:tabs>
      <w:jc w:val="left"/>
      <w:rPr>
        <w:rFonts w:hint="eastAsia" w:ascii="黑体" w:hAnsi="黑体" w:eastAsia="黑体" w:cs="黑体"/>
        <w:sz w:val="21"/>
        <w:szCs w:val="32"/>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mirrorMargins w:val="1"/>
  <w:bordersDoNotSurroundHeader w:val="0"/>
  <w:bordersDoNotSurroundFooter w:val="0"/>
  <w:documentProtection w:enforcement="0"/>
  <w:defaultTabStop w:val="420"/>
  <w:evenAndOddHeaders w:val="1"/>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JhMjliYjhjODE4MzU4YjYxMjA1NGRkZWQ2MzhhOTAifQ=="/>
  </w:docVars>
  <w:rsids>
    <w:rsidRoot w:val="00000000"/>
    <w:rsid w:val="001B4C77"/>
    <w:rsid w:val="00EF1DA9"/>
    <w:rsid w:val="01AD7E6D"/>
    <w:rsid w:val="024E57BE"/>
    <w:rsid w:val="03107D3B"/>
    <w:rsid w:val="03715E77"/>
    <w:rsid w:val="04F5513A"/>
    <w:rsid w:val="051E32DA"/>
    <w:rsid w:val="057C5BD8"/>
    <w:rsid w:val="06244179"/>
    <w:rsid w:val="062F7204"/>
    <w:rsid w:val="071B5079"/>
    <w:rsid w:val="075715C9"/>
    <w:rsid w:val="07A948BE"/>
    <w:rsid w:val="096939A7"/>
    <w:rsid w:val="0A001049"/>
    <w:rsid w:val="0A577EDC"/>
    <w:rsid w:val="0B0D44D4"/>
    <w:rsid w:val="0BB43C6B"/>
    <w:rsid w:val="0C4401AE"/>
    <w:rsid w:val="0D2A279F"/>
    <w:rsid w:val="0DCE2A25"/>
    <w:rsid w:val="0DDB3A3F"/>
    <w:rsid w:val="0F1A5AAF"/>
    <w:rsid w:val="11DC7D06"/>
    <w:rsid w:val="126A3EA0"/>
    <w:rsid w:val="13EC42A6"/>
    <w:rsid w:val="149A61A0"/>
    <w:rsid w:val="16027499"/>
    <w:rsid w:val="16703ADC"/>
    <w:rsid w:val="16713E1B"/>
    <w:rsid w:val="170424C3"/>
    <w:rsid w:val="17394603"/>
    <w:rsid w:val="19B90B6C"/>
    <w:rsid w:val="1ADC6381"/>
    <w:rsid w:val="1B2C775A"/>
    <w:rsid w:val="1B2D105E"/>
    <w:rsid w:val="1C23651B"/>
    <w:rsid w:val="1C273C13"/>
    <w:rsid w:val="1C9B2596"/>
    <w:rsid w:val="1CDE486A"/>
    <w:rsid w:val="1D8607E8"/>
    <w:rsid w:val="1DFD1F7F"/>
    <w:rsid w:val="1EBE73C4"/>
    <w:rsid w:val="21AC28FC"/>
    <w:rsid w:val="22FE3092"/>
    <w:rsid w:val="236F308A"/>
    <w:rsid w:val="23C17687"/>
    <w:rsid w:val="240C57A2"/>
    <w:rsid w:val="250638CD"/>
    <w:rsid w:val="262C1868"/>
    <w:rsid w:val="26786548"/>
    <w:rsid w:val="270F36B0"/>
    <w:rsid w:val="28412D9C"/>
    <w:rsid w:val="2A0505E0"/>
    <w:rsid w:val="2BB84EFC"/>
    <w:rsid w:val="2BCF7366"/>
    <w:rsid w:val="2E477B6D"/>
    <w:rsid w:val="2EDA62EB"/>
    <w:rsid w:val="2F1C5E04"/>
    <w:rsid w:val="2F1E36D7"/>
    <w:rsid w:val="31D32B33"/>
    <w:rsid w:val="32225ABD"/>
    <w:rsid w:val="33562C3B"/>
    <w:rsid w:val="33B006B6"/>
    <w:rsid w:val="33C96C75"/>
    <w:rsid w:val="34312375"/>
    <w:rsid w:val="374534D2"/>
    <w:rsid w:val="3800567E"/>
    <w:rsid w:val="38296225"/>
    <w:rsid w:val="387A6293"/>
    <w:rsid w:val="39420DD4"/>
    <w:rsid w:val="3A376F2E"/>
    <w:rsid w:val="3C03787E"/>
    <w:rsid w:val="3E912910"/>
    <w:rsid w:val="3F34077E"/>
    <w:rsid w:val="3F58712B"/>
    <w:rsid w:val="3FB7726A"/>
    <w:rsid w:val="40486044"/>
    <w:rsid w:val="40A20822"/>
    <w:rsid w:val="419D37C9"/>
    <w:rsid w:val="423A66AC"/>
    <w:rsid w:val="43A85C63"/>
    <w:rsid w:val="43FD267D"/>
    <w:rsid w:val="44455FF3"/>
    <w:rsid w:val="459828A0"/>
    <w:rsid w:val="46E90FA7"/>
    <w:rsid w:val="474C44FA"/>
    <w:rsid w:val="47B26EA9"/>
    <w:rsid w:val="48DF0D1A"/>
    <w:rsid w:val="4A8470F0"/>
    <w:rsid w:val="4AE314A0"/>
    <w:rsid w:val="4B131269"/>
    <w:rsid w:val="4BCA0D1B"/>
    <w:rsid w:val="4C5F3D5A"/>
    <w:rsid w:val="4DC75A8E"/>
    <w:rsid w:val="4E7216E3"/>
    <w:rsid w:val="4F2C3695"/>
    <w:rsid w:val="4F5D4751"/>
    <w:rsid w:val="4F8D2504"/>
    <w:rsid w:val="51AF7072"/>
    <w:rsid w:val="51D225EF"/>
    <w:rsid w:val="54DE1664"/>
    <w:rsid w:val="57014F55"/>
    <w:rsid w:val="574E4641"/>
    <w:rsid w:val="584B21EF"/>
    <w:rsid w:val="58C35AC5"/>
    <w:rsid w:val="5990156F"/>
    <w:rsid w:val="59AE4C53"/>
    <w:rsid w:val="59E2702F"/>
    <w:rsid w:val="59EA3586"/>
    <w:rsid w:val="5A84723C"/>
    <w:rsid w:val="5D1F636E"/>
    <w:rsid w:val="5D2A7067"/>
    <w:rsid w:val="5D8C41B9"/>
    <w:rsid w:val="5DAB327D"/>
    <w:rsid w:val="5E9C127C"/>
    <w:rsid w:val="5F8D56AA"/>
    <w:rsid w:val="60075E8B"/>
    <w:rsid w:val="6099234B"/>
    <w:rsid w:val="646B7EE9"/>
    <w:rsid w:val="657255DA"/>
    <w:rsid w:val="6598155C"/>
    <w:rsid w:val="66F75C59"/>
    <w:rsid w:val="67745659"/>
    <w:rsid w:val="69485F54"/>
    <w:rsid w:val="6B1941C5"/>
    <w:rsid w:val="6B8F0D1D"/>
    <w:rsid w:val="6C44741D"/>
    <w:rsid w:val="6D922E67"/>
    <w:rsid w:val="7019553E"/>
    <w:rsid w:val="7039002E"/>
    <w:rsid w:val="7067478F"/>
    <w:rsid w:val="713429A1"/>
    <w:rsid w:val="71697A56"/>
    <w:rsid w:val="71C5545A"/>
    <w:rsid w:val="71E77BF3"/>
    <w:rsid w:val="72A96578"/>
    <w:rsid w:val="73F241A9"/>
    <w:rsid w:val="754B10F6"/>
    <w:rsid w:val="758E196D"/>
    <w:rsid w:val="75C1033A"/>
    <w:rsid w:val="75C748B5"/>
    <w:rsid w:val="75DF1340"/>
    <w:rsid w:val="76ED4FE7"/>
    <w:rsid w:val="7869418D"/>
    <w:rsid w:val="79042279"/>
    <w:rsid w:val="799A75AC"/>
    <w:rsid w:val="7B160887"/>
    <w:rsid w:val="7B287606"/>
    <w:rsid w:val="7B4A135E"/>
    <w:rsid w:val="7BE1774D"/>
    <w:rsid w:val="7CAB54FA"/>
    <w:rsid w:val="7E5E4287"/>
    <w:rsid w:val="7E8301BB"/>
    <w:rsid w:val="7ECE1BFF"/>
    <w:rsid w:val="7EFA2E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Hyperlink"/>
    <w:basedOn w:val="5"/>
    <w:qFormat/>
    <w:uiPriority w:val="0"/>
    <w:rPr>
      <w:color w:val="0000FF"/>
      <w:u w:val="single"/>
    </w:rPr>
  </w:style>
  <w:style w:type="character" w:customStyle="1" w:styleId="7">
    <w:name w:val="ellisiss"/>
    <w:basedOn w:val="5"/>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2292</Words>
  <Characters>2578</Characters>
  <Lines>0</Lines>
  <Paragraphs>0</Paragraphs>
  <TotalTime>0</TotalTime>
  <ScaleCrop>false</ScaleCrop>
  <LinksUpToDate>false</LinksUpToDate>
  <CharactersWithSpaces>2677</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张小乐啊</cp:lastModifiedBy>
  <cp:lastPrinted>2021-10-28T07:14:00Z</cp:lastPrinted>
  <dcterms:modified xsi:type="dcterms:W3CDTF">2024-03-12T01:48:08Z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828CB423EAC24553A9000C7DB3361FDC</vt:lpwstr>
  </property>
</Properties>
</file>