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850" w:after="680"/>
        <w:jc w:val="center"/>
        <w:textAlignment w:val="auto"/>
        <w:rPr>
          <w:rFonts w:hint="eastAsia" w:ascii="黑体" w:hAnsi="黑体" w:eastAsia="黑体" w:cs="黑体"/>
          <w:b/>
          <w:bCs/>
          <w:sz w:val="32"/>
          <w:szCs w:val="40"/>
          <w:lang w:val="en-US" w:eastAsia="zh-CN"/>
        </w:rPr>
      </w:pPr>
      <w:bookmarkStart w:id="0" w:name="_GoBack"/>
      <w:bookmarkEnd w:id="0"/>
      <w:r>
        <w:rPr>
          <w:rFonts w:hint="eastAsia" w:ascii="黑体" w:hAnsi="黑体" w:eastAsia="黑体" w:cs="黑体"/>
          <w:b/>
          <w:bCs/>
          <w:sz w:val="32"/>
          <w:szCs w:val="40"/>
          <w:lang w:val="en-US" w:eastAsia="zh-CN"/>
        </w:rPr>
        <w:t>船舶所有权登记办理规程</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  事项名称及编码</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b w:val="0"/>
          <w:i w:val="0"/>
          <w:caps w:val="0"/>
          <w:color w:val="000000"/>
          <w:spacing w:val="0"/>
          <w:sz w:val="21"/>
          <w:szCs w:val="21"/>
        </w:rPr>
        <w:t>船舶所有权登记</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b w:val="0"/>
          <w:i w:val="0"/>
          <w:caps w:val="0"/>
          <w:color w:val="000000"/>
          <w:spacing w:val="0"/>
          <w:sz w:val="21"/>
          <w:szCs w:val="21"/>
        </w:rPr>
        <w:t>006112054QRD7116001</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2  事项类型</w:t>
      </w:r>
    </w:p>
    <w:p>
      <w:pPr>
        <w:keepNext w:val="0"/>
        <w:keepLines w:val="0"/>
        <w:pageBreakBefore w:val="0"/>
        <w:widowControl w:val="0"/>
        <w:kinsoku/>
        <w:wordWrap/>
        <w:overflowPunct/>
        <w:topLinePunct w:val="0"/>
        <w:autoSpaceDE/>
        <w:autoSpaceDN/>
        <w:bidi w:val="0"/>
        <w:adjustRightInd/>
        <w:snapToGrid/>
        <w:spacing w:before="313" w:beforeLines="100" w:after="313" w:afterLines="100"/>
        <w:ind w:firstLine="420" w:firstLineChars="200"/>
        <w:textAlignment w:val="auto"/>
        <w:rPr>
          <w:rFonts w:hint="default" w:ascii="宋体" w:hAnsi="宋体" w:eastAsia="宋体" w:cs="宋体"/>
          <w:lang w:val="en-US" w:eastAsia="zh-CN"/>
        </w:rPr>
      </w:pPr>
      <w:r>
        <w:rPr>
          <w:rFonts w:hint="default" w:ascii="宋体" w:hAnsi="宋体" w:eastAsia="宋体" w:cs="宋体"/>
          <w:lang w:val="en-US" w:eastAsia="zh-CN"/>
        </w:rPr>
        <w:t>行政确认</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3  设立依据</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b w:val="0"/>
          <w:i w:val="0"/>
          <w:caps w:val="0"/>
          <w:color w:val="4A4A4A"/>
          <w:spacing w:val="0"/>
          <w:sz w:val="21"/>
          <w:szCs w:val="21"/>
        </w:rPr>
      </w:pPr>
      <w:r>
        <w:rPr>
          <w:rFonts w:hint="eastAsia" w:asciiTheme="minorEastAsia" w:hAnsiTheme="minorEastAsia" w:eastAsiaTheme="minorEastAsia" w:cstheme="minorEastAsia"/>
          <w:b w:val="0"/>
          <w:i w:val="0"/>
          <w:caps w:val="0"/>
          <w:color w:val="4A4A4A"/>
          <w:spacing w:val="0"/>
          <w:sz w:val="21"/>
          <w:szCs w:val="21"/>
        </w:rPr>
        <w:t>《中华人民共和国船舶登记条例》（国务院令第155号公布，国务院令第653号修正）</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b w:val="0"/>
          <w:i w:val="0"/>
          <w:caps w:val="0"/>
          <w:color w:val="4A4A4A"/>
          <w:spacing w:val="0"/>
          <w:sz w:val="21"/>
          <w:szCs w:val="21"/>
        </w:rPr>
      </w:pPr>
      <w:r>
        <w:rPr>
          <w:rFonts w:hint="eastAsia" w:asciiTheme="minorEastAsia" w:hAnsiTheme="minorEastAsia" w:eastAsiaTheme="minorEastAsia" w:cstheme="minorEastAsia"/>
          <w:b w:val="0"/>
          <w:i w:val="0"/>
          <w:caps w:val="0"/>
          <w:color w:val="4A4A4A"/>
          <w:spacing w:val="0"/>
          <w:sz w:val="21"/>
          <w:szCs w:val="21"/>
        </w:rPr>
        <w:t>第五条船舶所有权的取得、转让和消灭，应当向船舶登记机关登记；未经登记的，不得对抗第三人。船舶由二个以上的法人或者个人共有的，应当向船舶登记机关登记；未经登记的，不得对抗第三人。</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b w:val="0"/>
          <w:i w:val="0"/>
          <w:caps w:val="0"/>
          <w:color w:val="4A4A4A"/>
          <w:spacing w:val="0"/>
          <w:sz w:val="21"/>
          <w:szCs w:val="21"/>
        </w:rPr>
      </w:pPr>
      <w:r>
        <w:rPr>
          <w:rFonts w:hint="eastAsia" w:asciiTheme="minorEastAsia" w:hAnsiTheme="minorEastAsia" w:eastAsiaTheme="minorEastAsia" w:cstheme="minorEastAsia"/>
          <w:b w:val="0"/>
          <w:i w:val="0"/>
          <w:caps w:val="0"/>
          <w:color w:val="4A4A4A"/>
          <w:spacing w:val="0"/>
          <w:sz w:val="21"/>
          <w:szCs w:val="21"/>
        </w:rPr>
        <w:t>第八条中华人民共和国港务监督机构是船舶登记主管机关。</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b w:val="0"/>
          <w:i w:val="0"/>
          <w:caps w:val="0"/>
          <w:color w:val="4A4A4A"/>
          <w:spacing w:val="0"/>
          <w:sz w:val="21"/>
          <w:szCs w:val="21"/>
        </w:rPr>
      </w:pPr>
      <w:r>
        <w:rPr>
          <w:rFonts w:hint="eastAsia" w:asciiTheme="minorEastAsia" w:hAnsiTheme="minorEastAsia" w:eastAsiaTheme="minorEastAsia" w:cstheme="minorEastAsia"/>
          <w:b w:val="0"/>
          <w:i w:val="0"/>
          <w:caps w:val="0"/>
          <w:color w:val="4A4A4A"/>
          <w:spacing w:val="0"/>
          <w:sz w:val="21"/>
          <w:szCs w:val="21"/>
        </w:rPr>
        <w:t>各港的港务监督机构是具体实施船舶登记的机关（以下简称船舶登记机关），其管辖范围由中华人民共和国港务监督机构确定。</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b w:val="0"/>
          <w:i w:val="0"/>
          <w:caps w:val="0"/>
          <w:color w:val="4A4A4A"/>
          <w:spacing w:val="0"/>
          <w:sz w:val="21"/>
          <w:szCs w:val="21"/>
        </w:rPr>
      </w:pPr>
      <w:r>
        <w:rPr>
          <w:rFonts w:hint="eastAsia" w:asciiTheme="minorEastAsia" w:hAnsiTheme="minorEastAsia" w:eastAsiaTheme="minorEastAsia" w:cstheme="minorEastAsia"/>
          <w:b w:val="0"/>
          <w:i w:val="0"/>
          <w:caps w:val="0"/>
          <w:color w:val="4A4A4A"/>
          <w:spacing w:val="0"/>
          <w:sz w:val="21"/>
          <w:szCs w:val="21"/>
        </w:rPr>
        <w:t>第三十九条船舶所有权发生转移时，原船舶所有人应当持船舶所有权登记证书、船舶国籍证书和其他有关证明文件到船籍港船舶登记机关办理注销登记。</w:t>
      </w:r>
    </w:p>
    <w:p>
      <w:pPr>
        <w:keepNext w:val="0"/>
        <w:keepLines w:val="0"/>
        <w:pageBreakBefore w:val="0"/>
        <w:widowControl w:val="0"/>
        <w:numPr>
          <w:ilvl w:val="0"/>
          <w:numId w:val="0"/>
        </w:numPr>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4  受理机构</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新县政务服务中心（新县市民之家）</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5  决定机构</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宋体" w:hAnsi="宋体" w:eastAsia="宋体" w:cs="宋体"/>
          <w:lang w:val="en-US" w:eastAsia="zh-CN"/>
        </w:rPr>
      </w:pPr>
      <w:r>
        <w:rPr>
          <w:rFonts w:hint="eastAsia" w:ascii="宋体" w:hAnsi="宋体" w:eastAsia="宋体" w:cs="宋体"/>
          <w:lang w:val="en-US" w:eastAsia="zh-CN"/>
        </w:rPr>
        <w:t>新县交通运输局</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6  办理条件</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Theme="minorEastAsia" w:hAnsiTheme="minorEastAsia" w:eastAsiaTheme="minorEastAsia" w:cstheme="minorEastAsia"/>
          <w:b w:val="0"/>
          <w:i w:val="0"/>
          <w:caps w:val="0"/>
          <w:color w:val="4A4A4A"/>
          <w:spacing w:val="0"/>
          <w:sz w:val="21"/>
          <w:szCs w:val="21"/>
        </w:rPr>
        <w:t>（</w:t>
      </w:r>
      <w:r>
        <w:rPr>
          <w:rFonts w:hint="eastAsia" w:ascii="宋体" w:hAnsi="宋体" w:eastAsia="宋体" w:cs="宋体"/>
          <w:lang w:val="en-US" w:eastAsia="zh-CN"/>
        </w:rPr>
        <w:t>1）申请人合法取得船舶所有权；</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（2）申请人符合《中华人民共和国船舶登记条例》《中华人民共和国船舶登记办法》相关规定；</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（3）属当地海事管理机构登记管辖；</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（4）进口船舶符合国家有关进口船舶船龄限制规定并且进口手续合法、完备；</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（5）船舶已取得经海事管理机构核定的船名和船舶识别号。</w:t>
      </w:r>
    </w:p>
    <w:p>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黑体" w:hAnsi="黑体" w:eastAsia="黑体" w:cs="黑体"/>
          <w:lang w:val="en-US" w:eastAsia="zh-CN"/>
        </w:rPr>
      </w:pPr>
      <w:r>
        <w:rPr>
          <w:rFonts w:hint="eastAsia" w:ascii="黑体" w:hAnsi="黑体" w:eastAsia="黑体" w:cs="黑体"/>
          <w:lang w:val="en-US" w:eastAsia="zh-CN"/>
        </w:rPr>
        <w:t>7  申办材料</w:t>
      </w:r>
    </w:p>
    <w:tbl>
      <w:tblPr>
        <w:tblStyle w:val="4"/>
        <w:tblpPr w:leftFromText="180" w:rightFromText="180" w:vertAnchor="text" w:horzAnchor="page" w:tblpXSpec="center" w:tblpY="173"/>
        <w:tblOverlap w:val="never"/>
        <w:tblW w:w="88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0"/>
        <w:gridCol w:w="2007"/>
        <w:gridCol w:w="1311"/>
        <w:gridCol w:w="655"/>
        <w:gridCol w:w="1462"/>
        <w:gridCol w:w="28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val="en-US" w:eastAsia="zh-CN"/>
              </w:rPr>
              <w:t>序</w:t>
            </w:r>
            <w:r>
              <w:rPr>
                <w:rFonts w:hint="eastAsia" w:ascii="宋体" w:hAnsi="宋体" w:eastAsia="宋体" w:cs="宋体"/>
                <w:sz w:val="18"/>
                <w:szCs w:val="18"/>
                <w:lang w:eastAsia="zh-CN"/>
              </w:rPr>
              <w:t>号</w:t>
            </w:r>
          </w:p>
        </w:tc>
        <w:tc>
          <w:tcPr>
            <w:tcW w:w="2007" w:type="dxa"/>
            <w:shd w:val="clear" w:color="auto" w:fill="auto"/>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提交材料名称</w:t>
            </w:r>
          </w:p>
        </w:tc>
        <w:tc>
          <w:tcPr>
            <w:tcW w:w="1311" w:type="dxa"/>
            <w:shd w:val="clear" w:color="auto" w:fill="auto"/>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both"/>
              <w:rPr>
                <w:rFonts w:hint="eastAsia" w:ascii="宋体" w:hAnsi="宋体" w:eastAsia="宋体" w:cs="宋体"/>
                <w:sz w:val="18"/>
                <w:szCs w:val="18"/>
                <w:lang w:eastAsia="zh-CN"/>
              </w:rPr>
            </w:pPr>
            <w:r>
              <w:rPr>
                <w:rFonts w:hint="eastAsia" w:ascii="宋体" w:hAnsi="宋体" w:eastAsia="宋体" w:cs="宋体"/>
                <w:sz w:val="18"/>
                <w:szCs w:val="18"/>
                <w:lang w:eastAsia="zh-CN"/>
              </w:rPr>
              <w:t>原件/复印件</w:t>
            </w:r>
          </w:p>
        </w:tc>
        <w:tc>
          <w:tcPr>
            <w:tcW w:w="655" w:type="dxa"/>
            <w:shd w:val="clear" w:color="auto" w:fill="auto"/>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份数</w:t>
            </w:r>
          </w:p>
        </w:tc>
        <w:tc>
          <w:tcPr>
            <w:tcW w:w="1462" w:type="dxa"/>
            <w:shd w:val="clear" w:color="auto" w:fill="auto"/>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纸质/电子版</w:t>
            </w:r>
          </w:p>
        </w:tc>
        <w:tc>
          <w:tcPr>
            <w:tcW w:w="2817" w:type="dxa"/>
            <w:shd w:val="clear" w:color="auto" w:fill="auto"/>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特定要求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vAlign w:val="center"/>
          </w:tcPr>
          <w:p>
            <w:pPr>
              <w:widowControl/>
              <w:jc w:val="center"/>
              <w:textAlignment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1</w:t>
            </w:r>
          </w:p>
        </w:tc>
        <w:tc>
          <w:tcPr>
            <w:tcW w:w="2007" w:type="dxa"/>
            <w:shd w:val="clear" w:color="auto" w:fill="auto"/>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船舶所有权/国籍登记申请书</w:t>
            </w:r>
          </w:p>
        </w:tc>
        <w:tc>
          <w:tcPr>
            <w:tcW w:w="1311" w:type="dxa"/>
            <w:shd w:val="clear" w:color="auto" w:fill="auto"/>
            <w:vAlign w:val="center"/>
          </w:tcPr>
          <w:p>
            <w:pPr>
              <w:jc w:val="center"/>
              <w:rPr>
                <w:rFonts w:hint="eastAsia" w:ascii="宋体" w:hAnsi="宋体" w:eastAsia="宋体" w:cs="宋体"/>
                <w:color w:val="000000"/>
                <w:sz w:val="18"/>
                <w:szCs w:val="18"/>
              </w:rPr>
            </w:pPr>
            <w:r>
              <w:rPr>
                <w:rFonts w:hint="eastAsia" w:ascii="宋体" w:hAnsi="宋体" w:eastAsia="宋体" w:cs="宋体"/>
                <w:sz w:val="18"/>
                <w:szCs w:val="18"/>
                <w:lang w:eastAsia="zh-CN"/>
              </w:rPr>
              <w:t>原件</w:t>
            </w:r>
          </w:p>
        </w:tc>
        <w:tc>
          <w:tcPr>
            <w:tcW w:w="655" w:type="dxa"/>
            <w:shd w:val="clear" w:color="auto" w:fill="auto"/>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1</w:t>
            </w:r>
          </w:p>
        </w:tc>
        <w:tc>
          <w:tcPr>
            <w:tcW w:w="1462" w:type="dxa"/>
            <w:shd w:val="clear" w:color="auto" w:fill="auto"/>
            <w:vAlign w:val="center"/>
          </w:tcPr>
          <w:p>
            <w:pPr>
              <w:jc w:val="center"/>
              <w:rPr>
                <w:rFonts w:hint="eastAsia" w:ascii="宋体" w:hAnsi="宋体" w:eastAsia="宋体" w:cs="宋体"/>
                <w:color w:val="000000"/>
                <w:sz w:val="18"/>
                <w:szCs w:val="18"/>
              </w:rPr>
            </w:pPr>
            <w:r>
              <w:rPr>
                <w:rFonts w:hint="eastAsia" w:ascii="宋体" w:hAnsi="宋体" w:eastAsia="宋体" w:cs="宋体"/>
                <w:sz w:val="18"/>
                <w:szCs w:val="18"/>
                <w:lang w:eastAsia="zh-CN"/>
              </w:rPr>
              <w:t>纸质或电子版</w:t>
            </w:r>
          </w:p>
        </w:tc>
        <w:tc>
          <w:tcPr>
            <w:tcW w:w="2817" w:type="dxa"/>
            <w:shd w:val="clear" w:color="auto" w:fill="auto"/>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材料真实有效的，予以受理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vAlign w:val="center"/>
          </w:tcPr>
          <w:p>
            <w:pPr>
              <w:widowControl/>
              <w:jc w:val="center"/>
              <w:textAlignment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2</w:t>
            </w:r>
          </w:p>
        </w:tc>
        <w:tc>
          <w:tcPr>
            <w:tcW w:w="2007" w:type="dxa"/>
            <w:shd w:val="clear" w:color="auto" w:fill="auto"/>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船舶所有权取得证明材料</w:t>
            </w:r>
          </w:p>
        </w:tc>
        <w:tc>
          <w:tcPr>
            <w:tcW w:w="1311" w:type="dxa"/>
            <w:shd w:val="clear" w:color="auto" w:fill="auto"/>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原件</w:t>
            </w:r>
          </w:p>
        </w:tc>
        <w:tc>
          <w:tcPr>
            <w:tcW w:w="655" w:type="dxa"/>
            <w:shd w:val="clear" w:color="auto" w:fill="auto"/>
            <w:vAlign w:val="center"/>
          </w:tcPr>
          <w:p>
            <w:pPr>
              <w:jc w:val="center"/>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1</w:t>
            </w:r>
          </w:p>
        </w:tc>
        <w:tc>
          <w:tcPr>
            <w:tcW w:w="1462" w:type="dxa"/>
            <w:shd w:val="clear" w:color="auto" w:fill="auto"/>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纸质或电子版</w:t>
            </w:r>
          </w:p>
        </w:tc>
        <w:tc>
          <w:tcPr>
            <w:tcW w:w="2817" w:type="dxa"/>
            <w:shd w:val="clear" w:color="auto" w:fill="auto"/>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材料真实有效的，予以受理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6" w:hRule="atLeast"/>
          <w:jc w:val="center"/>
        </w:trPr>
        <w:tc>
          <w:tcPr>
            <w:tcW w:w="640" w:type="dxa"/>
            <w:shd w:val="clear" w:color="auto" w:fill="auto"/>
            <w:vAlign w:val="center"/>
          </w:tcPr>
          <w:p>
            <w:pPr>
              <w:widowControl/>
              <w:jc w:val="center"/>
              <w:textAlignment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3</w:t>
            </w:r>
          </w:p>
        </w:tc>
        <w:tc>
          <w:tcPr>
            <w:tcW w:w="2007" w:type="dxa"/>
            <w:shd w:val="clear" w:color="auto" w:fill="auto"/>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4-5寸规格的船舶正横照片两张，侧艏、正艉等照片</w:t>
            </w:r>
          </w:p>
        </w:tc>
        <w:tc>
          <w:tcPr>
            <w:tcW w:w="1311" w:type="dxa"/>
            <w:shd w:val="clear" w:color="auto" w:fill="auto"/>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原件</w:t>
            </w:r>
          </w:p>
        </w:tc>
        <w:tc>
          <w:tcPr>
            <w:tcW w:w="655" w:type="dxa"/>
            <w:shd w:val="clear" w:color="auto" w:fill="auto"/>
            <w:vAlign w:val="center"/>
          </w:tcPr>
          <w:p>
            <w:pPr>
              <w:jc w:val="center"/>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1</w:t>
            </w:r>
          </w:p>
        </w:tc>
        <w:tc>
          <w:tcPr>
            <w:tcW w:w="1462" w:type="dxa"/>
            <w:shd w:val="clear" w:color="auto" w:fill="auto"/>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w:t>
            </w:r>
          </w:p>
        </w:tc>
        <w:tc>
          <w:tcPr>
            <w:tcW w:w="2817" w:type="dxa"/>
            <w:shd w:val="clear" w:color="auto" w:fill="auto"/>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材料真实有效的，予以受理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vAlign w:val="center"/>
          </w:tcPr>
          <w:p>
            <w:pPr>
              <w:widowControl/>
              <w:jc w:val="center"/>
              <w:textAlignment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4</w:t>
            </w:r>
          </w:p>
        </w:tc>
        <w:tc>
          <w:tcPr>
            <w:tcW w:w="2007" w:type="dxa"/>
            <w:shd w:val="clear" w:color="auto" w:fill="auto"/>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船舶共有情况文件材料</w:t>
            </w:r>
          </w:p>
        </w:tc>
        <w:tc>
          <w:tcPr>
            <w:tcW w:w="1311" w:type="dxa"/>
            <w:shd w:val="clear" w:color="auto" w:fill="auto"/>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原件</w:t>
            </w:r>
          </w:p>
        </w:tc>
        <w:tc>
          <w:tcPr>
            <w:tcW w:w="655" w:type="dxa"/>
            <w:shd w:val="clear" w:color="auto" w:fill="auto"/>
            <w:vAlign w:val="center"/>
          </w:tcPr>
          <w:p>
            <w:pPr>
              <w:jc w:val="center"/>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1</w:t>
            </w:r>
          </w:p>
        </w:tc>
        <w:tc>
          <w:tcPr>
            <w:tcW w:w="1462" w:type="dxa"/>
            <w:shd w:val="clear" w:color="auto" w:fill="auto"/>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纸质或电子版</w:t>
            </w:r>
          </w:p>
        </w:tc>
        <w:tc>
          <w:tcPr>
            <w:tcW w:w="2817" w:type="dxa"/>
            <w:shd w:val="clear" w:color="auto" w:fill="auto"/>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材料真实有效的，予以受理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vAlign w:val="center"/>
          </w:tcPr>
          <w:p>
            <w:pPr>
              <w:widowControl/>
              <w:jc w:val="center"/>
              <w:textAlignment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5</w:t>
            </w:r>
          </w:p>
        </w:tc>
        <w:tc>
          <w:tcPr>
            <w:tcW w:w="2007" w:type="dxa"/>
            <w:shd w:val="clear" w:color="auto" w:fill="auto"/>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船舶检验证书、注销登记证书</w:t>
            </w:r>
          </w:p>
        </w:tc>
        <w:tc>
          <w:tcPr>
            <w:tcW w:w="1311" w:type="dxa"/>
            <w:shd w:val="clear" w:color="auto" w:fill="auto"/>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原件</w:t>
            </w:r>
          </w:p>
        </w:tc>
        <w:tc>
          <w:tcPr>
            <w:tcW w:w="655" w:type="dxa"/>
            <w:shd w:val="clear" w:color="auto" w:fill="auto"/>
            <w:vAlign w:val="center"/>
          </w:tcPr>
          <w:p>
            <w:pPr>
              <w:jc w:val="center"/>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1</w:t>
            </w:r>
          </w:p>
        </w:tc>
        <w:tc>
          <w:tcPr>
            <w:tcW w:w="1462" w:type="dxa"/>
            <w:shd w:val="clear" w:color="auto" w:fill="auto"/>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纸质或电子版</w:t>
            </w:r>
          </w:p>
        </w:tc>
        <w:tc>
          <w:tcPr>
            <w:tcW w:w="2817" w:type="dxa"/>
            <w:shd w:val="clear" w:color="auto" w:fill="auto"/>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材料真实有效的，予以受理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vAlign w:val="center"/>
          </w:tcPr>
          <w:p>
            <w:pPr>
              <w:widowControl/>
              <w:jc w:val="center"/>
              <w:textAlignment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6</w:t>
            </w:r>
          </w:p>
        </w:tc>
        <w:tc>
          <w:tcPr>
            <w:tcW w:w="2007" w:type="dxa"/>
            <w:shd w:val="clear" w:color="auto" w:fill="auto"/>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中华人民共和国居民身份证</w:t>
            </w:r>
          </w:p>
        </w:tc>
        <w:tc>
          <w:tcPr>
            <w:tcW w:w="1311" w:type="dxa"/>
            <w:shd w:val="clear" w:color="auto" w:fill="auto"/>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复印件</w:t>
            </w:r>
          </w:p>
        </w:tc>
        <w:tc>
          <w:tcPr>
            <w:tcW w:w="655" w:type="dxa"/>
            <w:shd w:val="clear" w:color="auto" w:fill="auto"/>
            <w:vAlign w:val="center"/>
          </w:tcPr>
          <w:p>
            <w:pPr>
              <w:jc w:val="center"/>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1</w:t>
            </w:r>
          </w:p>
        </w:tc>
        <w:tc>
          <w:tcPr>
            <w:tcW w:w="1462" w:type="dxa"/>
            <w:shd w:val="clear" w:color="auto" w:fill="auto"/>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纸质或电子版</w:t>
            </w:r>
          </w:p>
        </w:tc>
        <w:tc>
          <w:tcPr>
            <w:tcW w:w="2817" w:type="dxa"/>
            <w:shd w:val="clear" w:color="auto" w:fill="auto"/>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材料真实有效的，予以受理</w:t>
            </w:r>
          </w:p>
        </w:tc>
      </w:tr>
    </w:tbl>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8  受理方式</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8.1  窗口受理：新县市民之家三楼无差别综合受理窗口提交申办材料。</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8.2  网上申报：进入河南政务服务网（http://xyxinxian.hnzwfw.gov.cn/）按照提示进行网上申报。</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9  办理流程</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  受理：受理窗口对申请材料进行审查，能当场予以确认的，应当场出具受理通知书；不能当场确认的，自收到申请材料之日起1个工作日内作出是否受理的决定；不符合规定的，向申请单位出具不予受理通知书。</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  审查：登记机关依据审批材料进行审查，履行审批程序；符合条件的，予以登记；不符合条件的，不予办理使用登记，并书面说明理由。</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9.3  决定：审查通过的，书面及电话告知申请人。</w:t>
      </w: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lang w:val="en-US" w:eastAsia="zh-CN"/>
        </w:rPr>
      </w:pPr>
      <w:r>
        <w:rPr>
          <w:rFonts w:hint="eastAsia" w:ascii="宋体" w:hAnsi="宋体" w:eastAsia="宋体" w:cs="宋体"/>
          <w:lang w:val="en-US" w:eastAsia="zh-CN"/>
        </w:rPr>
        <w:t>9.4  工作流程图</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drawing>
          <wp:inline distT="0" distB="0" distL="114300" distR="114300">
            <wp:extent cx="5229225" cy="6572250"/>
            <wp:effectExtent l="0" t="0" r="9525" b="0"/>
            <wp:docPr id="1" name="图片 1" descr="流程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流程图"/>
                    <pic:cNvPicPr>
                      <a:picLocks noChangeAspect="1"/>
                    </pic:cNvPicPr>
                  </pic:nvPicPr>
                  <pic:blipFill>
                    <a:blip r:embed="rId6"/>
                    <a:stretch>
                      <a:fillRect/>
                    </a:stretch>
                  </pic:blipFill>
                  <pic:spPr>
                    <a:xfrm>
                      <a:off x="0" y="0"/>
                      <a:ext cx="5229225" cy="657225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10  办理时限</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10.1  法定时限：20个工作日</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10.2  承诺时限：1个工作日</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黑体" w:hAnsi="黑体" w:eastAsia="黑体" w:cs="黑体"/>
          <w:lang w:val="en-US" w:eastAsia="zh-CN"/>
        </w:rPr>
        <w:t>11  收费依据及标准</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不收费</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b w:val="0"/>
          <w:bCs w:val="0"/>
          <w:lang w:val="en-US" w:eastAsia="zh-CN"/>
        </w:rPr>
      </w:pPr>
      <w:r>
        <w:rPr>
          <w:rFonts w:hint="eastAsia" w:ascii="黑体" w:hAnsi="黑体" w:eastAsia="黑体" w:cs="黑体"/>
          <w:b w:val="0"/>
          <w:bCs w:val="0"/>
          <w:lang w:val="en-US" w:eastAsia="zh-CN"/>
        </w:rPr>
        <w:t>12  结果送达</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自受理之日起1个工作日内直接送达或邮寄送达</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13  咨询方式</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13.1  现场咨询：新县市民之家三楼无差别综合受理窗口</w:t>
      </w:r>
      <w:r>
        <w:rPr>
          <w:rFonts w:hint="eastAsia" w:ascii="黑体" w:hAnsi="黑体" w:eastAsia="黑体" w:cs="黑体"/>
          <w:b w:val="0"/>
          <w:bCs w:val="0"/>
          <w:color w:val="000000" w:themeColor="text1"/>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13.2  电话咨询：窗口电话：0376－7622311单位电话：0376-2986348</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13.3  网上咨询：</w:t>
      </w: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"http://xyxinxian.hnzwfw.gov.cn" </w:instrText>
      </w:r>
      <w:r>
        <w:rPr>
          <w:rFonts w:hint="eastAsia" w:ascii="宋体" w:hAnsi="宋体" w:eastAsia="宋体" w:cs="宋体"/>
          <w:lang w:val="en-US" w:eastAsia="zh-CN"/>
        </w:rPr>
        <w:fldChar w:fldCharType="separate"/>
      </w:r>
      <w:r>
        <w:rPr>
          <w:rFonts w:hint="eastAsia" w:ascii="宋体" w:hAnsi="宋体" w:eastAsia="宋体" w:cs="宋体"/>
          <w:lang w:val="en-US" w:eastAsia="zh-CN"/>
        </w:rPr>
        <w:t>http://xyxinxian.hnzwfw.gov.cn</w:t>
      </w:r>
      <w:r>
        <w:rPr>
          <w:rFonts w:hint="eastAsia" w:ascii="宋体" w:hAnsi="宋体" w:eastAsia="宋体" w:cs="宋体"/>
          <w:lang w:val="en-US" w:eastAsia="zh-CN"/>
        </w:rPr>
        <w:fldChar w:fldCharType="end"/>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14  监督投诉渠道</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14.1  现场监督投诉：新县市民之家投诉中心</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  电话监督投诉：</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14.2.1  新县市民之家投诉电话：0376-2969509</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14.2.2  政务服务热线：12345</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14.2.3  本单位监督举报电话：0376-2986348</w:t>
      </w: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lang w:val="en-US" w:eastAsia="zh-CN"/>
        </w:rPr>
      </w:pPr>
      <w:r>
        <w:rPr>
          <w:rFonts w:hint="eastAsia" w:ascii="宋体" w:hAnsi="宋体" w:eastAsia="宋体" w:cs="宋体"/>
          <w:lang w:val="en-US" w:eastAsia="zh-CN"/>
        </w:rPr>
        <w:t>14.3  网上监督投诉：http://xyxinxian.hnzwfw.gov.cn</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15  办理地址和时间</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15.1  地址：新县北畈路市民之家</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15.2  时间：周一至周五，法定节假日除外，上午9：00-12：00 下午1:00-5:00</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16  办理进程和结果查询</w:t>
      </w: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lang w:val="en-US" w:eastAsia="zh-CN"/>
        </w:rPr>
      </w:pPr>
      <w:r>
        <w:rPr>
          <w:rFonts w:hint="eastAsia" w:ascii="宋体" w:hAnsi="宋体" w:eastAsia="宋体" w:cs="宋体"/>
          <w:lang w:val="en-US" w:eastAsia="zh-CN"/>
        </w:rPr>
        <w:t>16.1  现场查询：新县市民之家三楼无差别综合受理窗口</w:t>
      </w:r>
      <w:r>
        <w:rPr>
          <w:rFonts w:hint="eastAsia" w:ascii="黑体" w:hAnsi="黑体" w:eastAsia="黑体" w:cs="黑体"/>
          <w:b w:val="0"/>
          <w:bCs w:val="0"/>
          <w:color w:val="000000" w:themeColor="text1"/>
          <w:lang w:val="en-US" w:eastAsia="zh-CN"/>
          <w14:textFill>
            <w14:solidFill>
              <w14:schemeClr w14:val="tx1"/>
            </w14:solidFill>
          </w14:textFill>
        </w:rPr>
        <w:t xml:space="preserve"> </w:t>
      </w:r>
      <w:r>
        <w:rPr>
          <w:rFonts w:hint="eastAsia" w:ascii="宋体" w:hAnsi="宋体" w:eastAsia="宋体" w:cs="宋体"/>
          <w:lang w:val="en-US" w:eastAsia="zh-CN"/>
        </w:rPr>
        <w:t>16.2  电话查询：0376-7622311</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16.3  网上查询：登录新县政务服务网（http://xyxinxian.hnzwfw.gov.cn）或下载“豫事办”APP和支付宝小程序查询</w:t>
      </w:r>
    </w:p>
    <w:p>
      <w:pPr>
        <w:keepNext w:val="0"/>
        <w:keepLines w:val="0"/>
        <w:pageBreakBefore w:val="0"/>
        <w:widowControl w:val="0"/>
        <w:kinsoku/>
        <w:wordWrap/>
        <w:overflowPunct/>
        <w:topLinePunct w:val="0"/>
        <w:autoSpaceDE/>
        <w:autoSpaceDN/>
        <w:bidi w:val="0"/>
        <w:adjustRightInd/>
        <w:snapToGrid/>
        <w:spacing w:before="313" w:beforeLines="100" w:after="313" w:afterLines="100"/>
        <w:jc w:val="center"/>
        <w:textAlignment w:val="auto"/>
        <w:rPr>
          <w:rFonts w:hint="default" w:ascii="黑体" w:hAnsi="黑体" w:eastAsia="黑体" w:cs="黑体"/>
          <w:lang w:val="en-US" w:eastAsia="zh-CN"/>
        </w:rPr>
      </w:pPr>
      <w:r>
        <w:rPr>
          <w:rFonts w:hint="eastAsia" w:ascii="黑体" w:hAnsi="黑体" w:eastAsia="黑体" w:cs="黑体"/>
          <w:b w:val="0"/>
          <w:bCs w:val="0"/>
          <w:color w:val="000000" w:themeColor="text1"/>
          <w:lang w:val="en-US" w:eastAsia="zh-CN"/>
          <w14:textFill>
            <w14:solidFill>
              <w14:schemeClr w14:val="tx1"/>
            </w14:solidFill>
          </w14:textFill>
        </w:rPr>
        <w:t>————————————————</w:t>
      </w:r>
    </w:p>
    <w:p/>
    <w:sectPr>
      <w:headerReference r:id="rId3" w:type="default"/>
      <w:headerReference r:id="rId4" w:type="even"/>
      <w:pgSz w:w="11906" w:h="16838"/>
      <w:pgMar w:top="1440" w:right="1800" w:bottom="1440" w:left="1800" w:header="340" w:footer="57"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jc w:val="right"/>
      <w:rPr>
        <w:rFonts w:hint="eastAsia" w:ascii="黑体" w:hAnsi="黑体" w:eastAsia="黑体" w:cs="黑体"/>
        <w:sz w:val="21"/>
        <w:szCs w:val="32"/>
        <w:lang w:val="en-US" w:eastAsia="zh-CN"/>
      </w:rPr>
    </w:pPr>
  </w:p>
  <w:p>
    <w:pPr>
      <w:pStyle w:val="3"/>
      <w:pBdr>
        <w:bottom w:val="none" w:color="auto" w:sz="0" w:space="1"/>
      </w:pBdr>
      <w:jc w:val="both"/>
      <w:rPr>
        <w:rFonts w:hint="eastAsia" w:ascii="黑体" w:hAnsi="黑体" w:eastAsia="黑体" w:cs="黑体"/>
        <w:sz w:val="21"/>
        <w:szCs w:val="32"/>
        <w:lang w:val="en-US" w:eastAsia="zh-CN"/>
      </w:rPr>
    </w:pPr>
  </w:p>
  <w:p>
    <w:pPr>
      <w:pStyle w:val="3"/>
      <w:pBdr>
        <w:bottom w:val="none" w:color="auto" w:sz="0" w:space="1"/>
      </w:pBdr>
      <w:ind w:firstLine="6300" w:firstLineChars="3000"/>
      <w:jc w:val="both"/>
      <w:rPr>
        <w:rFonts w:hint="eastAsia" w:ascii="黑体" w:hAnsi="黑体" w:eastAsia="黑体" w:cs="黑体"/>
        <w:sz w:val="21"/>
        <w:szCs w:val="32"/>
        <w:lang w:val="en-US" w:eastAsia="zh-CN"/>
      </w:rPr>
    </w:pPr>
    <w:r>
      <w:rPr>
        <w:rFonts w:hint="eastAsia" w:ascii="黑体" w:hAnsi="黑体" w:eastAsia="黑体" w:cs="黑体"/>
        <w:sz w:val="21"/>
        <w:szCs w:val="32"/>
        <w:lang w:val="en-US" w:eastAsia="zh-CN"/>
      </w:rPr>
      <w:t>Q/XXZW 101.80—2023</w:t>
    </w:r>
  </w:p>
  <w:p>
    <w:pPr>
      <w:pStyle w:val="3"/>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jc w:val="both"/>
      <w:rPr>
        <w:rFonts w:hint="eastAsia" w:ascii="黑体" w:hAnsi="黑体" w:eastAsia="黑体" w:cs="黑体"/>
        <w:sz w:val="21"/>
        <w:szCs w:val="32"/>
        <w:lang w:val="en-US" w:eastAsia="zh-CN"/>
      </w:rPr>
    </w:pPr>
  </w:p>
  <w:p>
    <w:pPr>
      <w:pStyle w:val="3"/>
      <w:pBdr>
        <w:bottom w:val="none" w:color="auto" w:sz="0" w:space="1"/>
      </w:pBdr>
      <w:jc w:val="both"/>
      <w:rPr>
        <w:rFonts w:hint="eastAsia" w:ascii="黑体" w:hAnsi="黑体" w:eastAsia="黑体" w:cs="黑体"/>
        <w:sz w:val="21"/>
        <w:szCs w:val="32"/>
        <w:lang w:val="en-US" w:eastAsia="zh-CN"/>
      </w:rPr>
    </w:pPr>
  </w:p>
  <w:p>
    <w:pPr>
      <w:pStyle w:val="3"/>
      <w:pBdr>
        <w:bottom w:val="none" w:color="auto" w:sz="0" w:space="1"/>
      </w:pBdr>
      <w:jc w:val="both"/>
      <w:rPr>
        <w:rFonts w:hint="eastAsia" w:ascii="黑体" w:hAnsi="黑体" w:eastAsia="黑体" w:cs="黑体"/>
        <w:sz w:val="21"/>
        <w:szCs w:val="32"/>
        <w:lang w:val="en-US" w:eastAsia="zh-CN"/>
      </w:rPr>
    </w:pPr>
    <w:r>
      <w:rPr>
        <w:rFonts w:hint="eastAsia" w:ascii="黑体" w:hAnsi="黑体" w:eastAsia="黑体" w:cs="黑体"/>
        <w:sz w:val="21"/>
        <w:szCs w:val="32"/>
        <w:lang w:val="en-US" w:eastAsia="zh-CN"/>
      </w:rPr>
      <w:t>Q/XXZW 101.80—2023</w:t>
    </w:r>
  </w:p>
  <w:p>
    <w:pPr>
      <w:pStyle w:val="3"/>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evenAndOddHeaders w:val="1"/>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JhMjliYjhjODE4MzU4YjYxMjA1NGRkZWQ2MzhhOTAifQ=="/>
  </w:docVars>
  <w:rsids>
    <w:rsidRoot w:val="47F905FF"/>
    <w:rsid w:val="09B200AC"/>
    <w:rsid w:val="22237994"/>
    <w:rsid w:val="22D71F89"/>
    <w:rsid w:val="2B3A4B2B"/>
    <w:rsid w:val="37553F05"/>
    <w:rsid w:val="3FBF1E2F"/>
    <w:rsid w:val="47F905FF"/>
    <w:rsid w:val="4AB54D86"/>
    <w:rsid w:val="57422CD2"/>
    <w:rsid w:val="72816DE2"/>
    <w:rsid w:val="74316A57"/>
    <w:rsid w:val="744525C8"/>
    <w:rsid w:val="79AE126F"/>
    <w:rsid w:val="79E672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1418</Words>
  <Characters>1703</Characters>
  <Lines>0</Lines>
  <Paragraphs>0</Paragraphs>
  <TotalTime>0</TotalTime>
  <ScaleCrop>false</ScaleCrop>
  <LinksUpToDate>false</LinksUpToDate>
  <CharactersWithSpaces>1780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2022-02-24T07:43:00Z</dcterms:created>
  <dc:creator>LENOVO</dc:creator>
  <cp:lastModifiedBy>张小乐啊</cp:lastModifiedBy>
  <dcterms:modified xsi:type="dcterms:W3CDTF">2024-03-12T01:50:13Z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A62DB6A574C9495F9FB977E4DA4EA930</vt:lpwstr>
  </property>
</Properties>
</file>