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船舶最低安全配员证书核发办理规程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船舶最低安全配员证书核发  006112054QR93U3B001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一)《中华人民共和国内河交通安全管理条例》第六条:船舶具备下列条件，方可航行：（一）经海事管理机构认可的船舶检验机构依法检验并持有合格的船舶检验证书；（二）经海事管理机构依法登记并持有船舶登记证书；（三）配备符合国务院交通主管部门规定的船员；（四）配备必要的航行资料。第七条：浮动设施具备下列条件，方可从事有关活动：（一）经海事管理机构认可的船舶检验机构依法检验并持有合格的检验证书；（二）经海事管理机构依法登记并持有登记证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二）《中华人民共和国船舶最低安全配员规则》第十一条：中国籍船舶应当按照本规则的规定，持有海事管理机构颁发的《船舶最低安全配员证书》。在中华人民共和国内水、领海及管辖海域的外国籍船舶，应当按照中华人民共和国缔结或者参加的有关国际条约的规定，持有其船旗国政府主管机关签发的《船舶最低安全配员证书》或者等效文件。;第十二条：船舶所有人应当在申请船舶国籍登记时，按照本规则的规定，对其船舶的最低安全配员如何适用本规则附录相应标准予以陈述，并可以包括对减免配员的特殊说明。;海事管理机构应当在依法对船舶国籍登记进行审核时，核定船舶的最低安全配员，并在核发船舶国籍证书时，向当事船舶配发《船舶最低安全配员证书》。第十三条：在境外建造或者购买并交接的船舶，船舶所有人应持船舶买卖合同或者建造合同及交接文件、船舶技术和其它相关资料的副本（复印件）到所辖的海事管理机构办理《船舶最低安全配员证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(三)《中华人民共和国高速客船安全管理规则》第十三条:速客船应向办理船舶登记手续的海事管理机构申领最低安全配员证书。高速客船的最低配员标准应满足本规则附录的要求。</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(四)《关于执行〈船舶最低安全配员规则〉有关问题的通知》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(五)《关于修改船舶最低安全配员表的通知》</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1、申请人主体合法有效；</w:t>
      </w:r>
      <w:r>
        <w:rPr>
          <w:rFonts w:hint="eastAsia" w:ascii="宋体" w:hAnsi="宋体" w:eastAsia="宋体" w:cs="宋体"/>
          <w:lang w:val="en-US" w:eastAsia="zh-CN"/>
        </w:rPr>
        <w:br w:type="textWrapping"/>
      </w:r>
      <w:r>
        <w:rPr>
          <w:rFonts w:hint="eastAsia" w:ascii="宋体" w:hAnsi="宋体" w:eastAsia="宋体" w:cs="宋体"/>
          <w:lang w:val="en-US" w:eastAsia="zh-CN"/>
        </w:rPr>
        <w:t>2、提供的材料齐全，合法有效；</w:t>
      </w:r>
      <w:r>
        <w:rPr>
          <w:rFonts w:hint="eastAsia" w:ascii="宋体" w:hAnsi="宋体" w:eastAsia="宋体" w:cs="宋体"/>
          <w:lang w:val="en-US" w:eastAsia="zh-CN"/>
        </w:rPr>
        <w:br w:type="textWrapping"/>
      </w:r>
      <w:r>
        <w:rPr>
          <w:rFonts w:hint="eastAsia" w:ascii="宋体" w:hAnsi="宋体" w:eastAsia="宋体" w:cs="宋体"/>
          <w:lang w:val="en-US" w:eastAsia="zh-CN"/>
        </w:rPr>
        <w:t>3、申请事项为本单位业务范围内可受理事项。</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船舶最低安全配员申请书</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配员减免申请</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船舶检验证书簿</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无线电安全证书、设备安全证书及其附件</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申请人的合法身份证明文件</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6"/>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center"/>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 xml:space="preserve">                                                           Q/XXZW 101.93—2023</w:t>
    </w:r>
  </w:p>
  <w:p>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101.93—2023</w:t>
    </w:r>
  </w:p>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ZTRmZDMyMTFmMWVmOWJmYzNjY2VjM2JhMzBkNzAifQ=="/>
  </w:docVars>
  <w:rsids>
    <w:rsidRoot w:val="47F905FF"/>
    <w:rsid w:val="09991115"/>
    <w:rsid w:val="35464711"/>
    <w:rsid w:val="3D44577C"/>
    <w:rsid w:val="40980444"/>
    <w:rsid w:val="42EA006A"/>
    <w:rsid w:val="46501C64"/>
    <w:rsid w:val="47F905FF"/>
    <w:rsid w:val="4853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1736</Words>
  <Characters>2015</Characters>
  <Lines>0</Lines>
  <Paragraphs>0</Paragraphs>
  <TotalTime>0</TotalTime>
  <ScaleCrop>false</ScaleCrop>
  <LinksUpToDate>false</LinksUpToDate>
  <CharactersWithSpaces>2089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2022-02-24T07:43:00Z</dcterms:created>
  <dc:creator>LENOVO</dc:creator>
  <cp:lastModifiedBy>张小乐啊</cp:lastModifiedBy>
  <dcterms:modified xsi:type="dcterms:W3CDTF">2024-03-12T01:45:20Z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10C63FCD0BC04D54ACFDED091AD42F87</vt:lpwstr>
  </property>
</Properties>
</file>