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水上水下活动许可（航道建设，航道、码头前沿水域疏浚）</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水上水下活动许可（航道建设，航道、码头前沿水域疏浚）  006112054XK81969002</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3.1《中华人民共和国海上交通安全法》第二十条 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3.2《中华人民共和国内河交通安全管理条例》第二十五条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进行前款所列作业或者活动，需要进行可行性研究的，在进行可行性研究时应当征求海事管理机构的意见；依照法律、行政法规的规定，需经其他有关部门审批的，还应当依法办理有关审批手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3.3《中华人民共和国水上水下活动通航安全管理规定》第五条 在内河通航水域或者岸线上进行下列水上水下活动，应当经海事管理机构批准：（一）勘探，港外采掘、爆破；（二）构筑、设置、维修、拆除水上水下构筑物或者设施；（三）架设桥梁、索道；（四）铺设、检修、拆除水上水下电缆或者管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五）设置系船浮筒、浮趸、缆桩等设施；（六）航道建设施工、码头前沿水域疏浚；（七）举行大型群众性活动、体育比赛；（八）打捞沉船、沉物。在管辖海域进行调查、勘探、开采、测量、建筑、疏浚（航道养护疏浚除外）、爆破、打捞沉船沉物、拖带、捕捞、养殖、科学试验和其他水上水下施工，应当经海事管理机构批准。前款所称建筑，包括构筑、设置、维修、拆除水上水下构筑物或者设施，架设桥梁、索道，铺设、检修、拆除水上水下电缆或者管道，设置系船浮筒、浮趸、缆桩等设施，航道建设。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6.1水上水下活动的单位、人员、船舶、设施符合安全航行、停泊和作业的要求；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6.2已制定水上水下活动的方案，包括起止时间、地点和范围、进度安排等；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6.3对安全和防污染有重大影响的，已通过通航安全评估；</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宋体" w:hAnsi="宋体" w:eastAsia="宋体" w:cs="宋体"/>
          <w:lang w:val="en-US" w:eastAsia="zh-CN"/>
        </w:rPr>
        <w:t>6.4已建立安全、防污染的责任制，并已制定符合水上交通安全和防污染要求的保障措施和应急预案。</w:t>
      </w: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参与施工作业（活动）的船舶清单</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color w:val="000000"/>
                <w:sz w:val="18"/>
                <w:szCs w:val="18"/>
                <w:lang w:val="en-US"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与水上水下活动有关的合同或协议书及其复印件（建设、施工单位为同一单位时除外）</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主管部门对该项目的批准文件及其复印件</w:t>
            </w:r>
          </w:p>
        </w:tc>
        <w:tc>
          <w:tcPr>
            <w:tcW w:w="1311" w:type="dxa"/>
            <w:shd w:val="clear" w:color="auto" w:fill="auto"/>
            <w:noWrap w:val="0"/>
            <w:vAlign w:val="center"/>
          </w:tcPr>
          <w:p>
            <w:pPr>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原件和复印件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水上水下活动通航安全审核申请书</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已通过评审的通航安全评估报告</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施工通航安全保障方案</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7</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施工作业单位的资质认证文书（施工作业时）</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8</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水上水下活动方案（含与通航安全有关的技术资料、工作方案、安全及防污染责任制、保障措施和应急预案）</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noWrap w:val="0"/>
            <w:vAlign w:val="center"/>
          </w:tcPr>
          <w:p>
            <w:pPr>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936615" cy="5586730"/>
            <wp:effectExtent l="0" t="0" r="6985" b="13970"/>
            <wp:docPr id="1" name="图片 1" descr="流程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1"/>
                    <pic:cNvPicPr>
                      <a:picLocks noChangeAspect="1"/>
                    </pic:cNvPicPr>
                  </pic:nvPicPr>
                  <pic:blipFill>
                    <a:blip r:embed="rId8"/>
                    <a:stretch>
                      <a:fillRect/>
                    </a:stretch>
                  </pic:blipFill>
                  <pic:spPr>
                    <a:xfrm>
                      <a:off x="0" y="0"/>
                      <a:ext cx="5936615" cy="55867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101.54—2023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101.54—2023</w:t>
    </w:r>
  </w:p>
  <w:p>
    <w:pPr>
      <w:pStyle w:val="3"/>
      <w:pBdr>
        <w:bottom w:val="none" w:color="auto" w:sz="0" w:space="1"/>
      </w:pBdr>
      <w:tabs>
        <w:tab w:val="left" w:pos="1947"/>
        <w:tab w:val="clear" w:pos="4153"/>
      </w:tabs>
      <w:jc w:val="left"/>
      <w:rPr>
        <w:rFonts w:hint="eastAsia" w:ascii="黑体" w:hAnsi="黑体" w:eastAsia="黑体" w:cs="黑体"/>
        <w:sz w:val="21"/>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96939A7"/>
    <w:rsid w:val="0A001049"/>
    <w:rsid w:val="0A577EDC"/>
    <w:rsid w:val="0B0D44D4"/>
    <w:rsid w:val="0BB43C6B"/>
    <w:rsid w:val="0D2A279F"/>
    <w:rsid w:val="0DCE2A25"/>
    <w:rsid w:val="0DDB3A3F"/>
    <w:rsid w:val="11DC7D06"/>
    <w:rsid w:val="126A3EA0"/>
    <w:rsid w:val="16027499"/>
    <w:rsid w:val="17394603"/>
    <w:rsid w:val="19B90B6C"/>
    <w:rsid w:val="1B2D105E"/>
    <w:rsid w:val="1C23651B"/>
    <w:rsid w:val="1C273C13"/>
    <w:rsid w:val="1D8607E8"/>
    <w:rsid w:val="1DFD1F7F"/>
    <w:rsid w:val="21AC28FC"/>
    <w:rsid w:val="236F308A"/>
    <w:rsid w:val="24311116"/>
    <w:rsid w:val="250638CD"/>
    <w:rsid w:val="262C1868"/>
    <w:rsid w:val="26786548"/>
    <w:rsid w:val="29993A89"/>
    <w:rsid w:val="2A0505E0"/>
    <w:rsid w:val="2B8215E6"/>
    <w:rsid w:val="2BCF7366"/>
    <w:rsid w:val="2E477B6D"/>
    <w:rsid w:val="32225ABD"/>
    <w:rsid w:val="32FD66BC"/>
    <w:rsid w:val="33C96C75"/>
    <w:rsid w:val="34312375"/>
    <w:rsid w:val="374534D2"/>
    <w:rsid w:val="38296225"/>
    <w:rsid w:val="387A6293"/>
    <w:rsid w:val="3A376F2E"/>
    <w:rsid w:val="3C03787E"/>
    <w:rsid w:val="3FB7726A"/>
    <w:rsid w:val="419D37C9"/>
    <w:rsid w:val="423A66AC"/>
    <w:rsid w:val="43A85C63"/>
    <w:rsid w:val="43FD267D"/>
    <w:rsid w:val="459828A0"/>
    <w:rsid w:val="47B26EA9"/>
    <w:rsid w:val="48DF0D1A"/>
    <w:rsid w:val="4A8470F0"/>
    <w:rsid w:val="4AE314A0"/>
    <w:rsid w:val="4B131269"/>
    <w:rsid w:val="4BCA0D1B"/>
    <w:rsid w:val="4C441F30"/>
    <w:rsid w:val="4C5F3D5A"/>
    <w:rsid w:val="4DC75A8E"/>
    <w:rsid w:val="4E7216E3"/>
    <w:rsid w:val="4F5D4751"/>
    <w:rsid w:val="4F8D2504"/>
    <w:rsid w:val="51AF7072"/>
    <w:rsid w:val="520923B2"/>
    <w:rsid w:val="54E41683"/>
    <w:rsid w:val="57014F55"/>
    <w:rsid w:val="584B21EF"/>
    <w:rsid w:val="5990156F"/>
    <w:rsid w:val="59AE4C53"/>
    <w:rsid w:val="59E2702F"/>
    <w:rsid w:val="59EA3586"/>
    <w:rsid w:val="5A84723C"/>
    <w:rsid w:val="5D1F636E"/>
    <w:rsid w:val="5D2A7067"/>
    <w:rsid w:val="5DAB327D"/>
    <w:rsid w:val="5E9C127C"/>
    <w:rsid w:val="5F8D56AA"/>
    <w:rsid w:val="60075E8B"/>
    <w:rsid w:val="657255DA"/>
    <w:rsid w:val="6598155C"/>
    <w:rsid w:val="69485F54"/>
    <w:rsid w:val="6B1941C5"/>
    <w:rsid w:val="6B8F0D1D"/>
    <w:rsid w:val="6D922E67"/>
    <w:rsid w:val="7019553E"/>
    <w:rsid w:val="7067478F"/>
    <w:rsid w:val="713429A1"/>
    <w:rsid w:val="71697A56"/>
    <w:rsid w:val="71C5545A"/>
    <w:rsid w:val="71E77BF3"/>
    <w:rsid w:val="72A96578"/>
    <w:rsid w:val="754B10F6"/>
    <w:rsid w:val="75C1033A"/>
    <w:rsid w:val="75C748B5"/>
    <w:rsid w:val="76ED4FE7"/>
    <w:rsid w:val="7869418D"/>
    <w:rsid w:val="799A75AC"/>
    <w:rsid w:val="7B160887"/>
    <w:rsid w:val="7B4A135E"/>
    <w:rsid w:val="7BE1774D"/>
    <w:rsid w:val="7CAB54FA"/>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2452</Words>
  <Characters>2738</Characters>
  <Lines>0</Lines>
  <Paragraphs>0</Paragraphs>
  <TotalTime>2</TotalTime>
  <ScaleCrop>false</ScaleCrop>
  <LinksUpToDate>false</LinksUpToDate>
  <CharactersWithSpaces>2960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