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50" w:after="680"/>
        <w:jc w:val="center"/>
        <w:rPr>
          <w:rFonts w:ascii="黑体" w:hAnsi="黑体" w:eastAsia="黑体" w:cs="黑体"/>
          <w:b/>
          <w:bCs/>
          <w:sz w:val="32"/>
          <w:szCs w:val="40"/>
        </w:rPr>
      </w:pPr>
      <w:bookmarkStart w:id="0" w:name="_GoBack"/>
      <w:bookmarkEnd w:id="0"/>
      <w:r>
        <w:rPr>
          <w:rFonts w:hint="eastAsia" w:ascii="黑体" w:hAnsi="黑体" w:eastAsia="黑体" w:cs="黑体"/>
          <w:b/>
          <w:bCs/>
          <w:sz w:val="32"/>
          <w:szCs w:val="32"/>
        </w:rPr>
        <w:t>水上水下活动许可（勘探、采掘、爆破）理</w:t>
      </w:r>
      <w:r>
        <w:rPr>
          <w:rFonts w:hint="eastAsia" w:ascii="黑体" w:hAnsi="黑体" w:eastAsia="黑体" w:cs="黑体"/>
          <w:b/>
          <w:bCs/>
          <w:sz w:val="32"/>
          <w:szCs w:val="40"/>
        </w:rPr>
        <w:t>规程</w:t>
      </w:r>
    </w:p>
    <w:p>
      <w:pPr>
        <w:spacing w:beforeLines="100" w:afterLines="100"/>
        <w:rPr>
          <w:rFonts w:ascii="黑体" w:hAnsi="黑体" w:eastAsia="黑体" w:cs="黑体"/>
        </w:rPr>
      </w:pPr>
      <w:r>
        <w:rPr>
          <w:rFonts w:hint="eastAsia" w:ascii="黑体" w:hAnsi="黑体" w:eastAsia="黑体" w:cs="黑体"/>
        </w:rPr>
        <w:t>1  事项名称及编码</w:t>
      </w:r>
    </w:p>
    <w:p>
      <w:pPr>
        <w:spacing w:beforeLines="100" w:afterLines="100"/>
        <w:rPr>
          <w:rFonts w:ascii="宋体" w:hAnsi="宋体" w:eastAsia="宋体" w:cs="宋体"/>
        </w:rPr>
      </w:pPr>
      <w:r>
        <w:rPr>
          <w:rFonts w:hint="eastAsia" w:ascii="宋体" w:hAnsi="宋体" w:eastAsia="宋体" w:cs="宋体"/>
        </w:rPr>
        <w:t>水上水下活动许可（勘探、采掘、爆破）  006112054XK81969005</w:t>
      </w:r>
    </w:p>
    <w:p>
      <w:pPr>
        <w:spacing w:beforeLines="100" w:afterLines="100"/>
        <w:rPr>
          <w:rFonts w:ascii="黑体" w:hAnsi="黑体" w:eastAsia="黑体" w:cs="黑体"/>
        </w:rPr>
      </w:pPr>
      <w:r>
        <w:rPr>
          <w:rFonts w:hint="eastAsia" w:ascii="黑体" w:hAnsi="黑体" w:eastAsia="黑体" w:cs="黑体"/>
        </w:rPr>
        <w:t>2  事项类型</w:t>
      </w:r>
    </w:p>
    <w:p>
      <w:pPr>
        <w:ind w:firstLine="420" w:firstLineChars="200"/>
        <w:rPr>
          <w:rFonts w:ascii="宋体" w:hAnsi="宋体" w:eastAsia="宋体" w:cs="宋体"/>
        </w:rPr>
      </w:pPr>
      <w:r>
        <w:rPr>
          <w:rFonts w:ascii="宋体" w:hAnsi="宋体" w:eastAsia="宋体" w:cs="宋体"/>
        </w:rPr>
        <w:t>行政许可</w:t>
      </w:r>
    </w:p>
    <w:p>
      <w:pPr>
        <w:spacing w:beforeLines="100" w:afterLines="100"/>
        <w:rPr>
          <w:rFonts w:ascii="黑体" w:hAnsi="黑体" w:eastAsia="黑体" w:cs="黑体"/>
        </w:rPr>
      </w:pPr>
      <w:r>
        <w:rPr>
          <w:rFonts w:hint="eastAsia" w:ascii="黑体" w:hAnsi="黑体" w:eastAsia="黑体" w:cs="黑体"/>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3.1《中华人民共和国海上交通安全法》第二十条 在沿海水域进行水上水下施工以及划定相应的安全作业区，必须报经主管机关核准公告。无关的船舶不得进入安全作业区。施工单位不得擅自扩大安全作业区的范围。在港区内使用岸线或者进行水上水下施工包括架空施工，还必须附图报经主管机关审核同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3.2《中华人民共和国内河交通安全管理条例》第二十五条 在内河通航水域或者岸线上进行下列可能影响通航安全的作业或者活动的，应当在进行作业或者活动前报海事管理机构批准：（一）勘探、采掘、爆破；（二）构筑、设置、维修、拆除水上水下构筑物或者设施；（三）架设桥梁、索道；（四）铺设、检修、拆除水上水下电缆或者管道；（五）设置系船浮筒、浮趸、缆桩等设施；（六）航道建设，航道、码头前沿水域疏浚；（七）举行大型群众性活动、体育比赛。进行前款所列作业或者活动，需要进行可行性研究的，在进行可行性研究时应当征求海事管理机构的意见；依照法律、行政法规的规定，需经其他有关部门审批的，还应当依法办理有关审批手续。</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3.3《中华人民共和国水上水下活动通航安全管理规定》第五条 在内河通航水域或者岸线上进行下列水上水下活动，应当经海事管理机构批准：（一）勘探，港外采掘、爆破；（二）构筑、设置、维修、拆除水上水下构筑物或者设施；（三）架设桥梁、索道；（四）铺设、检修、拆除水上水下电缆或者管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 xml:space="preserve">设置系船浮筒、浮趸、缆桩等设施；（六）航道建设施工、码头前沿水域疏浚；（七）举行大型群众性活动、体育比赛；（八）打捞沉船、沉物。在管辖海域进行调查、勘探、开采、测量、建筑、疏浚（航道养护疏浚除外）、爆破、打捞沉船沉物、拖带、捕捞、养殖、科学试验和其他水上水下施工，应当经海事管理机构批准。前款所称建筑，包括构筑、设置、维修、拆除水上水下构筑物或者设施，架设桥梁、索道，铺设、检修、拆除水上水下电缆或者管道，设置系船浮筒、浮趸、缆桩等设施，航道建设。 </w:t>
      </w:r>
    </w:p>
    <w:p>
      <w:pPr>
        <w:spacing w:beforeLines="100" w:afterLines="100"/>
        <w:rPr>
          <w:rFonts w:ascii="黑体" w:hAnsi="黑体" w:eastAsia="黑体" w:cs="黑体"/>
        </w:rPr>
      </w:pPr>
      <w:r>
        <w:rPr>
          <w:rFonts w:hint="eastAsia" w:ascii="黑体" w:hAnsi="黑体" w:eastAsia="黑体" w:cs="黑体"/>
        </w:rPr>
        <w:t>4  受理机构</w:t>
      </w:r>
    </w:p>
    <w:p>
      <w:pPr>
        <w:ind w:firstLine="420" w:firstLineChars="200"/>
        <w:rPr>
          <w:rFonts w:ascii="宋体" w:hAnsi="宋体" w:eastAsia="宋体" w:cs="宋体"/>
        </w:rPr>
      </w:pPr>
      <w:r>
        <w:rPr>
          <w:rFonts w:hint="eastAsia" w:ascii="宋体" w:hAnsi="宋体" w:eastAsia="宋体" w:cs="宋体"/>
        </w:rPr>
        <w:t>新县政务服务中心（新县市民之家）</w:t>
      </w:r>
    </w:p>
    <w:p>
      <w:pPr>
        <w:spacing w:beforeLines="100" w:afterLines="100"/>
        <w:rPr>
          <w:rFonts w:ascii="黑体" w:hAnsi="黑体" w:eastAsia="黑体" w:cs="黑体"/>
        </w:rPr>
      </w:pPr>
      <w:r>
        <w:rPr>
          <w:rFonts w:hint="eastAsia" w:ascii="黑体" w:hAnsi="黑体" w:eastAsia="黑体" w:cs="黑体"/>
        </w:rPr>
        <w:t>5  决定机构</w:t>
      </w:r>
    </w:p>
    <w:p>
      <w:pPr>
        <w:ind w:firstLine="420" w:firstLineChars="200"/>
        <w:rPr>
          <w:rFonts w:ascii="宋体" w:hAnsi="宋体" w:eastAsia="宋体" w:cs="宋体"/>
        </w:rPr>
      </w:pPr>
      <w:r>
        <w:rPr>
          <w:rFonts w:hint="eastAsia" w:ascii="宋体" w:hAnsi="宋体" w:eastAsia="宋体" w:cs="宋体"/>
        </w:rPr>
        <w:t>新县交通运输局</w:t>
      </w:r>
    </w:p>
    <w:p>
      <w:pPr>
        <w:spacing w:beforeLines="100" w:afterLines="100"/>
        <w:ind w:firstLine="210" w:firstLineChars="100"/>
        <w:rPr>
          <w:rFonts w:ascii="黑体" w:hAnsi="黑体" w:eastAsia="黑体" w:cs="黑体"/>
        </w:rPr>
      </w:pPr>
      <w:r>
        <w:rPr>
          <w:rFonts w:hint="eastAsia" w:ascii="黑体" w:hAnsi="黑体" w:eastAsia="黑体" w:cs="黑体"/>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6.1水上水下活动的单位、人员、船舶、设施符合安全航行、停泊和作业的要求；</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6.2已制定水上水下活动的方案，包括起止时间、地点和范围、进度安排等；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6.3对安全和防污染有重大影响的，已通过通航安全评估；</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6.4已建立安全、防污染的责任制，并已制定符合水上交通安全和防污染要求的保障措施和应急预案。</w:t>
      </w:r>
    </w:p>
    <w:p>
      <w:pPr>
        <w:spacing w:beforeLines="100" w:afterLines="100"/>
        <w:rPr>
          <w:rFonts w:ascii="黑体" w:hAnsi="黑体" w:eastAsia="黑体" w:cs="黑体"/>
        </w:rPr>
      </w:pPr>
      <w:r>
        <w:rPr>
          <w:rFonts w:hint="eastAsia" w:ascii="黑体" w:hAnsi="黑体" w:eastAsia="黑体" w:cs="黑体"/>
        </w:rPr>
        <w:t>7  申办材料</w:t>
      </w:r>
    </w:p>
    <w:tbl>
      <w:tblPr>
        <w:tblStyle w:val="5"/>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序号</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提交材料名称</w:t>
            </w:r>
          </w:p>
        </w:tc>
        <w:tc>
          <w:tcPr>
            <w:tcW w:w="1311" w:type="dxa"/>
            <w:shd w:val="clear" w:color="auto" w:fill="auto"/>
            <w:vAlign w:val="center"/>
          </w:tcPr>
          <w:p>
            <w:pPr>
              <w:rPr>
                <w:rFonts w:ascii="宋体" w:hAnsi="宋体" w:eastAsia="宋体" w:cs="宋体"/>
                <w:sz w:val="18"/>
                <w:szCs w:val="18"/>
              </w:rPr>
            </w:pPr>
            <w:r>
              <w:rPr>
                <w:rFonts w:hint="eastAsia" w:ascii="宋体" w:hAnsi="宋体" w:eastAsia="宋体" w:cs="宋体"/>
                <w:sz w:val="18"/>
                <w:szCs w:val="18"/>
              </w:rPr>
              <w:t>原件/复印件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份数</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水上水下活动通航安全审核申请书</w:t>
            </w:r>
          </w:p>
        </w:tc>
        <w:tc>
          <w:tcPr>
            <w:tcW w:w="1311" w:type="dxa"/>
            <w:shd w:val="clear" w:color="auto" w:fill="auto"/>
            <w:vAlign w:val="center"/>
          </w:tcPr>
          <w:p>
            <w:pPr>
              <w:ind w:firstLine="360" w:firstLineChars="200"/>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2</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主管部门对该项目的批准文件及其复印件</w:t>
            </w:r>
          </w:p>
        </w:tc>
        <w:tc>
          <w:tcPr>
            <w:tcW w:w="1311" w:type="dxa"/>
            <w:shd w:val="clear" w:color="auto" w:fill="auto"/>
            <w:vAlign w:val="center"/>
          </w:tcPr>
          <w:p>
            <w:pPr>
              <w:rPr>
                <w:rFonts w:ascii="宋体" w:hAnsi="宋体" w:eastAsia="宋体" w:cs="宋体"/>
                <w:sz w:val="18"/>
                <w:szCs w:val="18"/>
              </w:rPr>
            </w:pPr>
            <w:r>
              <w:rPr>
                <w:rFonts w:hint="eastAsia" w:ascii="宋体" w:hAnsi="宋体" w:eastAsia="宋体" w:cs="宋体"/>
                <w:sz w:val="18"/>
                <w:szCs w:val="18"/>
              </w:rPr>
              <w:t>原件和复印件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3</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施工作业单位的资质认证文书（施工作业时）</w:t>
            </w:r>
          </w:p>
        </w:tc>
        <w:tc>
          <w:tcPr>
            <w:tcW w:w="1311" w:type="dxa"/>
            <w:shd w:val="clear" w:color="auto" w:fill="auto"/>
            <w:vAlign w:val="center"/>
          </w:tcPr>
          <w:p>
            <w:pPr>
              <w:ind w:firstLine="360" w:firstLineChars="200"/>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4</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中华人民共和国居民身份证</w:t>
            </w:r>
          </w:p>
        </w:tc>
        <w:tc>
          <w:tcPr>
            <w:tcW w:w="1311"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5</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与水上水下活动有关的合同或协议书及其复印件（建设、施工单位为同一单位时除外）</w:t>
            </w:r>
          </w:p>
        </w:tc>
        <w:tc>
          <w:tcPr>
            <w:tcW w:w="1311"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6</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参与施工作业（活动）的船舶清单</w:t>
            </w:r>
          </w:p>
        </w:tc>
        <w:tc>
          <w:tcPr>
            <w:tcW w:w="1311" w:type="dxa"/>
            <w:shd w:val="clear" w:color="auto" w:fill="auto"/>
            <w:vAlign w:val="center"/>
          </w:tcPr>
          <w:p>
            <w:pPr>
              <w:ind w:firstLine="360" w:firstLineChars="200"/>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7</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施工通航安全保障方案</w:t>
            </w:r>
          </w:p>
        </w:tc>
        <w:tc>
          <w:tcPr>
            <w:tcW w:w="1311" w:type="dxa"/>
            <w:shd w:val="clear" w:color="auto" w:fill="auto"/>
            <w:vAlign w:val="center"/>
          </w:tcPr>
          <w:p>
            <w:pPr>
              <w:ind w:firstLine="360" w:firstLineChars="200"/>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8</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水上水下活动方案（含与通航安全有关的技术资料、工作方案、安全及防污染责任制、保障措施和应急预案）</w:t>
            </w:r>
          </w:p>
        </w:tc>
        <w:tc>
          <w:tcPr>
            <w:tcW w:w="1311" w:type="dxa"/>
            <w:shd w:val="clear" w:color="auto" w:fill="auto"/>
            <w:vAlign w:val="center"/>
          </w:tcPr>
          <w:p>
            <w:pPr>
              <w:ind w:firstLine="360" w:firstLineChars="200"/>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9</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已通过评审的通航安全评估报告</w:t>
            </w:r>
          </w:p>
        </w:tc>
        <w:tc>
          <w:tcPr>
            <w:tcW w:w="1311" w:type="dxa"/>
            <w:shd w:val="clear" w:color="auto" w:fill="auto"/>
            <w:vAlign w:val="center"/>
          </w:tcPr>
          <w:p>
            <w:pPr>
              <w:ind w:firstLine="360" w:firstLineChars="200"/>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pPr>
            <w:r>
              <w:rPr>
                <w:rFonts w:hint="eastAsia" w:ascii="宋体" w:hAnsi="宋体" w:eastAsia="宋体" w:cs="宋体"/>
                <w:sz w:val="18"/>
                <w:szCs w:val="18"/>
              </w:rPr>
              <w:t>纸质或电子版</w:t>
            </w:r>
          </w:p>
        </w:tc>
        <w:tc>
          <w:tcPr>
            <w:tcW w:w="2817" w:type="dxa"/>
            <w:shd w:val="clear" w:color="auto" w:fill="auto"/>
            <w:vAlign w:val="center"/>
          </w:tcPr>
          <w:p>
            <w:pPr>
              <w:jc w:val="center"/>
            </w:pPr>
            <w:r>
              <w:rPr>
                <w:rFonts w:hint="eastAsia" w:ascii="宋体" w:hAnsi="宋体" w:eastAsia="宋体" w:cs="宋体"/>
                <w:color w:val="000000"/>
                <w:sz w:val="18"/>
                <w:szCs w:val="18"/>
              </w:rPr>
              <w:t>申报材料真实有效</w:t>
            </w:r>
          </w:p>
        </w:tc>
      </w:tr>
    </w:tbl>
    <w:p>
      <w:pPr>
        <w:spacing w:beforeLines="100" w:afterLines="100"/>
        <w:rPr>
          <w:rFonts w:ascii="黑体" w:hAnsi="黑体" w:eastAsia="黑体" w:cs="黑体"/>
        </w:rPr>
      </w:pPr>
    </w:p>
    <w:p>
      <w:pPr>
        <w:spacing w:beforeLines="100" w:afterLines="100"/>
        <w:rPr>
          <w:rFonts w:ascii="黑体" w:hAnsi="黑体" w:eastAsia="黑体" w:cs="黑体"/>
        </w:rPr>
      </w:pPr>
      <w:r>
        <w:rPr>
          <w:rFonts w:hint="eastAsia" w:ascii="黑体" w:hAnsi="黑体" w:eastAsia="黑体" w:cs="黑体"/>
        </w:rPr>
        <w:t>8  受理方式</w:t>
      </w:r>
    </w:p>
    <w:p>
      <w:pPr>
        <w:rPr>
          <w:rFonts w:ascii="宋体" w:hAnsi="宋体" w:eastAsia="宋体" w:cs="宋体"/>
        </w:rPr>
      </w:pPr>
      <w:r>
        <w:rPr>
          <w:rFonts w:hint="eastAsia" w:ascii="宋体" w:hAnsi="宋体" w:eastAsia="宋体" w:cs="宋体"/>
        </w:rPr>
        <w:t>8.1  窗口受理：新县市民之家三楼无差别综合受理窗口提交申办材料。</w:t>
      </w:r>
    </w:p>
    <w:p>
      <w:pPr>
        <w:rPr>
          <w:rFonts w:ascii="宋体" w:hAnsi="宋体" w:eastAsia="宋体" w:cs="宋体"/>
        </w:rPr>
      </w:pPr>
      <w:r>
        <w:rPr>
          <w:rFonts w:hint="eastAsia" w:ascii="宋体" w:hAnsi="宋体" w:eastAsia="宋体" w:cs="宋体"/>
        </w:rPr>
        <w:t>8.2  网上申报：进入河南政务服务网（http://xyxinxian.hnzwfw.gov.cn/）按照提示进行网上申报。</w:t>
      </w:r>
    </w:p>
    <w:p>
      <w:pPr>
        <w:spacing w:beforeLines="100" w:afterLines="100"/>
        <w:rPr>
          <w:rFonts w:ascii="黑体" w:hAnsi="黑体" w:eastAsia="黑体" w:cs="黑体"/>
        </w:rPr>
      </w:pPr>
      <w:r>
        <w:rPr>
          <w:rFonts w:hint="eastAsia" w:ascii="黑体" w:hAnsi="黑体" w:eastAsia="黑体" w:cs="黑体"/>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rPr>
          <w:rFonts w:ascii="宋体" w:hAnsi="宋体" w:eastAsia="宋体" w:cs="宋体"/>
        </w:rPr>
      </w:pPr>
      <w:r>
        <w:rPr>
          <w:rFonts w:hint="eastAsia" w:ascii="宋体" w:hAnsi="宋体" w:eastAsia="宋体" w:cs="宋体"/>
        </w:rPr>
        <w:t>9.4  工作流程图</w:t>
      </w:r>
    </w:p>
    <w:p>
      <w:pPr>
        <w:rPr>
          <w:rFonts w:ascii="宋体" w:hAnsi="宋体" w:eastAsia="宋体" w:cs="宋体"/>
        </w:rPr>
      </w:pPr>
      <w:r>
        <w:rPr>
          <w:rFonts w:hint="eastAsia" w:ascii="宋体" w:hAnsi="宋体" w:eastAsia="宋体" w:cs="宋体"/>
        </w:rPr>
        <w:drawing>
          <wp:inline distT="0" distB="0" distL="114300" distR="114300">
            <wp:extent cx="5936615" cy="5586730"/>
            <wp:effectExtent l="0" t="0" r="6985" b="13970"/>
            <wp:docPr id="2" name="图片 2"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流程图"/>
                    <pic:cNvPicPr>
                      <a:picLocks noChangeAspect="1"/>
                    </pic:cNvPicPr>
                  </pic:nvPicPr>
                  <pic:blipFill>
                    <a:blip r:embed="rId8" cstate="print"/>
                    <a:stretch>
                      <a:fillRect/>
                    </a:stretch>
                  </pic:blipFill>
                  <pic:spPr>
                    <a:xfrm>
                      <a:off x="0" y="0"/>
                      <a:ext cx="5936615" cy="5586730"/>
                    </a:xfrm>
                    <a:prstGeom prst="rect">
                      <a:avLst/>
                    </a:prstGeom>
                  </pic:spPr>
                </pic:pic>
              </a:graphicData>
            </a:graphic>
          </wp:inline>
        </w:drawing>
      </w:r>
    </w:p>
    <w:p>
      <w:pPr>
        <w:spacing w:beforeLines="100" w:afterLines="100"/>
        <w:rPr>
          <w:rFonts w:ascii="黑体" w:hAnsi="黑体" w:eastAsia="黑体" w:cs="黑体"/>
        </w:rPr>
      </w:pPr>
      <w:r>
        <w:rPr>
          <w:rFonts w:hint="eastAsia" w:ascii="黑体" w:hAnsi="黑体" w:eastAsia="黑体" w:cs="黑体"/>
        </w:rPr>
        <w:t>10  办理时限</w:t>
      </w:r>
    </w:p>
    <w:p>
      <w:pPr>
        <w:rPr>
          <w:rFonts w:ascii="宋体" w:hAnsi="宋体" w:eastAsia="宋体" w:cs="宋体"/>
        </w:rPr>
      </w:pPr>
      <w:r>
        <w:rPr>
          <w:rFonts w:hint="eastAsia" w:ascii="宋体" w:hAnsi="宋体" w:eastAsia="宋体" w:cs="宋体"/>
        </w:rPr>
        <w:t>10.1  法定时限：20个工作日</w:t>
      </w:r>
    </w:p>
    <w:p>
      <w:pPr>
        <w:rPr>
          <w:rFonts w:ascii="宋体" w:hAnsi="宋体" w:eastAsia="宋体" w:cs="宋体"/>
        </w:rPr>
      </w:pPr>
      <w:r>
        <w:rPr>
          <w:rFonts w:hint="eastAsia" w:ascii="宋体" w:hAnsi="宋体" w:eastAsia="宋体" w:cs="宋体"/>
        </w:rPr>
        <w:t>10.2  承诺时限：2个工作日</w:t>
      </w:r>
    </w:p>
    <w:p>
      <w:pPr>
        <w:spacing w:beforeLines="100" w:afterLines="100"/>
        <w:rPr>
          <w:rFonts w:ascii="宋体" w:hAnsi="宋体" w:eastAsia="宋体" w:cs="宋体"/>
        </w:rPr>
      </w:pPr>
      <w:r>
        <w:rPr>
          <w:rFonts w:hint="eastAsia" w:ascii="黑体" w:hAnsi="黑体" w:eastAsia="黑体" w:cs="黑体"/>
        </w:rPr>
        <w:t>11  收费依据及标准</w:t>
      </w:r>
    </w:p>
    <w:p>
      <w:pPr>
        <w:ind w:firstLine="420" w:firstLineChars="200"/>
        <w:rPr>
          <w:rFonts w:ascii="宋体" w:hAnsi="宋体" w:eastAsia="宋体" w:cs="宋体"/>
        </w:rPr>
      </w:pPr>
      <w:r>
        <w:rPr>
          <w:rFonts w:hint="eastAsia" w:ascii="宋体" w:hAnsi="宋体" w:eastAsia="宋体" w:cs="宋体"/>
        </w:rPr>
        <w:t>不收费</w:t>
      </w:r>
    </w:p>
    <w:p>
      <w:pPr>
        <w:spacing w:beforeLines="100" w:afterLines="100"/>
        <w:rPr>
          <w:rFonts w:ascii="黑体" w:hAnsi="黑体" w:eastAsia="黑体" w:cs="黑体"/>
        </w:rPr>
      </w:pPr>
      <w:r>
        <w:rPr>
          <w:rFonts w:hint="eastAsia" w:ascii="黑体" w:hAnsi="黑体" w:eastAsia="黑体" w:cs="黑体"/>
        </w:rPr>
        <w:t>12  结果送达</w:t>
      </w:r>
    </w:p>
    <w:p>
      <w:pPr>
        <w:spacing w:beforeLines="100" w:afterLines="100"/>
        <w:rPr>
          <w:rFonts w:ascii="宋体" w:hAnsi="宋体" w:eastAsia="宋体" w:cs="宋体"/>
        </w:rPr>
      </w:pPr>
      <w:r>
        <w:rPr>
          <w:rFonts w:hint="eastAsia" w:ascii="宋体" w:hAnsi="宋体" w:eastAsia="宋体" w:cs="宋体"/>
        </w:rPr>
        <w:t>自受理之日起2个工作日内直接送达或邮寄送达</w:t>
      </w:r>
    </w:p>
    <w:p>
      <w:pPr>
        <w:spacing w:beforeLines="100" w:afterLines="100"/>
        <w:rPr>
          <w:rFonts w:ascii="黑体" w:hAnsi="黑体" w:eastAsia="黑体" w:cs="黑体"/>
        </w:rPr>
      </w:pPr>
      <w:r>
        <w:rPr>
          <w:rFonts w:hint="eastAsia" w:ascii="黑体" w:hAnsi="黑体" w:eastAsia="黑体" w:cs="黑体"/>
        </w:rPr>
        <w:t>13  咨询方式</w:t>
      </w:r>
    </w:p>
    <w:p>
      <w:pPr>
        <w:rPr>
          <w:rFonts w:ascii="宋体" w:hAnsi="宋体" w:eastAsia="宋体" w:cs="宋体"/>
        </w:rPr>
      </w:pPr>
      <w:r>
        <w:rPr>
          <w:rFonts w:hint="eastAsia" w:ascii="宋体" w:hAnsi="宋体" w:eastAsia="宋体" w:cs="宋体"/>
        </w:rPr>
        <w:t>13.1  现场咨询：新县市民之家三楼无差别综合受理窗口</w:t>
      </w:r>
      <w:r>
        <w:rPr>
          <w:rFonts w:hint="eastAsia" w:ascii="黑体" w:hAnsi="黑体" w:eastAsia="黑体" w:cs="黑体"/>
          <w:color w:val="000000" w:themeColor="text1"/>
        </w:rPr>
        <w:t xml:space="preserve"> </w:t>
      </w:r>
    </w:p>
    <w:p>
      <w:pPr>
        <w:rPr>
          <w:rFonts w:ascii="宋体" w:hAnsi="宋体" w:eastAsia="宋体" w:cs="宋体"/>
        </w:rPr>
      </w:pPr>
      <w:r>
        <w:rPr>
          <w:rFonts w:hint="eastAsia" w:ascii="宋体" w:hAnsi="宋体" w:eastAsia="宋体" w:cs="宋体"/>
        </w:rPr>
        <w:t>13.2  电话咨询：窗口电话：0376－7622311单位电话：0376-2984368</w:t>
      </w:r>
    </w:p>
    <w:p>
      <w:pPr>
        <w:rPr>
          <w:rFonts w:ascii="宋体" w:hAnsi="宋体" w:eastAsia="宋体" w:cs="宋体"/>
        </w:rPr>
      </w:pPr>
      <w:r>
        <w:rPr>
          <w:rFonts w:hint="eastAsia" w:ascii="宋体" w:hAnsi="宋体" w:eastAsia="宋体" w:cs="宋体"/>
        </w:rPr>
        <w:t>13.3  网上咨询：</w:t>
      </w:r>
      <w:r>
        <w:fldChar w:fldCharType="begin"/>
      </w:r>
      <w:r>
        <w:instrText xml:space="preserve"> HYPERLINK "http://xyxinxian.hnzwfw.gov.cn" </w:instrText>
      </w:r>
      <w:r>
        <w:fldChar w:fldCharType="separate"/>
      </w:r>
      <w:r>
        <w:rPr>
          <w:rFonts w:hint="eastAsia" w:ascii="宋体" w:hAnsi="宋体" w:eastAsia="宋体" w:cs="宋体"/>
        </w:rPr>
        <w:t>http://xyxinxian.hnzwfw.gov.cn</w:t>
      </w:r>
      <w:r>
        <w:rPr>
          <w:rFonts w:hint="eastAsia" w:ascii="宋体" w:hAnsi="宋体" w:eastAsia="宋体" w:cs="宋体"/>
        </w:rPr>
        <w:fldChar w:fldCharType="end"/>
      </w:r>
    </w:p>
    <w:p>
      <w:pPr>
        <w:spacing w:beforeLines="100" w:afterLines="100"/>
        <w:rPr>
          <w:rFonts w:ascii="黑体" w:hAnsi="黑体" w:eastAsia="黑体" w:cs="黑体"/>
        </w:rPr>
      </w:pPr>
      <w:r>
        <w:rPr>
          <w:rFonts w:hint="eastAsia" w:ascii="黑体" w:hAnsi="黑体" w:eastAsia="黑体" w:cs="黑体"/>
        </w:rPr>
        <w:t>14  监督投诉渠道</w:t>
      </w:r>
    </w:p>
    <w:p>
      <w:pPr>
        <w:rPr>
          <w:rFonts w:ascii="宋体" w:hAnsi="宋体" w:eastAsia="宋体" w:cs="宋体"/>
        </w:rPr>
      </w:pPr>
      <w:r>
        <w:rPr>
          <w:rFonts w:hint="eastAsia" w:ascii="宋体" w:hAnsi="宋体" w:eastAsia="宋体" w:cs="宋体"/>
        </w:rPr>
        <w:t>14.1  现场监督投诉：新县市民之家投诉中心</w:t>
      </w:r>
    </w:p>
    <w:p>
      <w:pPr>
        <w:rPr>
          <w:rFonts w:ascii="宋体" w:hAnsi="宋体" w:eastAsia="宋体" w:cs="宋体"/>
        </w:rPr>
      </w:pPr>
      <w:r>
        <w:rPr>
          <w:rFonts w:hint="eastAsia" w:ascii="宋体" w:hAnsi="宋体" w:eastAsia="宋体" w:cs="宋体"/>
        </w:rPr>
        <w:t>14.2  电话监督投诉：</w:t>
      </w:r>
    </w:p>
    <w:p>
      <w:pPr>
        <w:rPr>
          <w:rFonts w:ascii="宋体" w:hAnsi="宋体" w:eastAsia="宋体" w:cs="宋体"/>
        </w:rPr>
      </w:pPr>
      <w:r>
        <w:rPr>
          <w:rFonts w:hint="eastAsia" w:ascii="宋体" w:hAnsi="宋体" w:eastAsia="宋体" w:cs="宋体"/>
        </w:rPr>
        <w:t>14.2.1  新县市民之家投诉电话：0376-2969509</w:t>
      </w:r>
    </w:p>
    <w:p>
      <w:pPr>
        <w:rPr>
          <w:rFonts w:ascii="宋体" w:hAnsi="宋体" w:eastAsia="宋体" w:cs="宋体"/>
        </w:rPr>
      </w:pPr>
      <w:r>
        <w:rPr>
          <w:rFonts w:hint="eastAsia" w:ascii="宋体" w:hAnsi="宋体" w:eastAsia="宋体" w:cs="宋体"/>
        </w:rPr>
        <w:t>14.2.2  政务服务热线：12345</w:t>
      </w:r>
    </w:p>
    <w:p>
      <w:pPr>
        <w:rPr>
          <w:rFonts w:ascii="宋体" w:hAnsi="宋体" w:eastAsia="宋体" w:cs="宋体"/>
        </w:rPr>
      </w:pPr>
      <w:r>
        <w:rPr>
          <w:rFonts w:hint="eastAsia" w:ascii="宋体" w:hAnsi="宋体" w:eastAsia="宋体" w:cs="宋体"/>
        </w:rPr>
        <w:t>14.2.3  本单位监督举报电话：0376-2984368</w:t>
      </w:r>
    </w:p>
    <w:p>
      <w:pPr>
        <w:rPr>
          <w:rFonts w:ascii="宋体" w:hAnsi="宋体" w:eastAsia="宋体" w:cs="宋体"/>
        </w:rPr>
      </w:pPr>
      <w:r>
        <w:rPr>
          <w:rFonts w:hint="eastAsia" w:ascii="宋体" w:hAnsi="宋体" w:eastAsia="宋体" w:cs="宋体"/>
        </w:rPr>
        <w:t>14.3  网上监督投诉：http://xyxinxian.hnzwfw.gov.cn</w:t>
      </w:r>
    </w:p>
    <w:p>
      <w:pPr>
        <w:spacing w:beforeLines="100" w:afterLines="100"/>
        <w:rPr>
          <w:rFonts w:ascii="黑体" w:hAnsi="黑体" w:eastAsia="黑体" w:cs="黑体"/>
        </w:rPr>
      </w:pPr>
      <w:r>
        <w:rPr>
          <w:rFonts w:hint="eastAsia" w:ascii="黑体" w:hAnsi="黑体" w:eastAsia="黑体" w:cs="黑体"/>
        </w:rPr>
        <w:t>15  办理地址和时间</w:t>
      </w:r>
    </w:p>
    <w:p>
      <w:pPr>
        <w:rPr>
          <w:rFonts w:ascii="宋体" w:hAnsi="宋体" w:eastAsia="宋体" w:cs="宋体"/>
        </w:rPr>
      </w:pPr>
      <w:r>
        <w:rPr>
          <w:rFonts w:hint="eastAsia" w:ascii="宋体" w:hAnsi="宋体" w:eastAsia="宋体" w:cs="宋体"/>
        </w:rPr>
        <w:t>15.1  地址：新县北畈路市民之家</w:t>
      </w:r>
    </w:p>
    <w:p>
      <w:pPr>
        <w:rPr>
          <w:rFonts w:hint="eastAsia" w:ascii="宋体" w:hAnsi="宋体" w:eastAsia="宋体" w:cs="宋体"/>
          <w:lang w:eastAsia="zh-CN"/>
        </w:rPr>
      </w:pPr>
      <w:r>
        <w:rPr>
          <w:rFonts w:hint="eastAsia" w:ascii="宋体" w:hAnsi="宋体" w:eastAsia="宋体" w:cs="宋体"/>
        </w:rPr>
        <w:t xml:space="preserve">15.2  时间：周一至周五，法定节假日除外，上午9：00-12：00 </w:t>
      </w:r>
      <w:r>
        <w:rPr>
          <w:rFonts w:hint="eastAsia" w:ascii="宋体" w:hAnsi="宋体" w:eastAsia="宋体" w:cs="宋体"/>
          <w:lang w:eastAsia="zh-CN"/>
        </w:rPr>
        <w:t>下午1:00-5:00</w:t>
      </w:r>
    </w:p>
    <w:p>
      <w:pPr>
        <w:spacing w:beforeLines="100" w:afterLines="100"/>
        <w:rPr>
          <w:rFonts w:ascii="黑体" w:hAnsi="黑体" w:eastAsia="黑体" w:cs="黑体"/>
        </w:rPr>
      </w:pPr>
      <w:r>
        <w:rPr>
          <w:rFonts w:hint="eastAsia" w:ascii="黑体" w:hAnsi="黑体" w:eastAsia="黑体" w:cs="黑体"/>
        </w:rPr>
        <w:t>16  办理进程和结果查询</w:t>
      </w:r>
    </w:p>
    <w:p>
      <w:pPr>
        <w:rPr>
          <w:rFonts w:ascii="宋体" w:hAnsi="宋体" w:eastAsia="宋体" w:cs="宋体"/>
        </w:rPr>
      </w:pPr>
      <w:r>
        <w:rPr>
          <w:rFonts w:hint="eastAsia" w:ascii="宋体" w:hAnsi="宋体" w:eastAsia="宋体" w:cs="宋体"/>
        </w:rPr>
        <w:t>16.1  现场查询：新县市民之家三楼无差别综合受理窗口</w:t>
      </w:r>
      <w:r>
        <w:rPr>
          <w:rFonts w:hint="eastAsia" w:ascii="黑体" w:hAnsi="黑体" w:eastAsia="黑体" w:cs="黑体"/>
          <w:color w:val="000000" w:themeColor="text1"/>
        </w:rPr>
        <w:t xml:space="preserve"> </w:t>
      </w:r>
    </w:p>
    <w:p>
      <w:pPr>
        <w:rPr>
          <w:rFonts w:ascii="宋体" w:hAnsi="宋体" w:eastAsia="宋体" w:cs="宋体"/>
        </w:rPr>
      </w:pPr>
      <w:r>
        <w:rPr>
          <w:rFonts w:hint="eastAsia" w:ascii="宋体" w:hAnsi="宋体" w:eastAsia="宋体" w:cs="宋体"/>
        </w:rPr>
        <w:t>16.2  电话查询：0376-7622311</w:t>
      </w:r>
    </w:p>
    <w:p>
      <w:pPr>
        <w:rPr>
          <w:rFonts w:ascii="宋体" w:hAnsi="宋体" w:eastAsia="宋体" w:cs="宋体"/>
        </w:rPr>
      </w:pPr>
      <w:r>
        <w:rPr>
          <w:rFonts w:hint="eastAsia" w:ascii="宋体" w:hAnsi="宋体" w:eastAsia="宋体" w:cs="宋体"/>
        </w:rPr>
        <w:t>16.3  网上查询：登录新县政务服务网（http://xyxinxian.hnzwfw.gov.cn）或下载“豫事办”APP和支付宝小程序查询</w:t>
      </w:r>
    </w:p>
    <w:p>
      <w:pPr>
        <w:spacing w:beforeLines="100" w:afterLines="100"/>
        <w:jc w:val="center"/>
        <w:rPr>
          <w:rFonts w:ascii="黑体" w:hAnsi="黑体" w:eastAsia="黑体" w:cs="黑体"/>
          <w:color w:val="000000" w:themeColor="text1"/>
        </w:rPr>
      </w:pPr>
      <w:r>
        <w:rPr>
          <w:rFonts w:hint="eastAsia" w:ascii="黑体" w:hAnsi="黑体" w:eastAsia="黑体" w:cs="黑体"/>
          <w:color w:val="000000" w:themeColor="text1"/>
        </w:rPr>
        <w:t>——————————————</w:t>
      </w:r>
    </w:p>
    <w:p>
      <w:pPr>
        <w:spacing w:beforeLines="100" w:afterLines="100"/>
        <w:jc w:val="center"/>
      </w:pPr>
      <w:r>
        <w:rPr>
          <w:rFonts w:hint="eastAsia" w:ascii="黑体" w:hAnsi="黑体" w:eastAsia="黑体" w:cs="黑体"/>
          <w:color w:val="000000" w:themeColor="text1"/>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557"/>
        <w:tab w:val="clear" w:pos="4153"/>
      </w:tabs>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92"/>
        <w:tab w:val="clear" w:pos="4153"/>
      </w:tabs>
    </w:pPr>
    <w:r>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path/>
          <v:fill on="f" focussize="0,0"/>
          <v:stroke on="f" weight="0.5pt" joinstyle="miter"/>
          <v:imagedata o:title=""/>
          <o:lock v:ext="edit"/>
          <v:textbox inset="0mm,0mm,0mm,0mm">
            <w:txbxContent>
              <w:p>
                <w:pPr>
                  <w:pStyle w:val="3"/>
                  <w:bidi/>
                  <w:ind w:left="1361"/>
                  <w:jc w:val="right"/>
                </w:pPr>
              </w:p>
            </w:txbxContent>
          </v:textbox>
        </v:shape>
      </w:pic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黑体" w:hAnsi="黑体" w:eastAsia="黑体" w:cs="黑体"/>
        <w:sz w:val="21"/>
        <w:szCs w:val="32"/>
      </w:rPr>
    </w:pPr>
    <w:r>
      <w:rPr>
        <w:rFonts w:hint="eastAsia" w:ascii="黑体" w:hAnsi="黑体" w:eastAsia="黑体" w:cs="黑体"/>
        <w:sz w:val="21"/>
        <w:szCs w:val="32"/>
      </w:rPr>
      <w:t>Q/XXZW 101.56—2023</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黑体" w:hAnsi="黑体" w:eastAsia="黑体" w:cs="黑体"/>
        <w:sz w:val="21"/>
        <w:szCs w:val="32"/>
      </w:rPr>
    </w:pPr>
    <w:r>
      <w:rPr>
        <w:rFonts w:hint="eastAsia" w:ascii="黑体" w:hAnsi="黑体" w:eastAsia="黑体" w:cs="黑体"/>
        <w:sz w:val="21"/>
        <w:szCs w:val="32"/>
      </w:rPr>
      <w:t>Q/XXZW 101.56—2023</w:t>
    </w:r>
  </w:p>
  <w:p>
    <w:pPr>
      <w:pStyle w:val="4"/>
      <w:tabs>
        <w:tab w:val="left" w:pos="1947"/>
        <w:tab w:val="clear" w:pos="4153"/>
      </w:tabs>
      <w:jc w:val="left"/>
      <w:rPr>
        <w:rFonts w:ascii="黑体" w:hAnsi="黑体" w:eastAsia="黑体" w:cs="黑体"/>
        <w:sz w:val="21"/>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documentProtection w:enforcement="0"/>
  <w:defaultTabStop w:val="420"/>
  <w:evenAndOddHeaders w:val="1"/>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JhMjliYjhjODE4MzU4YjYxMjA1NGRkZWQ2MzhhOTAifQ=="/>
  </w:docVars>
  <w:rsids>
    <w:rsidRoot w:val="007B1C33"/>
    <w:rsid w:val="0069052E"/>
    <w:rsid w:val="007B1C33"/>
    <w:rsid w:val="008122D9"/>
    <w:rsid w:val="00EF1DA9"/>
    <w:rsid w:val="01AD7E6D"/>
    <w:rsid w:val="024E57BE"/>
    <w:rsid w:val="03107D3B"/>
    <w:rsid w:val="04F5513A"/>
    <w:rsid w:val="051E32DA"/>
    <w:rsid w:val="057C5BD8"/>
    <w:rsid w:val="06244179"/>
    <w:rsid w:val="062F7204"/>
    <w:rsid w:val="071B5079"/>
    <w:rsid w:val="075715C9"/>
    <w:rsid w:val="07A948BE"/>
    <w:rsid w:val="096939A7"/>
    <w:rsid w:val="0A001049"/>
    <w:rsid w:val="0A577EDC"/>
    <w:rsid w:val="0B0D44D4"/>
    <w:rsid w:val="0BB43C6B"/>
    <w:rsid w:val="0C4401AE"/>
    <w:rsid w:val="0D2A279F"/>
    <w:rsid w:val="0DCE2A25"/>
    <w:rsid w:val="0DDB3A3F"/>
    <w:rsid w:val="0F1A5AAF"/>
    <w:rsid w:val="11DC7D06"/>
    <w:rsid w:val="126A3EA0"/>
    <w:rsid w:val="13EC42A6"/>
    <w:rsid w:val="149A61A0"/>
    <w:rsid w:val="16027499"/>
    <w:rsid w:val="16703ADC"/>
    <w:rsid w:val="16713E1B"/>
    <w:rsid w:val="170424C3"/>
    <w:rsid w:val="17394603"/>
    <w:rsid w:val="19B90B6C"/>
    <w:rsid w:val="1A724D73"/>
    <w:rsid w:val="1ADC6381"/>
    <w:rsid w:val="1B2C775A"/>
    <w:rsid w:val="1B2D105E"/>
    <w:rsid w:val="1B3A7F27"/>
    <w:rsid w:val="1C23651B"/>
    <w:rsid w:val="1C273C13"/>
    <w:rsid w:val="1C9B2596"/>
    <w:rsid w:val="1CDE486A"/>
    <w:rsid w:val="1D8607E8"/>
    <w:rsid w:val="1DFD1F7F"/>
    <w:rsid w:val="1EBE73C4"/>
    <w:rsid w:val="21AC28FC"/>
    <w:rsid w:val="22FE3092"/>
    <w:rsid w:val="236F308A"/>
    <w:rsid w:val="23C17687"/>
    <w:rsid w:val="240C57A2"/>
    <w:rsid w:val="250638CD"/>
    <w:rsid w:val="262C1868"/>
    <w:rsid w:val="26786548"/>
    <w:rsid w:val="270F36B0"/>
    <w:rsid w:val="28412D9C"/>
    <w:rsid w:val="2A0505E0"/>
    <w:rsid w:val="2BB84EFC"/>
    <w:rsid w:val="2BCF7366"/>
    <w:rsid w:val="2D860C83"/>
    <w:rsid w:val="2E477B6D"/>
    <w:rsid w:val="2EDA62EB"/>
    <w:rsid w:val="2F1C5E04"/>
    <w:rsid w:val="2F1E36D7"/>
    <w:rsid w:val="31D32B33"/>
    <w:rsid w:val="32225ABD"/>
    <w:rsid w:val="33562C3B"/>
    <w:rsid w:val="33B006B6"/>
    <w:rsid w:val="33C96C75"/>
    <w:rsid w:val="34312375"/>
    <w:rsid w:val="374534D2"/>
    <w:rsid w:val="38296225"/>
    <w:rsid w:val="387A6293"/>
    <w:rsid w:val="39420DD4"/>
    <w:rsid w:val="3A376F2E"/>
    <w:rsid w:val="3C03787E"/>
    <w:rsid w:val="3E912910"/>
    <w:rsid w:val="3F34077E"/>
    <w:rsid w:val="3F58712B"/>
    <w:rsid w:val="3FB7726A"/>
    <w:rsid w:val="40486044"/>
    <w:rsid w:val="40A20822"/>
    <w:rsid w:val="419D37C9"/>
    <w:rsid w:val="423A66AC"/>
    <w:rsid w:val="43A85C63"/>
    <w:rsid w:val="43FD267D"/>
    <w:rsid w:val="44455FF3"/>
    <w:rsid w:val="459828A0"/>
    <w:rsid w:val="474C44FA"/>
    <w:rsid w:val="47B26EA9"/>
    <w:rsid w:val="48DF0D1A"/>
    <w:rsid w:val="495E73C6"/>
    <w:rsid w:val="4A8470F0"/>
    <w:rsid w:val="4AE314A0"/>
    <w:rsid w:val="4B131269"/>
    <w:rsid w:val="4BCA0D1B"/>
    <w:rsid w:val="4C5F3D5A"/>
    <w:rsid w:val="4DC75A8E"/>
    <w:rsid w:val="4E7216E3"/>
    <w:rsid w:val="4F2C3695"/>
    <w:rsid w:val="4F5D4751"/>
    <w:rsid w:val="4F8D2504"/>
    <w:rsid w:val="51AF7072"/>
    <w:rsid w:val="51D225EF"/>
    <w:rsid w:val="54DE1664"/>
    <w:rsid w:val="57014F55"/>
    <w:rsid w:val="574E4641"/>
    <w:rsid w:val="584B21EF"/>
    <w:rsid w:val="58C35AC5"/>
    <w:rsid w:val="5990156F"/>
    <w:rsid w:val="59AE4C53"/>
    <w:rsid w:val="59E2702F"/>
    <w:rsid w:val="59EA3586"/>
    <w:rsid w:val="5A84723C"/>
    <w:rsid w:val="5D1F636E"/>
    <w:rsid w:val="5D2A7067"/>
    <w:rsid w:val="5D2F34C4"/>
    <w:rsid w:val="5D8C41B9"/>
    <w:rsid w:val="5DAB327D"/>
    <w:rsid w:val="5E9C127C"/>
    <w:rsid w:val="5F8D56AA"/>
    <w:rsid w:val="60075E8B"/>
    <w:rsid w:val="6099234B"/>
    <w:rsid w:val="646B7EE9"/>
    <w:rsid w:val="657255DA"/>
    <w:rsid w:val="6598155C"/>
    <w:rsid w:val="66F75C59"/>
    <w:rsid w:val="67745659"/>
    <w:rsid w:val="69485F54"/>
    <w:rsid w:val="6B1941C5"/>
    <w:rsid w:val="6B8F0D1D"/>
    <w:rsid w:val="6C44741D"/>
    <w:rsid w:val="6D922E67"/>
    <w:rsid w:val="6EC96555"/>
    <w:rsid w:val="6F3C6E34"/>
    <w:rsid w:val="7019553E"/>
    <w:rsid w:val="7039002E"/>
    <w:rsid w:val="7067478F"/>
    <w:rsid w:val="713429A1"/>
    <w:rsid w:val="71697A56"/>
    <w:rsid w:val="71C5545A"/>
    <w:rsid w:val="71E77BF3"/>
    <w:rsid w:val="72A96578"/>
    <w:rsid w:val="73F241A9"/>
    <w:rsid w:val="754B10F6"/>
    <w:rsid w:val="758E196D"/>
    <w:rsid w:val="75C1033A"/>
    <w:rsid w:val="75C748B5"/>
    <w:rsid w:val="75DF1340"/>
    <w:rsid w:val="76ED4FE7"/>
    <w:rsid w:val="7869418D"/>
    <w:rsid w:val="79042279"/>
    <w:rsid w:val="799A75AC"/>
    <w:rsid w:val="7B160887"/>
    <w:rsid w:val="7B4A135E"/>
    <w:rsid w:val="7BE1774D"/>
    <w:rsid w:val="7CAB54FA"/>
    <w:rsid w:val="7E5D303A"/>
    <w:rsid w:val="7E5E4287"/>
    <w:rsid w:val="7E8301BB"/>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 w:type="character" w:customStyle="1" w:styleId="8">
    <w:name w:val="ellisiss"/>
    <w:basedOn w:val="6"/>
    <w:qFormat/>
    <w:uiPriority w:val="0"/>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2455</Words>
  <Characters>2741</Characters>
  <Lines>18</Lines>
  <Paragraphs>5</Paragraphs>
  <TotalTime>0</TotalTime>
  <ScaleCrop>false</ScaleCrop>
  <LinksUpToDate>false</LinksUpToDate>
  <CharactersWithSpaces>2840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2024-03-12T01:48:15Z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