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eastAsia"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40"/>
          <w:lang w:val="en-US" w:eastAsia="zh-CN"/>
        </w:rPr>
        <w:t>水路运输企业设立及经营跨省辖市水路运输审批办理规程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水路运输企业设立及经营跨省辖市水路运输审批  006112054XKBBAI2001</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default" w:ascii="宋体" w:hAnsi="宋体" w:eastAsia="宋体" w:cs="宋体"/>
          <w:lang w:val="en-US" w:eastAsia="zh-CN"/>
        </w:rPr>
        <w:t>行政许可</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3.1《国内水路运输管理条例》（国务院令第625号）第八条第一款：“经营水路运输业务，应当按照国务院交通运输主管部门的规定，经国务院交通运输主管部门或者设区的市级以上地方人民政府负责水路运输管理的部门批准。”</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3.2《河南省人民政府关于取消调整下放行政审批项目和部门非行政许可审批事项的决定》（豫政〔2014〕52号）附件1“省政府决定取消、调整和下放管理层级的行政审批项目目录”第18项下放到省辖市、省直管县（市）航务管理部门。</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3.3交通运输部关于修改《国内水路运输管理规定》的决定（中华人民共和国交通运输部令2020年第4号）第十条第三款“省际普通货船运输、省内水路运输经营许可应当由设区的市级以上地方人民政府水路运输管理部门具体实施，具体权限由省级人民政府交通运输主管部门决定，向社会公布。</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6.1申请条件：申请人须符合交通运输部关于修改《国内水路运输管理规定》的决定（中华人民共和国交通运输部令2020年第4号）第五条申请经营水路运输业务，除个人申请经营内河普通货物运输业务外，申请人应当符合下列条件：（一）具备企业法人资格。（二）有明确的经营范围，包括经营区域和业务种类。经营水路旅客班轮运输业务的，还应当有班期、班次以及拟停靠的码头安排等可行的航线营运计划。（三）有符合本规定要求的船舶，且自有船舶运力应当符合附件1的要求。（四）有符合本规定要求的海务、机务管理人员。（五）有符合本规定要求的与其直接订立劳动合同的高级船员。（六）有健全的安全管理机构及安全管理人员设置制度、安全管理责任制度、安全监督检查制度、事故应急处置制度、岗位安全操作规程等安全管理制度。第七条　水路运输经营者投入运营的船舶应当符合下列条件：（一）与水路运输经营者的经营范围相适应。从事旅客运输的，应当使用普通客船、客货船和滚装客船（统称为客船）运输；从事散装液体危险货物运输的，应当使用液化气体船、化学品船、成品油船和原油船（统称为危险品船）运输；从事普通货物运输、包装危险货物运输和散装固体危险货物运输的，可以使用普通货船运输。（二）持有有效的船舶所有权登记证书、船舶国籍证书、船舶检验证书以及按照相关法律、行政法规规定证明船舶符合安全与防污染和入级检验要求的其他证书。（三）符合交通运输部关于船型技术标准、船龄以及节能减排的要求。第六条、个人只能申请经营内河普通货物运输业务，并应当符合下列条件：（一）经市场监督管理部门登记的个体工商户；（二）有符合本规定要求的船舶，且自有船舶运力不超过600总吨；（三）有安全管理责任制度、安全监督检查制度、事故应急处置制度、岗位安全操作规程等安全管理制度。第八条　除个体工商户外，水路运输经营者应当配备满足下列要求的专职海务、机务管理人员：（一）海务、机务管理人员数量满足附件2的要求；（二）海务、机务管理人员的从业资历与其经营范围相适应：1.经营普通货船运输的，应当具有不低于大副、大管轮的从业资历；2.经营客船、危险品船运输的，应当具有船长、轮机长的从业资历。根据船舶最低安全配员标准，水路运输经营者经营的均为不需要配备船长、轮机长或者大副、大管轮的船舶，其配备的海务、机务管理人员应当具有不低于其所管理船舶船员的从业资历。水路运输经营者委托船舶管理企业为其提供船舶海务、机务管理等服务的，按照《国内水路运输辅助业管理规定》的有关规定执行。第九条　除个体工商户外，水路运输经营者按照有关规定应当配备的高级船员中，与其直接订立一年以上劳动合同的高级船员的比例应当满足下列要求：（一）经营普通货船运输的，高级船员的比例不低于25%；（二）经营客船、危险品船运输的，高级船员的比例不低于50%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rPr>
              <w:t>1</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18"/>
                <w:szCs w:val="18"/>
                <w:lang w:eastAsia="zh-CN"/>
              </w:rPr>
            </w:pPr>
            <w:r>
              <w:rPr>
                <w:rFonts w:hint="eastAsia" w:ascii="宋体" w:hAnsi="宋体" w:eastAsia="宋体" w:cs="宋体"/>
                <w:color w:val="000000"/>
                <w:sz w:val="18"/>
                <w:szCs w:val="18"/>
              </w:rPr>
              <w:t>有效的船舶《船舶所有权登记证书》、《船舶国籍证书》、《船舶检验证书》以及按照相关法律、行政法规规定证明船舶符合安全与防污染和入级检验证书</w:t>
            </w:r>
          </w:p>
        </w:tc>
        <w:tc>
          <w:tcPr>
            <w:tcW w:w="1311" w:type="dxa"/>
            <w:shd w:val="clear" w:color="auto" w:fill="auto"/>
            <w:noWrap w:val="0"/>
            <w:vAlign w:val="center"/>
          </w:tcPr>
          <w:p>
            <w:pPr>
              <w:ind w:firstLine="180" w:firstLineChars="100"/>
              <w:jc w:val="both"/>
              <w:rPr>
                <w:rFonts w:hint="eastAsia" w:ascii="宋体" w:hAnsi="宋体" w:eastAsia="宋体" w:cs="宋体"/>
                <w:sz w:val="18"/>
                <w:szCs w:val="18"/>
                <w:lang w:val="en-US" w:eastAsia="zh-CN"/>
              </w:rPr>
            </w:pPr>
            <w:r>
              <w:rPr>
                <w:rFonts w:hint="eastAsia" w:ascii="宋体" w:hAnsi="宋体" w:eastAsia="宋体" w:cs="宋体"/>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rPr>
              <w:t>2</w:t>
            </w:r>
          </w:p>
        </w:tc>
        <w:tc>
          <w:tcPr>
            <w:tcW w:w="200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企业安全管理制度</w:t>
            </w:r>
          </w:p>
        </w:tc>
        <w:tc>
          <w:tcPr>
            <w:tcW w:w="1311" w:type="dxa"/>
            <w:shd w:val="clear" w:color="auto" w:fill="auto"/>
            <w:noWrap w:val="0"/>
            <w:vAlign w:val="center"/>
          </w:tcPr>
          <w:p>
            <w:pPr>
              <w:ind w:firstLine="360" w:firstLineChars="200"/>
              <w:jc w:val="both"/>
              <w:rPr>
                <w:rFonts w:hint="eastAsia" w:ascii="宋体" w:hAnsi="宋体" w:eastAsia="宋体" w:cs="宋体"/>
                <w:sz w:val="18"/>
                <w:szCs w:val="18"/>
                <w:lang w:val="en-US" w:eastAsia="zh-CN"/>
              </w:rPr>
            </w:pPr>
            <w:r>
              <w:rPr>
                <w:rFonts w:hint="eastAsia" w:ascii="宋体" w:hAnsi="宋体" w:eastAsia="宋体" w:cs="宋体"/>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3</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高级船员名单、身份证、任职资历资料（适任证书和船员服务薄，含签注页）、订立一年以上劳动合同</w:t>
            </w:r>
          </w:p>
        </w:tc>
        <w:tc>
          <w:tcPr>
            <w:tcW w:w="1311" w:type="dxa"/>
            <w:shd w:val="clear" w:color="auto" w:fill="auto"/>
            <w:noWrap w:val="0"/>
            <w:vAlign w:val="center"/>
          </w:tcPr>
          <w:p>
            <w:pPr>
              <w:ind w:firstLine="360" w:firstLineChars="200"/>
              <w:jc w:val="both"/>
              <w:rPr>
                <w:rFonts w:hint="eastAsia" w:ascii="宋体" w:hAnsi="宋体" w:eastAsia="宋体" w:cs="宋体"/>
                <w:color w:val="000000"/>
                <w:sz w:val="18"/>
                <w:szCs w:val="18"/>
              </w:rPr>
            </w:pPr>
            <w:r>
              <w:rPr>
                <w:rFonts w:hint="eastAsia" w:ascii="宋体" w:hAnsi="宋体" w:eastAsia="宋体" w:cs="宋体"/>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4</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海务、机务专职管理人员名单、任职文件、身份证、从业资历证明材料高级船员名单、身份证、任职资历资料（适任证书和船员服务薄，含签注页）、订立一年以上劳动合同</w:t>
            </w:r>
          </w:p>
        </w:tc>
        <w:tc>
          <w:tcPr>
            <w:tcW w:w="1311" w:type="dxa"/>
            <w:shd w:val="clear" w:color="auto" w:fill="auto"/>
            <w:noWrap w:val="0"/>
            <w:vAlign w:val="center"/>
          </w:tcPr>
          <w:p>
            <w:pPr>
              <w:ind w:firstLine="360" w:firstLineChars="200"/>
              <w:jc w:val="both"/>
              <w:rPr>
                <w:rFonts w:hint="eastAsia" w:ascii="宋体" w:hAnsi="宋体" w:eastAsia="宋体" w:cs="宋体"/>
                <w:color w:val="000000"/>
                <w:sz w:val="18"/>
                <w:szCs w:val="18"/>
              </w:rPr>
            </w:pPr>
            <w:r>
              <w:rPr>
                <w:rFonts w:hint="eastAsia" w:ascii="宋体" w:hAnsi="宋体" w:eastAsia="宋体" w:cs="宋体"/>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5</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企业组织机构图</w:t>
            </w:r>
          </w:p>
        </w:tc>
        <w:tc>
          <w:tcPr>
            <w:tcW w:w="1311" w:type="dxa"/>
            <w:shd w:val="clear" w:color="auto" w:fill="auto"/>
            <w:noWrap w:val="0"/>
            <w:vAlign w:val="center"/>
          </w:tcPr>
          <w:p>
            <w:pPr>
              <w:ind w:firstLine="360" w:firstLineChars="200"/>
              <w:jc w:val="both"/>
              <w:rPr>
                <w:rFonts w:hint="eastAsia" w:ascii="宋体" w:hAnsi="宋体" w:eastAsia="宋体" w:cs="宋体"/>
                <w:color w:val="000000"/>
                <w:sz w:val="18"/>
                <w:szCs w:val="18"/>
              </w:rPr>
            </w:pPr>
            <w:r>
              <w:rPr>
                <w:rFonts w:hint="eastAsia" w:ascii="宋体" w:hAnsi="宋体" w:eastAsia="宋体" w:cs="宋体"/>
                <w:sz w:val="18"/>
                <w:szCs w:val="18"/>
                <w:lang w:eastAsia="zh-CN"/>
              </w:rPr>
              <w:t>原件</w:t>
            </w:r>
          </w:p>
        </w:tc>
        <w:tc>
          <w:tcPr>
            <w:tcW w:w="655"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6</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营业执照</w:t>
            </w:r>
          </w:p>
        </w:tc>
        <w:tc>
          <w:tcPr>
            <w:tcW w:w="1311" w:type="dxa"/>
            <w:shd w:val="clear" w:color="auto" w:fill="auto"/>
            <w:noWrap w:val="0"/>
            <w:vAlign w:val="center"/>
          </w:tcPr>
          <w:p>
            <w:pPr>
              <w:ind w:firstLine="360" w:firstLineChars="200"/>
              <w:jc w:val="both"/>
              <w:rPr>
                <w:rFonts w:hint="eastAsia" w:ascii="宋体" w:hAnsi="宋体" w:eastAsia="宋体" w:cs="宋体"/>
                <w:color w:val="000000"/>
                <w:sz w:val="18"/>
                <w:szCs w:val="18"/>
              </w:rPr>
            </w:pPr>
            <w:r>
              <w:rPr>
                <w:rFonts w:hint="eastAsia" w:ascii="宋体" w:hAnsi="宋体" w:eastAsia="宋体" w:cs="宋体"/>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7</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水路运输企业开业申请表</w:t>
            </w:r>
          </w:p>
        </w:tc>
        <w:tc>
          <w:tcPr>
            <w:tcW w:w="1311" w:type="dxa"/>
            <w:shd w:val="clear" w:color="auto" w:fill="auto"/>
            <w:noWrap w:val="0"/>
            <w:vAlign w:val="center"/>
          </w:tcPr>
          <w:p>
            <w:pPr>
              <w:ind w:firstLine="360" w:firstLineChars="200"/>
              <w:jc w:val="both"/>
              <w:rPr>
                <w:rFonts w:hint="eastAsia" w:ascii="宋体" w:hAnsi="宋体" w:eastAsia="宋体" w:cs="宋体"/>
                <w:color w:val="000000"/>
                <w:sz w:val="18"/>
                <w:szCs w:val="18"/>
              </w:rPr>
            </w:pPr>
            <w:r>
              <w:rPr>
                <w:rFonts w:hint="eastAsia" w:ascii="宋体" w:hAnsi="宋体" w:eastAsia="宋体" w:cs="宋体"/>
                <w:sz w:val="18"/>
                <w:szCs w:val="18"/>
                <w:lang w:eastAsia="zh-CN"/>
              </w:rPr>
              <w:t>原件</w:t>
            </w:r>
          </w:p>
        </w:tc>
        <w:tc>
          <w:tcPr>
            <w:tcW w:w="655"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val="en-US" w:eastAsia="zh-CN"/>
              </w:rPr>
              <w:t>申报材料真实有效</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受理：受理窗口对申请材料进行审查，能当场予以确认的，应当场出具受理通知书；不能当场确认的，自收到申请材料之日起1个工作日内作出是否受理的决定；不符合规定的，向申请单位出具不予受理通知书。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审查：登记机关依据审批材料进行审查，履行审批程序；符合条件的，予以登记；不符合条件的，不予办理使用登记，并书面说明理由。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决定：审查通过的，书面及电话告知申请人。</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229225" cy="6572250"/>
            <wp:effectExtent l="0" t="0" r="9525" b="0"/>
            <wp:docPr id="1" name="图片 1"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流程图"/>
                    <pic:cNvPicPr>
                      <a:picLocks noChangeAspect="1"/>
                    </pic:cNvPicPr>
                  </pic:nvPicPr>
                  <pic:blipFill>
                    <a:blip r:embed="rId8"/>
                    <a:stretch>
                      <a:fillRect/>
                    </a:stretch>
                  </pic:blipFill>
                  <pic:spPr>
                    <a:xfrm>
                      <a:off x="0" y="0"/>
                      <a:ext cx="5229225" cy="65722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法定时限：20个工作日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承诺时限：1个工作日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自受理之日起1个工作日内直接送达或邮寄送达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13.1  现场咨询：新县市民之家三楼无差别综合受理窗口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电话咨询：窗口电话：0376－7622311单位电话：0376-2986348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本单位监督举报电话：0376-2986348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16.1  现场查询：新县市民之家三楼无差别综合受理窗口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黑体" w:hAnsi="黑体" w:eastAsia="黑体" w:cs="黑体"/>
          <w:lang w:val="en-US" w:eastAsia="zh-CN"/>
        </w:rPr>
      </w:pPr>
      <w:r>
        <w:rPr>
          <w:rFonts w:hint="eastAsia" w:ascii="黑体" w:hAnsi="黑体" w:eastAsia="黑体" w:cs="黑体"/>
          <w:b w:val="0"/>
          <w:bCs w:val="0"/>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p>
    <w:p>
      <w:pPr>
        <w:rPr>
          <w:rFonts w:hint="default"/>
          <w:lang w:val="en-US" w:eastAsia="zh-CN"/>
        </w:rPr>
      </w:pPr>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557"/>
        <w:tab w:val="clear" w:pos="4153"/>
      </w:tabs>
      <w:rPr>
        <w:rFonts w:hint="eastAsia" w:eastAsiaTheme="minorEastAsia"/>
        <w:lang w:eastAsia="zh-CN"/>
      </w:rP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227"/>
                            <w:jc w:val="right"/>
                            <w:textAlignment w:val="auto"/>
                            <w:rPr>
                              <w:rFonts w:hint="eastAsia" w:eastAsiaTheme="minorEastAsia"/>
                              <w:lang w:eastAsia="zh-CN"/>
                            </w:rPr>
                          </w:pPr>
                          <w:r>
                            <w:rPr>
                              <w:rFonts w:hint="eastAsia" w:ascii="宋体" w:hAnsi="宋体" w:eastAsiaTheme="minorEastAsia"/>
                              <w:sz w:val="18"/>
                              <w:szCs w:val="18"/>
                              <w:lang w:eastAsia="zh-CN"/>
                            </w:rPr>
                            <w:fldChar w:fldCharType="begin"/>
                          </w:r>
                          <w:r>
                            <w:rPr>
                              <w:rFonts w:hint="eastAsia" w:ascii="宋体" w:hAnsi="宋体" w:eastAsiaTheme="minorEastAsia"/>
                              <w:sz w:val="18"/>
                              <w:szCs w:val="18"/>
                              <w:lang w:eastAsia="zh-CN"/>
                            </w:rPr>
                            <w:instrText xml:space="preserve"> PAGE  \* MERGEFORMAT </w:instrText>
                          </w:r>
                          <w:r>
                            <w:rPr>
                              <w:rFonts w:hint="eastAsia" w:ascii="宋体" w:hAnsi="宋体" w:eastAsiaTheme="minorEastAsia"/>
                              <w:sz w:val="18"/>
                              <w:szCs w:val="18"/>
                              <w:lang w:eastAsia="zh-CN"/>
                            </w:rPr>
                            <w:fldChar w:fldCharType="separate"/>
                          </w:r>
                          <w:r>
                            <w:rPr>
                              <w:rFonts w:hint="eastAsia" w:ascii="宋体" w:hAnsi="宋体" w:eastAsiaTheme="minorEastAsia"/>
                              <w:sz w:val="18"/>
                              <w:szCs w:val="18"/>
                              <w:lang w:eastAsia="zh-CN"/>
                            </w:rPr>
                            <w:t>- 1 -</w:t>
                          </w:r>
                          <w:r>
                            <w:rPr>
                              <w:rFonts w:hint="eastAsia" w:ascii="宋体" w:hAnsi="宋体" w:eastAsiaTheme="minorEastAsia"/>
                              <w:sz w:val="18"/>
                              <w:szCs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adjustRightInd/>
                      <w:snapToGrid w:val="0"/>
                      <w:ind w:left="227"/>
                      <w:jc w:val="right"/>
                      <w:textAlignment w:val="auto"/>
                      <w:rPr>
                        <w:rFonts w:hint="eastAsia" w:eastAsiaTheme="minorEastAsia"/>
                        <w:lang w:eastAsia="zh-CN"/>
                      </w:rPr>
                    </w:pPr>
                    <w:r>
                      <w:rPr>
                        <w:rFonts w:hint="eastAsia" w:ascii="宋体" w:hAnsi="宋体" w:eastAsiaTheme="minorEastAsia"/>
                        <w:sz w:val="18"/>
                        <w:szCs w:val="18"/>
                        <w:lang w:eastAsia="zh-CN"/>
                      </w:rPr>
                      <w:fldChar w:fldCharType="begin"/>
                    </w:r>
                    <w:r>
                      <w:rPr>
                        <w:rFonts w:hint="eastAsia" w:ascii="宋体" w:hAnsi="宋体" w:eastAsiaTheme="minorEastAsia"/>
                        <w:sz w:val="18"/>
                        <w:szCs w:val="18"/>
                        <w:lang w:eastAsia="zh-CN"/>
                      </w:rPr>
                      <w:instrText xml:space="preserve"> PAGE  \* MERGEFORMAT </w:instrText>
                    </w:r>
                    <w:r>
                      <w:rPr>
                        <w:rFonts w:hint="eastAsia" w:ascii="宋体" w:hAnsi="宋体" w:eastAsiaTheme="minorEastAsia"/>
                        <w:sz w:val="18"/>
                        <w:szCs w:val="18"/>
                        <w:lang w:eastAsia="zh-CN"/>
                      </w:rPr>
                      <w:fldChar w:fldCharType="separate"/>
                    </w:r>
                    <w:r>
                      <w:rPr>
                        <w:rFonts w:hint="eastAsia" w:ascii="宋体" w:hAnsi="宋体" w:eastAsiaTheme="minorEastAsia"/>
                        <w:sz w:val="18"/>
                        <w:szCs w:val="18"/>
                        <w:lang w:eastAsia="zh-CN"/>
                      </w:rPr>
                      <w:t>- 1 -</w:t>
                    </w:r>
                    <w:r>
                      <w:rPr>
                        <w:rFonts w:hint="eastAsia" w:ascii="宋体" w:hAnsi="宋体" w:eastAsiaTheme="minorEastAsia"/>
                        <w:sz w:val="18"/>
                        <w:szCs w:val="18"/>
                        <w:lang w:eastAsia="zh-CN"/>
                      </w:rPr>
                      <w:fldChar w:fldCharType="end"/>
                    </w:r>
                  </w:p>
                </w:txbxContent>
              </v:textbox>
            </v:shape>
          </w:pict>
        </mc:Fallback>
      </mc:AlternateContent>
    </w: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92"/>
        <w:tab w:val="clear" w:pos="4153"/>
      </w:tabs>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val="0"/>
                            <w:adjustRightInd/>
                            <w:snapToGrid w:val="0"/>
                            <w:ind w:left="227"/>
                            <w:textAlignment w:val="auto"/>
                            <w:rPr>
                              <w:rFonts w:hint="eastAsia" w:eastAsiaTheme="minorEastAsia"/>
                              <w:sz w:val="18"/>
                              <w:szCs w:val="18"/>
                              <w:lang w:eastAsia="zh-CN"/>
                            </w:rPr>
                          </w:pPr>
                          <w:r>
                            <w:rPr>
                              <w:rFonts w:hint="eastAsia" w:ascii="宋体" w:hAnsi="宋体" w:eastAsia="宋体" w:cs="宋体"/>
                              <w:sz w:val="18"/>
                              <w:szCs w:val="18"/>
                              <w:lang w:eastAsia="zh-CN"/>
                            </w:rPr>
                            <w:fldChar w:fldCharType="begin"/>
                          </w:r>
                          <w:r>
                            <w:rPr>
                              <w:rFonts w:hint="eastAsia" w:ascii="宋体" w:hAnsi="宋体" w:eastAsia="宋体" w:cs="宋体"/>
                              <w:sz w:val="18"/>
                              <w:szCs w:val="18"/>
                              <w:lang w:eastAsia="zh-CN"/>
                            </w:rPr>
                            <w:instrText xml:space="preserve"> PAGE  \* MERGEFORMAT </w:instrText>
                          </w:r>
                          <w:r>
                            <w:rPr>
                              <w:rFonts w:hint="eastAsia" w:ascii="宋体" w:hAnsi="宋体" w:eastAsia="宋体" w:cs="宋体"/>
                              <w:sz w:val="18"/>
                              <w:szCs w:val="18"/>
                              <w:lang w:eastAsia="zh-CN"/>
                            </w:rPr>
                            <w:fldChar w:fldCharType="separate"/>
                          </w:r>
                          <w:r>
                            <w:rPr>
                              <w:rFonts w:hint="eastAsia" w:ascii="宋体" w:hAnsi="宋体" w:eastAsia="宋体" w:cs="宋体"/>
                              <w:sz w:val="18"/>
                              <w:szCs w:val="18"/>
                              <w:lang w:eastAsia="zh-CN"/>
                            </w:rPr>
                            <w:t>- 2 -</w:t>
                          </w:r>
                          <w:r>
                            <w:rPr>
                              <w:rFonts w:hint="eastAsia" w:ascii="宋体" w:hAnsi="宋体" w:eastAsia="宋体" w:cs="宋体"/>
                              <w:sz w:val="18"/>
                              <w:szCs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val="0"/>
                      <w:adjustRightInd/>
                      <w:snapToGrid w:val="0"/>
                      <w:ind w:left="227"/>
                      <w:textAlignment w:val="auto"/>
                      <w:rPr>
                        <w:rFonts w:hint="eastAsia" w:eastAsiaTheme="minorEastAsia"/>
                        <w:sz w:val="18"/>
                        <w:szCs w:val="18"/>
                        <w:lang w:eastAsia="zh-CN"/>
                      </w:rPr>
                    </w:pPr>
                    <w:r>
                      <w:rPr>
                        <w:rFonts w:hint="eastAsia" w:ascii="宋体" w:hAnsi="宋体" w:eastAsia="宋体" w:cs="宋体"/>
                        <w:sz w:val="18"/>
                        <w:szCs w:val="18"/>
                        <w:lang w:eastAsia="zh-CN"/>
                      </w:rPr>
                      <w:fldChar w:fldCharType="begin"/>
                    </w:r>
                    <w:r>
                      <w:rPr>
                        <w:rFonts w:hint="eastAsia" w:ascii="宋体" w:hAnsi="宋体" w:eastAsia="宋体" w:cs="宋体"/>
                        <w:sz w:val="18"/>
                        <w:szCs w:val="18"/>
                        <w:lang w:eastAsia="zh-CN"/>
                      </w:rPr>
                      <w:instrText xml:space="preserve"> PAGE  \* MERGEFORMAT </w:instrText>
                    </w:r>
                    <w:r>
                      <w:rPr>
                        <w:rFonts w:hint="eastAsia" w:ascii="宋体" w:hAnsi="宋体" w:eastAsia="宋体" w:cs="宋体"/>
                        <w:sz w:val="18"/>
                        <w:szCs w:val="18"/>
                        <w:lang w:eastAsia="zh-CN"/>
                      </w:rPr>
                      <w:fldChar w:fldCharType="separate"/>
                    </w:r>
                    <w:r>
                      <w:rPr>
                        <w:rFonts w:hint="eastAsia" w:ascii="宋体" w:hAnsi="宋体" w:eastAsia="宋体" w:cs="宋体"/>
                        <w:sz w:val="18"/>
                        <w:szCs w:val="18"/>
                        <w:lang w:eastAsia="zh-CN"/>
                      </w:rPr>
                      <w:t>- 2 -</w:t>
                    </w:r>
                    <w:r>
                      <w:rPr>
                        <w:rFonts w:hint="eastAsia" w:ascii="宋体" w:hAnsi="宋体" w:eastAsia="宋体" w:cs="宋体"/>
                        <w:sz w:val="18"/>
                        <w:szCs w:val="18"/>
                        <w:lang w:eastAsia="zh-CN"/>
                      </w:rP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-9525</wp:posOffset>
              </wp:positionH>
              <wp:positionV relativeFrom="paragraph">
                <wp:posOffset>0</wp:posOffset>
              </wp:positionV>
              <wp:extent cx="1030605" cy="14605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03060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oTAkGzQCAABkBAAADgAAAAAAAAABACAAAAAjAQAAZHJzL2Uyb0RvYy54&#10;bWxQSwUGAAAAAAYABgBZAQAAyQUAAAAA&#10;">
              <v:fill on="f" focussize="0,0"/>
              <v:stroke on="f" weight="0.5pt"/>
              <v:imagedata o:title=""/>
              <o:lock v:ext="edit" aspectratio="f"/>
              <v:textbox inset="0mm,0mm,0mm,0mm">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101.61—2023</w:t>
    </w:r>
  </w:p>
  <w:p>
    <w:pPr>
      <w:pStyle w:val="3"/>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101.61—2023</w:t>
    </w:r>
  </w:p>
  <w:p>
    <w:pPr>
      <w:pStyle w:val="3"/>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00000000"/>
    <w:rsid w:val="00EF1DA9"/>
    <w:rsid w:val="01AD7E6D"/>
    <w:rsid w:val="024E57BE"/>
    <w:rsid w:val="03107D3B"/>
    <w:rsid w:val="04F5513A"/>
    <w:rsid w:val="0A577EDC"/>
    <w:rsid w:val="0B0D44D4"/>
    <w:rsid w:val="0BB43C6B"/>
    <w:rsid w:val="0D2A279F"/>
    <w:rsid w:val="0DCE2A25"/>
    <w:rsid w:val="0DDB3A3F"/>
    <w:rsid w:val="10943792"/>
    <w:rsid w:val="11DC7D06"/>
    <w:rsid w:val="16027499"/>
    <w:rsid w:val="17394603"/>
    <w:rsid w:val="197053F2"/>
    <w:rsid w:val="19870F5D"/>
    <w:rsid w:val="1B2D105E"/>
    <w:rsid w:val="1C23651B"/>
    <w:rsid w:val="1C273C13"/>
    <w:rsid w:val="1D8607E8"/>
    <w:rsid w:val="1DFD1F7F"/>
    <w:rsid w:val="21AC28FC"/>
    <w:rsid w:val="236F308A"/>
    <w:rsid w:val="250638CD"/>
    <w:rsid w:val="262C1868"/>
    <w:rsid w:val="26786548"/>
    <w:rsid w:val="2A0505E0"/>
    <w:rsid w:val="2E477B6D"/>
    <w:rsid w:val="31A1477E"/>
    <w:rsid w:val="32225ABD"/>
    <w:rsid w:val="33C96C75"/>
    <w:rsid w:val="34312375"/>
    <w:rsid w:val="374534D2"/>
    <w:rsid w:val="38296225"/>
    <w:rsid w:val="387A6293"/>
    <w:rsid w:val="3A376F2E"/>
    <w:rsid w:val="3C03787E"/>
    <w:rsid w:val="3FB7726A"/>
    <w:rsid w:val="423A66AC"/>
    <w:rsid w:val="43A85C63"/>
    <w:rsid w:val="43FD267D"/>
    <w:rsid w:val="459828A0"/>
    <w:rsid w:val="47B26EA9"/>
    <w:rsid w:val="48DF0D1A"/>
    <w:rsid w:val="4A8470F0"/>
    <w:rsid w:val="4AE314A0"/>
    <w:rsid w:val="4B131269"/>
    <w:rsid w:val="4B316D23"/>
    <w:rsid w:val="4BCA0D1B"/>
    <w:rsid w:val="4C5F3D5A"/>
    <w:rsid w:val="4DC75A8E"/>
    <w:rsid w:val="4E7216E3"/>
    <w:rsid w:val="4F5D4751"/>
    <w:rsid w:val="4F8D2504"/>
    <w:rsid w:val="51AF7072"/>
    <w:rsid w:val="57014F55"/>
    <w:rsid w:val="584B21EF"/>
    <w:rsid w:val="59AE4C53"/>
    <w:rsid w:val="59E2702F"/>
    <w:rsid w:val="5A84723C"/>
    <w:rsid w:val="5CA26A61"/>
    <w:rsid w:val="5D1F636E"/>
    <w:rsid w:val="5D2A7067"/>
    <w:rsid w:val="5DAB327D"/>
    <w:rsid w:val="5E9C127C"/>
    <w:rsid w:val="5F8D56AA"/>
    <w:rsid w:val="657255DA"/>
    <w:rsid w:val="6598155C"/>
    <w:rsid w:val="69485F54"/>
    <w:rsid w:val="6B1941C5"/>
    <w:rsid w:val="6D922E67"/>
    <w:rsid w:val="7019553E"/>
    <w:rsid w:val="7067478F"/>
    <w:rsid w:val="713429A1"/>
    <w:rsid w:val="71697A56"/>
    <w:rsid w:val="72A96578"/>
    <w:rsid w:val="754B10F6"/>
    <w:rsid w:val="75C1033A"/>
    <w:rsid w:val="76ED4FE7"/>
    <w:rsid w:val="7869418D"/>
    <w:rsid w:val="799A75AC"/>
    <w:rsid w:val="7B160887"/>
    <w:rsid w:val="7B4A135E"/>
    <w:rsid w:val="7BE1774D"/>
    <w:rsid w:val="7CAB54FA"/>
    <w:rsid w:val="7E420750"/>
    <w:rsid w:val="7E5E4287"/>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 w:type="character" w:customStyle="1" w:styleId="7">
    <w:name w:val="ellisiss"/>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2885</Words>
  <Characters>3189</Characters>
  <Lines>0</Lines>
  <Paragraphs>0</Paragraphs>
  <TotalTime>1</TotalTime>
  <ScaleCrop>false</ScaleCrop>
  <LinksUpToDate>false</LinksUpToDate>
  <CharactersWithSpaces>3273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2021-10-19T01:57:00Z</cp:lastPrinted>
  <dcterms:modified xsi:type="dcterms:W3CDTF">2024-03-12T01:48:26Z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F2371082757B4E459DF673F63EDECD60</vt:lpwstr>
  </property>
</Properties>
</file>