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before="850" w:after="680"/>
        <w:jc w:val="center"/>
        <w:textAlignment w:val="auto"/>
        <w:rPr>
          <w:rFonts w:hint="eastAsia" w:ascii="黑体" w:hAnsi="黑体" w:eastAsia="黑体" w:cs="黑体"/>
          <w:b/>
          <w:bCs/>
          <w:sz w:val="32"/>
          <w:szCs w:val="40"/>
          <w:lang w:val="en-US" w:eastAsia="zh-CN"/>
        </w:rPr>
      </w:pPr>
      <w:bookmarkStart w:id="0" w:name="_GoBack"/>
      <w:bookmarkEnd w:id="0"/>
      <w:r>
        <w:rPr>
          <w:rFonts w:hint="eastAsia" w:ascii="黑体" w:hAnsi="黑体" w:eastAsia="黑体" w:cs="黑体"/>
          <w:b/>
          <w:bCs/>
          <w:sz w:val="32"/>
          <w:szCs w:val="40"/>
          <w:lang w:val="en-US" w:eastAsia="zh-CN"/>
        </w:rPr>
        <w:t>新建、改建、扩建从事港口危险货物作业的建设项目安全条件审查办理规程</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1  事项名称及编码</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lang w:val="en-US" w:eastAsia="zh-CN"/>
        </w:rPr>
      </w:pPr>
      <w:r>
        <w:rPr>
          <w:rFonts w:hint="eastAsia" w:ascii="宋体" w:hAnsi="宋体" w:eastAsia="宋体" w:cs="宋体"/>
          <w:lang w:val="en-US" w:eastAsia="zh-CN"/>
        </w:rPr>
        <w:t>新建、改建、扩建从事港口危险货物作业的建设项目安全条件审查 006112054XK9CHMF001</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2  事项类型</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default" w:ascii="宋体" w:hAnsi="宋体" w:eastAsia="宋体" w:cs="宋体"/>
          <w:lang w:val="en-US" w:eastAsia="zh-CN"/>
        </w:rPr>
      </w:pPr>
      <w:r>
        <w:rPr>
          <w:rFonts w:hint="default" w:ascii="宋体" w:hAnsi="宋体" w:eastAsia="宋体" w:cs="宋体"/>
          <w:lang w:val="en-US" w:eastAsia="zh-CN"/>
        </w:rPr>
        <w:t>行政许可</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3  设立依据</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3.1《危险化学品安全管理条例》（2002年1月26日国务院令第344号，2013年12月7日予以修改）第十二条：新建、改建、扩建储存、装卸危险化学品的港口建设项目，由港口行政管理部门按照国务院交通运输主管部门的规定进行安全条件审查。</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3.2《港口危险货物安全管理规定》（交通运输部令2012年第9号）第五条：新建、改建、扩建从事港口危险货物作业的建设项目由港口行政管理部门进行安全条件审查。未经安全条件审查通过港口建设项目不得开工建设。</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4  受理机构</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lang w:val="en-US" w:eastAsia="zh-CN"/>
        </w:rPr>
      </w:pPr>
      <w:r>
        <w:rPr>
          <w:rFonts w:hint="eastAsia" w:ascii="宋体" w:hAnsi="宋体" w:eastAsia="宋体" w:cs="宋体"/>
          <w:lang w:val="en-US" w:eastAsia="zh-CN"/>
        </w:rPr>
        <w:t>新县政务服务中心（新县市民之家）</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5  决定机构</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default" w:ascii="宋体" w:hAnsi="宋体" w:eastAsia="宋体" w:cs="宋体"/>
          <w:lang w:val="en-US" w:eastAsia="zh-CN"/>
        </w:rPr>
      </w:pPr>
      <w:r>
        <w:rPr>
          <w:rFonts w:hint="eastAsia" w:ascii="宋体" w:hAnsi="宋体" w:eastAsia="宋体" w:cs="宋体"/>
          <w:lang w:val="en-US" w:eastAsia="zh-CN"/>
        </w:rPr>
        <w:t>新县交通运输局</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6  办理条件</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6.1、建设项目符合港口总体规划的要求；</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6.2、建设项目内在的危险和有害因素在可接受范围内，符合国家有关法律法规和技术标准规范；</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6.3、建设项目与周边设施或者单位、人员密集区、敏感性设施和敏感环境区域在安全方面的相互影响在可接受范围内，符合国家有关法律法规和技术标准规范；</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6.4、自然条件对港口建设项目的影响符合国家有关技术标准规范；</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6.5、安全评价符合国家有关法律法规和技术标准规范的要求。</w:t>
      </w:r>
    </w:p>
    <w:p>
      <w:pPr>
        <w:keepNext w:val="0"/>
        <w:keepLines w:val="0"/>
        <w:pageBreakBefore w:val="0"/>
        <w:widowControl w:val="0"/>
        <w:kinsoku/>
        <w:wordWrap/>
        <w:overflowPunct/>
        <w:topLinePunct w:val="0"/>
        <w:autoSpaceDE/>
        <w:autoSpaceDN/>
        <w:bidi w:val="0"/>
        <w:adjustRightInd/>
        <w:snapToGrid/>
        <w:spacing w:before="313" w:beforeLines="100" w:after="313" w:afterLines="100"/>
        <w:ind w:firstLine="420"/>
        <w:textAlignment w:val="auto"/>
        <w:rPr>
          <w:rFonts w:hint="eastAsia" w:ascii="黑体" w:hAnsi="黑体" w:eastAsia="黑体" w:cs="黑体"/>
          <w:lang w:val="en-US" w:eastAsia="zh-CN"/>
        </w:rPr>
      </w:pPr>
      <w:r>
        <w:rPr>
          <w:rFonts w:hint="eastAsia" w:ascii="黑体" w:hAnsi="黑体" w:eastAsia="黑体" w:cs="黑体"/>
          <w:lang w:val="en-US" w:eastAsia="zh-CN"/>
        </w:rPr>
        <w:t>7  申办材料</w:t>
      </w:r>
    </w:p>
    <w:tbl>
      <w:tblPr>
        <w:tblStyle w:val="4"/>
        <w:tblpPr w:leftFromText="180" w:rightFromText="180" w:vertAnchor="text" w:horzAnchor="page" w:tblpXSpec="center" w:tblpY="173"/>
        <w:tblOverlap w:val="never"/>
        <w:tblW w:w="889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0"/>
        <w:gridCol w:w="2007"/>
        <w:gridCol w:w="1311"/>
        <w:gridCol w:w="655"/>
        <w:gridCol w:w="1462"/>
        <w:gridCol w:w="28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0"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val="en-US" w:eastAsia="zh-CN"/>
              </w:rPr>
              <w:t>序</w:t>
            </w:r>
            <w:r>
              <w:rPr>
                <w:rFonts w:hint="eastAsia" w:ascii="宋体" w:hAnsi="宋体" w:eastAsia="宋体" w:cs="宋体"/>
                <w:sz w:val="18"/>
                <w:szCs w:val="18"/>
                <w:lang w:eastAsia="zh-CN"/>
              </w:rPr>
              <w:t>号</w:t>
            </w:r>
          </w:p>
        </w:tc>
        <w:tc>
          <w:tcPr>
            <w:tcW w:w="2007"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提交材料名称</w:t>
            </w:r>
          </w:p>
        </w:tc>
        <w:tc>
          <w:tcPr>
            <w:tcW w:w="1311"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jc w:val="both"/>
              <w:rPr>
                <w:rFonts w:hint="eastAsia" w:ascii="宋体" w:hAnsi="宋体" w:eastAsia="宋体" w:cs="宋体"/>
                <w:sz w:val="18"/>
                <w:szCs w:val="18"/>
                <w:lang w:eastAsia="zh-CN"/>
              </w:rPr>
            </w:pPr>
            <w:r>
              <w:rPr>
                <w:rFonts w:hint="eastAsia" w:ascii="宋体" w:hAnsi="宋体" w:eastAsia="宋体" w:cs="宋体"/>
                <w:sz w:val="18"/>
                <w:szCs w:val="18"/>
                <w:lang w:eastAsia="zh-CN"/>
              </w:rPr>
              <w:t>原件/复印件</w:t>
            </w:r>
          </w:p>
        </w:tc>
        <w:tc>
          <w:tcPr>
            <w:tcW w:w="655"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份数</w:t>
            </w:r>
          </w:p>
        </w:tc>
        <w:tc>
          <w:tcPr>
            <w:tcW w:w="1462"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纸质/电子版</w:t>
            </w:r>
          </w:p>
        </w:tc>
        <w:tc>
          <w:tcPr>
            <w:tcW w:w="2817"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特定要求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0" w:type="dxa"/>
            <w:shd w:val="clear" w:color="auto" w:fill="auto"/>
            <w:noWrap w:val="0"/>
            <w:vAlign w:val="center"/>
          </w:tcPr>
          <w:p>
            <w:pPr>
              <w:widowControl/>
              <w:jc w:val="center"/>
              <w:textAlignment w:val="center"/>
              <w:rPr>
                <w:rFonts w:hint="eastAsia" w:ascii="宋体" w:hAnsi="宋体" w:eastAsia="宋体" w:cs="宋体"/>
                <w:sz w:val="18"/>
                <w:szCs w:val="18"/>
                <w:lang w:eastAsia="zh-CN"/>
              </w:rPr>
            </w:pPr>
            <w:r>
              <w:rPr>
                <w:rFonts w:hint="eastAsia" w:ascii="宋体" w:hAnsi="宋体" w:eastAsia="宋体" w:cs="宋体"/>
                <w:color w:val="000000"/>
                <w:kern w:val="0"/>
                <w:sz w:val="18"/>
                <w:szCs w:val="18"/>
              </w:rPr>
              <w:t>1</w:t>
            </w:r>
          </w:p>
        </w:tc>
        <w:tc>
          <w:tcPr>
            <w:tcW w:w="2007" w:type="dxa"/>
            <w:shd w:val="clear" w:color="auto" w:fill="auto"/>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sz w:val="18"/>
                <w:szCs w:val="18"/>
                <w:lang w:eastAsia="zh-CN"/>
              </w:rPr>
            </w:pPr>
            <w:r>
              <w:rPr>
                <w:rFonts w:hint="eastAsia" w:ascii="宋体" w:hAnsi="宋体" w:eastAsia="宋体" w:cs="宋体"/>
                <w:color w:val="000000"/>
                <w:sz w:val="18"/>
                <w:szCs w:val="18"/>
              </w:rPr>
              <w:t>建设项目安全条件论证报告</w:t>
            </w:r>
          </w:p>
        </w:tc>
        <w:tc>
          <w:tcPr>
            <w:tcW w:w="1311" w:type="dxa"/>
            <w:shd w:val="clear" w:color="auto" w:fill="auto"/>
            <w:noWrap w:val="0"/>
            <w:vAlign w:val="center"/>
          </w:tcPr>
          <w:p>
            <w:pPr>
              <w:ind w:firstLine="540" w:firstLineChars="300"/>
              <w:jc w:val="both"/>
              <w:rPr>
                <w:rFonts w:hint="eastAsia" w:ascii="宋体" w:hAnsi="宋体" w:eastAsia="宋体" w:cs="宋体"/>
                <w:sz w:val="18"/>
                <w:szCs w:val="18"/>
                <w:lang w:val="en-US" w:eastAsia="zh-CN"/>
              </w:rPr>
            </w:pPr>
            <w:r>
              <w:rPr>
                <w:rFonts w:hint="eastAsia" w:ascii="宋体" w:hAnsi="宋体" w:eastAsia="宋体" w:cs="宋体"/>
                <w:color w:val="000000"/>
                <w:sz w:val="18"/>
                <w:szCs w:val="18"/>
              </w:rPr>
              <w:t>原件</w:t>
            </w:r>
          </w:p>
        </w:tc>
        <w:tc>
          <w:tcPr>
            <w:tcW w:w="655" w:type="dxa"/>
            <w:shd w:val="clear" w:color="auto" w:fill="auto"/>
            <w:noWrap w:val="0"/>
            <w:vAlign w:val="center"/>
          </w:tcPr>
          <w:p>
            <w:pPr>
              <w:jc w:val="center"/>
              <w:rPr>
                <w:rFonts w:hint="eastAsia" w:ascii="宋体" w:hAnsi="宋体" w:eastAsia="宋体" w:cs="宋体"/>
                <w:sz w:val="18"/>
                <w:szCs w:val="18"/>
                <w:lang w:eastAsia="zh-CN"/>
              </w:rPr>
            </w:pPr>
            <w:r>
              <w:rPr>
                <w:rFonts w:hint="eastAsia" w:ascii="宋体" w:hAnsi="宋体" w:eastAsia="宋体" w:cs="宋体"/>
                <w:color w:val="000000"/>
                <w:sz w:val="18"/>
                <w:szCs w:val="18"/>
              </w:rPr>
              <w:t>1</w:t>
            </w:r>
          </w:p>
        </w:tc>
        <w:tc>
          <w:tcPr>
            <w:tcW w:w="1462" w:type="dxa"/>
            <w:shd w:val="clear" w:color="auto" w:fill="auto"/>
            <w:noWrap w:val="0"/>
            <w:vAlign w:val="center"/>
          </w:tcPr>
          <w:p>
            <w:pPr>
              <w:jc w:val="center"/>
              <w:rPr>
                <w:rFonts w:hint="eastAsia" w:ascii="宋体" w:hAnsi="宋体" w:eastAsia="宋体" w:cs="宋体"/>
                <w:sz w:val="18"/>
                <w:szCs w:val="18"/>
                <w:lang w:val="en-US" w:eastAsia="zh-CN"/>
              </w:rPr>
            </w:pPr>
            <w:r>
              <w:rPr>
                <w:rFonts w:hint="eastAsia" w:ascii="宋体" w:hAnsi="宋体" w:eastAsia="宋体" w:cs="宋体"/>
                <w:sz w:val="18"/>
                <w:szCs w:val="18"/>
                <w:lang w:eastAsia="zh-CN"/>
              </w:rPr>
              <w:t>纸质或电子版</w:t>
            </w:r>
          </w:p>
        </w:tc>
        <w:tc>
          <w:tcPr>
            <w:tcW w:w="2817" w:type="dxa"/>
            <w:shd w:val="clear" w:color="auto" w:fill="auto"/>
            <w:noWrap w:val="0"/>
            <w:vAlign w:val="center"/>
          </w:tcPr>
          <w:p>
            <w:pPr>
              <w:jc w:val="center"/>
              <w:rPr>
                <w:rFonts w:hint="eastAsia" w:ascii="宋体" w:hAnsi="宋体" w:eastAsia="宋体" w:cs="宋体"/>
                <w:sz w:val="18"/>
                <w:szCs w:val="18"/>
                <w:lang w:eastAsia="zh-CN"/>
              </w:rPr>
            </w:pPr>
            <w:r>
              <w:rPr>
                <w:rFonts w:hint="eastAsia" w:ascii="宋体" w:hAnsi="宋体" w:eastAsia="宋体" w:cs="宋体"/>
                <w:color w:val="000000"/>
                <w:sz w:val="18"/>
                <w:szCs w:val="18"/>
                <w:lang w:val="en-US" w:eastAsia="zh-CN"/>
              </w:rPr>
              <w:t>申报材料真实有效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0" w:type="dxa"/>
            <w:shd w:val="clear" w:color="auto" w:fill="auto"/>
            <w:noWrap w:val="0"/>
            <w:vAlign w:val="center"/>
          </w:tcPr>
          <w:p>
            <w:pPr>
              <w:widowControl/>
              <w:jc w:val="center"/>
              <w:textAlignment w:val="center"/>
              <w:rPr>
                <w:rFonts w:hint="eastAsia" w:ascii="宋体" w:hAnsi="宋体" w:eastAsia="宋体" w:cs="宋体"/>
                <w:sz w:val="18"/>
                <w:szCs w:val="18"/>
                <w:lang w:eastAsia="zh-CN"/>
              </w:rPr>
            </w:pPr>
            <w:r>
              <w:rPr>
                <w:rFonts w:hint="eastAsia" w:ascii="宋体" w:hAnsi="宋体" w:eastAsia="宋体" w:cs="宋体"/>
                <w:color w:val="000000"/>
                <w:kern w:val="0"/>
                <w:sz w:val="18"/>
                <w:szCs w:val="18"/>
              </w:rPr>
              <w:t>2</w:t>
            </w:r>
          </w:p>
        </w:tc>
        <w:tc>
          <w:tcPr>
            <w:tcW w:w="2007" w:type="dxa"/>
            <w:shd w:val="clear" w:color="auto" w:fill="auto"/>
            <w:noWrap w:val="0"/>
            <w:vAlign w:val="center"/>
          </w:tcPr>
          <w:p>
            <w:pPr>
              <w:jc w:val="center"/>
              <w:rPr>
                <w:rFonts w:hint="eastAsia" w:ascii="宋体" w:hAnsi="宋体" w:eastAsia="宋体" w:cs="宋体"/>
                <w:sz w:val="18"/>
                <w:szCs w:val="18"/>
                <w:lang w:eastAsia="zh-CN"/>
              </w:rPr>
            </w:pPr>
            <w:r>
              <w:rPr>
                <w:rFonts w:hint="eastAsia" w:ascii="宋体" w:hAnsi="宋体" w:eastAsia="宋体" w:cs="宋体"/>
                <w:color w:val="000000"/>
                <w:sz w:val="18"/>
                <w:szCs w:val="18"/>
              </w:rPr>
              <w:t>委托书</w:t>
            </w:r>
          </w:p>
        </w:tc>
        <w:tc>
          <w:tcPr>
            <w:tcW w:w="1311" w:type="dxa"/>
            <w:shd w:val="clear" w:color="auto" w:fill="auto"/>
            <w:noWrap w:val="0"/>
            <w:vAlign w:val="center"/>
          </w:tcPr>
          <w:p>
            <w:pPr>
              <w:ind w:firstLine="540" w:firstLineChars="300"/>
              <w:jc w:val="both"/>
              <w:rPr>
                <w:rFonts w:hint="eastAsia" w:ascii="宋体" w:hAnsi="宋体" w:eastAsia="宋体" w:cs="宋体"/>
                <w:sz w:val="18"/>
                <w:szCs w:val="18"/>
                <w:lang w:val="en-US" w:eastAsia="zh-CN"/>
              </w:rPr>
            </w:pPr>
            <w:r>
              <w:rPr>
                <w:rFonts w:hint="eastAsia" w:ascii="宋体" w:hAnsi="宋体" w:eastAsia="宋体" w:cs="宋体"/>
                <w:color w:val="000000"/>
                <w:sz w:val="18"/>
                <w:szCs w:val="18"/>
              </w:rPr>
              <w:t>原件</w:t>
            </w:r>
          </w:p>
        </w:tc>
        <w:tc>
          <w:tcPr>
            <w:tcW w:w="655" w:type="dxa"/>
            <w:shd w:val="clear" w:color="auto" w:fill="auto"/>
            <w:noWrap w:val="0"/>
            <w:vAlign w:val="center"/>
          </w:tcPr>
          <w:p>
            <w:pPr>
              <w:jc w:val="center"/>
              <w:rPr>
                <w:rFonts w:hint="eastAsia" w:ascii="宋体" w:hAnsi="宋体" w:eastAsia="宋体" w:cs="宋体"/>
                <w:sz w:val="18"/>
                <w:szCs w:val="18"/>
                <w:lang w:val="en-US" w:eastAsia="zh-CN"/>
              </w:rPr>
            </w:pPr>
            <w:r>
              <w:rPr>
                <w:rFonts w:hint="eastAsia" w:ascii="宋体" w:hAnsi="宋体" w:eastAsia="宋体" w:cs="宋体"/>
                <w:color w:val="000000"/>
                <w:sz w:val="18"/>
                <w:szCs w:val="18"/>
              </w:rPr>
              <w:t>1</w:t>
            </w:r>
          </w:p>
        </w:tc>
        <w:tc>
          <w:tcPr>
            <w:tcW w:w="1462" w:type="dxa"/>
            <w:shd w:val="clear" w:color="auto" w:fill="auto"/>
            <w:noWrap w:val="0"/>
            <w:vAlign w:val="center"/>
          </w:tcPr>
          <w:p>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纸质或电子版</w:t>
            </w:r>
          </w:p>
        </w:tc>
        <w:tc>
          <w:tcPr>
            <w:tcW w:w="2817" w:type="dxa"/>
            <w:shd w:val="clear" w:color="auto" w:fill="auto"/>
            <w:noWrap w:val="0"/>
            <w:vAlign w:val="center"/>
          </w:tcPr>
          <w:p>
            <w:pPr>
              <w:jc w:val="center"/>
              <w:rPr>
                <w:rFonts w:hint="eastAsia" w:ascii="宋体" w:hAnsi="宋体" w:eastAsia="宋体" w:cs="宋体"/>
                <w:sz w:val="18"/>
                <w:szCs w:val="18"/>
                <w:lang w:eastAsia="zh-CN"/>
              </w:rPr>
            </w:pPr>
            <w:r>
              <w:rPr>
                <w:rFonts w:hint="eastAsia" w:ascii="宋体" w:hAnsi="宋体" w:eastAsia="宋体" w:cs="宋体"/>
                <w:color w:val="000000"/>
                <w:sz w:val="18"/>
                <w:szCs w:val="18"/>
                <w:lang w:val="en-US" w:eastAsia="zh-CN"/>
              </w:rPr>
              <w:t>申报材料真实有效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0" w:type="dxa"/>
            <w:shd w:val="clear" w:color="auto" w:fill="auto"/>
            <w:noWrap w:val="0"/>
            <w:vAlign w:val="center"/>
          </w:tcPr>
          <w:p>
            <w:pPr>
              <w:widowControl/>
              <w:jc w:val="center"/>
              <w:textAlignment w:val="center"/>
              <w:rPr>
                <w:rFonts w:hint="eastAsia" w:ascii="宋体" w:hAnsi="宋体" w:eastAsia="宋体" w:cs="宋体"/>
                <w:color w:val="000000"/>
                <w:kern w:val="0"/>
                <w:sz w:val="18"/>
                <w:szCs w:val="18"/>
                <w:lang w:val="en-US" w:eastAsia="zh-CN"/>
              </w:rPr>
            </w:pPr>
            <w:r>
              <w:rPr>
                <w:rFonts w:hint="eastAsia" w:ascii="宋体" w:hAnsi="宋体" w:eastAsia="宋体" w:cs="宋体"/>
                <w:color w:val="000000"/>
                <w:kern w:val="0"/>
                <w:sz w:val="18"/>
                <w:szCs w:val="18"/>
                <w:lang w:val="en-US" w:eastAsia="zh-CN"/>
              </w:rPr>
              <w:t>3</w:t>
            </w:r>
          </w:p>
        </w:tc>
        <w:tc>
          <w:tcPr>
            <w:tcW w:w="2007" w:type="dxa"/>
            <w:shd w:val="clear" w:color="auto" w:fill="auto"/>
            <w:noWrap w:val="0"/>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港口危险货物建设项目安全条件审查申请书</w:t>
            </w:r>
          </w:p>
        </w:tc>
        <w:tc>
          <w:tcPr>
            <w:tcW w:w="1311" w:type="dxa"/>
            <w:shd w:val="clear" w:color="auto" w:fill="auto"/>
            <w:noWrap w:val="0"/>
            <w:vAlign w:val="center"/>
          </w:tcPr>
          <w:p>
            <w:pPr>
              <w:ind w:firstLine="540" w:firstLineChars="300"/>
              <w:jc w:val="both"/>
              <w:rPr>
                <w:rFonts w:hint="eastAsia" w:ascii="宋体" w:hAnsi="宋体" w:eastAsia="宋体" w:cs="宋体"/>
                <w:color w:val="000000"/>
                <w:sz w:val="18"/>
                <w:szCs w:val="18"/>
              </w:rPr>
            </w:pPr>
            <w:r>
              <w:rPr>
                <w:rFonts w:hint="eastAsia" w:ascii="宋体" w:hAnsi="宋体" w:eastAsia="宋体" w:cs="宋体"/>
                <w:color w:val="000000"/>
                <w:sz w:val="18"/>
                <w:szCs w:val="18"/>
              </w:rPr>
              <w:t>原件</w:t>
            </w:r>
          </w:p>
        </w:tc>
        <w:tc>
          <w:tcPr>
            <w:tcW w:w="655" w:type="dxa"/>
            <w:shd w:val="clear" w:color="auto" w:fill="auto"/>
            <w:noWrap w:val="0"/>
            <w:vAlign w:val="center"/>
          </w:tcPr>
          <w:p>
            <w:pPr>
              <w:jc w:val="center"/>
              <w:rPr>
                <w:rFonts w:hint="eastAsia"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1</w:t>
            </w:r>
          </w:p>
        </w:tc>
        <w:tc>
          <w:tcPr>
            <w:tcW w:w="1462" w:type="dxa"/>
            <w:shd w:val="clear" w:color="auto" w:fill="auto"/>
            <w:noWrap w:val="0"/>
            <w:vAlign w:val="center"/>
          </w:tcPr>
          <w:p>
            <w:pPr>
              <w:jc w:val="center"/>
              <w:rPr>
                <w:rFonts w:hint="eastAsia" w:ascii="宋体" w:hAnsi="宋体" w:eastAsia="宋体" w:cs="宋体"/>
                <w:color w:val="000000"/>
                <w:sz w:val="18"/>
                <w:szCs w:val="18"/>
              </w:rPr>
            </w:pPr>
            <w:r>
              <w:rPr>
                <w:rFonts w:hint="eastAsia" w:ascii="宋体" w:hAnsi="宋体" w:eastAsia="宋体" w:cs="宋体"/>
                <w:sz w:val="18"/>
                <w:szCs w:val="18"/>
                <w:lang w:eastAsia="zh-CN"/>
              </w:rPr>
              <w:t>纸质或电子版</w:t>
            </w:r>
          </w:p>
        </w:tc>
        <w:tc>
          <w:tcPr>
            <w:tcW w:w="2817" w:type="dxa"/>
            <w:shd w:val="clear" w:color="auto" w:fill="auto"/>
            <w:noWrap w:val="0"/>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lang w:val="en-US" w:eastAsia="zh-CN"/>
              </w:rPr>
              <w:t>申报材料真实有效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0" w:type="dxa"/>
            <w:shd w:val="clear" w:color="auto" w:fill="auto"/>
            <w:noWrap w:val="0"/>
            <w:vAlign w:val="center"/>
          </w:tcPr>
          <w:p>
            <w:pPr>
              <w:widowControl/>
              <w:jc w:val="center"/>
              <w:textAlignment w:val="center"/>
              <w:rPr>
                <w:rFonts w:hint="eastAsia" w:ascii="宋体" w:hAnsi="宋体" w:eastAsia="宋体" w:cs="宋体"/>
                <w:color w:val="000000"/>
                <w:kern w:val="0"/>
                <w:sz w:val="18"/>
                <w:szCs w:val="18"/>
                <w:lang w:val="en-US" w:eastAsia="zh-CN"/>
              </w:rPr>
            </w:pPr>
            <w:r>
              <w:rPr>
                <w:rFonts w:hint="eastAsia" w:ascii="宋体" w:hAnsi="宋体" w:eastAsia="宋体" w:cs="宋体"/>
                <w:color w:val="000000"/>
                <w:kern w:val="0"/>
                <w:sz w:val="18"/>
                <w:szCs w:val="18"/>
                <w:lang w:val="en-US" w:eastAsia="zh-CN"/>
              </w:rPr>
              <w:t>4</w:t>
            </w:r>
          </w:p>
        </w:tc>
        <w:tc>
          <w:tcPr>
            <w:tcW w:w="2007" w:type="dxa"/>
            <w:shd w:val="clear" w:color="auto" w:fill="auto"/>
            <w:noWrap w:val="0"/>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建设项目安全预评价报告</w:t>
            </w:r>
          </w:p>
        </w:tc>
        <w:tc>
          <w:tcPr>
            <w:tcW w:w="1311" w:type="dxa"/>
            <w:shd w:val="clear" w:color="auto" w:fill="auto"/>
            <w:noWrap w:val="0"/>
            <w:vAlign w:val="center"/>
          </w:tcPr>
          <w:p>
            <w:pPr>
              <w:ind w:firstLine="540" w:firstLineChars="300"/>
              <w:jc w:val="both"/>
              <w:rPr>
                <w:rFonts w:hint="eastAsia" w:ascii="宋体" w:hAnsi="宋体" w:eastAsia="宋体" w:cs="宋体"/>
                <w:color w:val="000000"/>
                <w:sz w:val="18"/>
                <w:szCs w:val="18"/>
              </w:rPr>
            </w:pPr>
            <w:r>
              <w:rPr>
                <w:rFonts w:hint="eastAsia" w:ascii="宋体" w:hAnsi="宋体" w:eastAsia="宋体" w:cs="宋体"/>
                <w:color w:val="000000"/>
                <w:sz w:val="18"/>
                <w:szCs w:val="18"/>
              </w:rPr>
              <w:t>原件</w:t>
            </w:r>
          </w:p>
        </w:tc>
        <w:tc>
          <w:tcPr>
            <w:tcW w:w="655" w:type="dxa"/>
            <w:shd w:val="clear" w:color="auto" w:fill="auto"/>
            <w:noWrap w:val="0"/>
            <w:vAlign w:val="center"/>
          </w:tcPr>
          <w:p>
            <w:pPr>
              <w:jc w:val="center"/>
              <w:rPr>
                <w:rFonts w:hint="eastAsia"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1</w:t>
            </w:r>
          </w:p>
        </w:tc>
        <w:tc>
          <w:tcPr>
            <w:tcW w:w="1462" w:type="dxa"/>
            <w:shd w:val="clear" w:color="auto" w:fill="auto"/>
            <w:noWrap w:val="0"/>
            <w:vAlign w:val="center"/>
          </w:tcPr>
          <w:p>
            <w:pPr>
              <w:jc w:val="center"/>
              <w:rPr>
                <w:rFonts w:hint="eastAsia" w:ascii="宋体" w:hAnsi="宋体" w:eastAsia="宋体" w:cs="宋体"/>
                <w:color w:val="000000"/>
                <w:sz w:val="18"/>
                <w:szCs w:val="18"/>
              </w:rPr>
            </w:pPr>
            <w:r>
              <w:rPr>
                <w:rFonts w:hint="eastAsia" w:ascii="宋体" w:hAnsi="宋体" w:eastAsia="宋体" w:cs="宋体"/>
                <w:sz w:val="18"/>
                <w:szCs w:val="18"/>
                <w:lang w:eastAsia="zh-CN"/>
              </w:rPr>
              <w:t>纸质或电子版</w:t>
            </w:r>
          </w:p>
        </w:tc>
        <w:tc>
          <w:tcPr>
            <w:tcW w:w="2817" w:type="dxa"/>
            <w:shd w:val="clear" w:color="auto" w:fill="auto"/>
            <w:noWrap w:val="0"/>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lang w:val="en-US" w:eastAsia="zh-CN"/>
              </w:rPr>
              <w:t>申报材料真实有效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0" w:type="dxa"/>
            <w:shd w:val="clear" w:color="auto" w:fill="auto"/>
            <w:noWrap w:val="0"/>
            <w:vAlign w:val="center"/>
          </w:tcPr>
          <w:p>
            <w:pPr>
              <w:widowControl/>
              <w:jc w:val="center"/>
              <w:textAlignment w:val="center"/>
              <w:rPr>
                <w:rFonts w:hint="eastAsia" w:ascii="宋体" w:hAnsi="宋体" w:eastAsia="宋体" w:cs="宋体"/>
                <w:color w:val="000000"/>
                <w:kern w:val="0"/>
                <w:sz w:val="18"/>
                <w:szCs w:val="18"/>
                <w:lang w:val="en-US" w:eastAsia="zh-CN"/>
              </w:rPr>
            </w:pPr>
            <w:r>
              <w:rPr>
                <w:rFonts w:hint="eastAsia" w:ascii="宋体" w:hAnsi="宋体" w:eastAsia="宋体" w:cs="宋体"/>
                <w:color w:val="000000"/>
                <w:kern w:val="0"/>
                <w:sz w:val="18"/>
                <w:szCs w:val="18"/>
                <w:lang w:val="en-US" w:eastAsia="zh-CN"/>
              </w:rPr>
              <w:t>5</w:t>
            </w:r>
          </w:p>
        </w:tc>
        <w:tc>
          <w:tcPr>
            <w:tcW w:w="2007" w:type="dxa"/>
            <w:shd w:val="clear" w:color="auto" w:fill="auto"/>
            <w:noWrap w:val="0"/>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建设项目规划选址文件</w:t>
            </w:r>
          </w:p>
        </w:tc>
        <w:tc>
          <w:tcPr>
            <w:tcW w:w="1311" w:type="dxa"/>
            <w:shd w:val="clear" w:color="auto" w:fill="auto"/>
            <w:noWrap w:val="0"/>
            <w:vAlign w:val="center"/>
          </w:tcPr>
          <w:p>
            <w:pPr>
              <w:ind w:firstLine="540" w:firstLineChars="300"/>
              <w:jc w:val="both"/>
              <w:rPr>
                <w:rFonts w:hint="eastAsia" w:ascii="宋体" w:hAnsi="宋体" w:eastAsia="宋体" w:cs="宋体"/>
                <w:color w:val="000000"/>
                <w:sz w:val="18"/>
                <w:szCs w:val="18"/>
              </w:rPr>
            </w:pPr>
            <w:r>
              <w:rPr>
                <w:rFonts w:hint="eastAsia" w:ascii="宋体" w:hAnsi="宋体" w:eastAsia="宋体" w:cs="宋体"/>
                <w:color w:val="000000"/>
                <w:sz w:val="18"/>
                <w:szCs w:val="18"/>
              </w:rPr>
              <w:t>原件</w:t>
            </w:r>
          </w:p>
        </w:tc>
        <w:tc>
          <w:tcPr>
            <w:tcW w:w="655" w:type="dxa"/>
            <w:shd w:val="clear" w:color="auto" w:fill="auto"/>
            <w:noWrap w:val="0"/>
            <w:vAlign w:val="center"/>
          </w:tcPr>
          <w:p>
            <w:pPr>
              <w:jc w:val="center"/>
              <w:rPr>
                <w:rFonts w:hint="eastAsia"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1</w:t>
            </w:r>
          </w:p>
        </w:tc>
        <w:tc>
          <w:tcPr>
            <w:tcW w:w="1462" w:type="dxa"/>
            <w:shd w:val="clear" w:color="auto" w:fill="auto"/>
            <w:noWrap w:val="0"/>
            <w:vAlign w:val="center"/>
          </w:tcPr>
          <w:p>
            <w:pPr>
              <w:jc w:val="center"/>
              <w:rPr>
                <w:rFonts w:hint="eastAsia" w:ascii="宋体" w:hAnsi="宋体" w:eastAsia="宋体" w:cs="宋体"/>
                <w:color w:val="000000"/>
                <w:sz w:val="18"/>
                <w:szCs w:val="18"/>
              </w:rPr>
            </w:pPr>
            <w:r>
              <w:rPr>
                <w:rFonts w:hint="eastAsia" w:ascii="宋体" w:hAnsi="宋体" w:eastAsia="宋体" w:cs="宋体"/>
                <w:sz w:val="18"/>
                <w:szCs w:val="18"/>
                <w:lang w:eastAsia="zh-CN"/>
              </w:rPr>
              <w:t>纸质或电子版</w:t>
            </w:r>
          </w:p>
        </w:tc>
        <w:tc>
          <w:tcPr>
            <w:tcW w:w="2817" w:type="dxa"/>
            <w:shd w:val="clear" w:color="auto" w:fill="auto"/>
            <w:noWrap w:val="0"/>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lang w:val="en-US" w:eastAsia="zh-CN"/>
              </w:rPr>
              <w:t>申报材料真实有效</w:t>
            </w:r>
          </w:p>
        </w:tc>
      </w:tr>
    </w:tbl>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8  受理方式</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8.1  窗口受理：新县市民之家三楼无差别综合受理窗口提交申办材料。</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8.2  网上申报：进入河南政务服务网（http://xyxinxian.hnzwfw.gov.cn/）按照提示进行网上申报。</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9  办理流程</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eastAsia" w:ascii="宋体" w:hAnsi="宋体" w:eastAsia="宋体" w:cs="宋体"/>
          <w:lang w:val="en-US" w:eastAsia="zh-CN"/>
        </w:rPr>
        <w:t>9.1  受理</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eastAsia" w:ascii="宋体" w:hAnsi="宋体" w:eastAsia="宋体" w:cs="宋体"/>
          <w:lang w:val="en-US" w:eastAsia="zh-CN"/>
        </w:rPr>
        <w:t>9.1.1办理人：无差别综合受理窗口</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eastAsia" w:ascii="宋体" w:hAnsi="宋体" w:eastAsia="宋体" w:cs="宋体"/>
          <w:lang w:val="en-US" w:eastAsia="zh-CN"/>
        </w:rPr>
        <w:t>9.1.2办理时限：当场办结</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eastAsia" w:ascii="宋体" w:hAnsi="宋体" w:eastAsia="宋体" w:cs="宋体"/>
          <w:lang w:val="en-US" w:eastAsia="zh-CN"/>
        </w:rPr>
        <w:t>9.1.3审查标准：工作人员通过窗口或河南政务服务网接收申请材料，所交材料不齐全或不符合法定要求的，签发《一次性告知书》，如所交材料存在可以当场更正的错误，申请人可当场更正，如所交材料齐全，应当场做出是否受理决定，并签发《受理通知书》或《不予受理通知书》；核对申请人是否符合申请条件，依据办事指南中材料清单逐一核对是否齐全，核对每个材料是否涵盖材料要求中涉及的内容和要素。</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eastAsia" w:ascii="宋体" w:hAnsi="宋体" w:eastAsia="宋体" w:cs="宋体"/>
          <w:lang w:val="en-US" w:eastAsia="zh-CN"/>
        </w:rPr>
        <w:t>9.1.4办理结果：能当场受理或通过当场补正达到受理条件的,直接进入受理步骤；根据一次性告知内容进行补正后达到受理条件的，出具决定受理通知书。</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eastAsia" w:ascii="宋体" w:hAnsi="宋体" w:eastAsia="宋体" w:cs="宋体"/>
          <w:lang w:val="en-US" w:eastAsia="zh-CN"/>
        </w:rPr>
        <w:t>9.2  审核</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eastAsia" w:ascii="宋体" w:hAnsi="宋体" w:eastAsia="宋体" w:cs="宋体"/>
          <w:lang w:val="en-US" w:eastAsia="zh-CN"/>
        </w:rPr>
        <w:t>9.2.1办理人：行政审批股</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eastAsia" w:ascii="宋体" w:hAnsi="宋体" w:eastAsia="宋体" w:cs="宋体"/>
          <w:lang w:val="en-US" w:eastAsia="zh-CN"/>
        </w:rPr>
        <w:t>9.2.2办理时限：1天</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eastAsia" w:ascii="宋体" w:hAnsi="宋体" w:eastAsia="宋体" w:cs="宋体"/>
          <w:lang w:val="en-US" w:eastAsia="zh-CN"/>
        </w:rPr>
        <w:t>9.2.3审查标准：在受理申请材料后，由办理股室对内容进行审查。如有必要，启动特殊环节进行辅助审查；按照办理相关规范要求对是否符合法定形式、材料真实性、技术指标等进行审查。</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eastAsia" w:ascii="宋体" w:hAnsi="宋体" w:eastAsia="宋体" w:cs="宋体"/>
          <w:lang w:val="en-US" w:eastAsia="zh-CN"/>
        </w:rPr>
        <w:t>9.2.4办理结果：审核通过的，签署初审意见，转入决定步骤；审核未通过的退回，并书面说明理由。</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eastAsia" w:ascii="宋体" w:hAnsi="宋体" w:eastAsia="宋体" w:cs="宋体"/>
          <w:lang w:val="en-US" w:eastAsia="zh-CN"/>
        </w:rPr>
        <w:t>9.3  决定</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eastAsia" w:ascii="宋体" w:hAnsi="宋体" w:eastAsia="宋体" w:cs="宋体"/>
          <w:lang w:val="en-US" w:eastAsia="zh-CN"/>
        </w:rPr>
        <w:t>9.3.1办理人：无差别综合受理窗口</w:t>
      </w:r>
    </w:p>
    <w:p>
      <w:pPr>
        <w:keepNext w:val="0"/>
        <w:keepLines w:val="0"/>
        <w:pageBreakBefore w:val="0"/>
        <w:widowControl w:val="0"/>
        <w:kinsoku/>
        <w:wordWrap/>
        <w:overflowPunct/>
        <w:topLinePunct w:val="0"/>
        <w:autoSpaceDE/>
        <w:autoSpaceDN/>
        <w:bidi w:val="0"/>
        <w:adjustRightInd/>
        <w:snapToGrid/>
        <w:jc w:val="left"/>
        <w:textAlignment w:val="auto"/>
        <w:rPr>
          <w:rFonts w:hint="default" w:ascii="宋体" w:hAnsi="宋体" w:eastAsia="宋体" w:cs="宋体"/>
          <w:lang w:eastAsia="zh-CN"/>
        </w:rPr>
      </w:pPr>
      <w:r>
        <w:rPr>
          <w:rFonts w:hint="eastAsia" w:ascii="宋体" w:hAnsi="宋体" w:eastAsia="宋体" w:cs="宋体"/>
          <w:lang w:val="en-US" w:eastAsia="zh-CN"/>
        </w:rPr>
        <w:t>9.3.2</w:t>
      </w:r>
      <w:r>
        <w:rPr>
          <w:rFonts w:hint="default" w:ascii="宋体" w:hAnsi="宋体" w:eastAsia="宋体" w:cs="宋体"/>
          <w:lang w:eastAsia="zh-CN"/>
        </w:rPr>
        <w:t>办理时限：1天</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default" w:ascii="宋体" w:hAnsi="宋体" w:eastAsia="宋体" w:cs="宋体"/>
          <w:lang w:eastAsia="zh-CN"/>
        </w:rPr>
        <w:t>9.3.3</w:t>
      </w:r>
      <w:r>
        <w:rPr>
          <w:rFonts w:hint="eastAsia" w:ascii="宋体" w:hAnsi="宋体" w:eastAsia="宋体" w:cs="宋体"/>
          <w:lang w:val="en-US" w:eastAsia="zh-CN"/>
        </w:rPr>
        <w:t>审查标准：在办理股室审查完成后，实施部门应在承诺时限内作出是否同意申请事项的决定。作出准予审批（办理）决定的，签发审批办理结果；作出不予审批（办理）决定的，签发《不予审批（办理）告知单》；复核审核步骤阶段提出的初步意见。</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default" w:ascii="宋体" w:hAnsi="宋体" w:eastAsia="宋体" w:cs="宋体"/>
          <w:lang w:eastAsia="zh-CN"/>
        </w:rPr>
        <w:t>9.3.4</w:t>
      </w:r>
      <w:r>
        <w:rPr>
          <w:rFonts w:hint="eastAsia" w:ascii="宋体" w:hAnsi="宋体" w:eastAsia="宋体" w:cs="宋体"/>
          <w:lang w:val="en-US" w:eastAsia="zh-CN"/>
        </w:rPr>
        <w:t>办理结果：申请符合规定的，准予行政许可，颁发《准予行政许可决定书》；申请不符合规定的，不准予行政许可，颁发《不予行政许可决定书》。</w:t>
      </w:r>
    </w:p>
    <w:p>
      <w:pPr>
        <w:keepNext w:val="0"/>
        <w:keepLines w:val="0"/>
        <w:pageBreakBefore w:val="0"/>
        <w:widowControl w:val="0"/>
        <w:kinsoku/>
        <w:wordWrap/>
        <w:overflowPunct/>
        <w:topLinePunct w:val="0"/>
        <w:autoSpaceDE/>
        <w:autoSpaceDN/>
        <w:bidi w:val="0"/>
        <w:adjustRightInd/>
        <w:snapToGrid/>
        <w:textAlignment w:val="auto"/>
        <w:rPr>
          <w:rFonts w:hint="default" w:ascii="宋体" w:hAnsi="宋体" w:eastAsia="宋体" w:cs="宋体"/>
          <w:lang w:val="en-US" w:eastAsia="zh-CN"/>
        </w:rPr>
      </w:pPr>
      <w:r>
        <w:rPr>
          <w:rFonts w:hint="eastAsia" w:ascii="宋体" w:hAnsi="宋体" w:eastAsia="宋体" w:cs="宋体"/>
          <w:lang w:val="en-US" w:eastAsia="zh-CN"/>
        </w:rPr>
        <w:t>9.4  工作流程图</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drawing>
          <wp:inline distT="0" distB="0" distL="114300" distR="114300">
            <wp:extent cx="5229225" cy="6572250"/>
            <wp:effectExtent l="0" t="0" r="9525" b="0"/>
            <wp:docPr id="1" name="图片 1" descr="流程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流程图"/>
                    <pic:cNvPicPr>
                      <a:picLocks noChangeAspect="1"/>
                    </pic:cNvPicPr>
                  </pic:nvPicPr>
                  <pic:blipFill>
                    <a:blip r:embed="rId8"/>
                    <a:stretch>
                      <a:fillRect/>
                    </a:stretch>
                  </pic:blipFill>
                  <pic:spPr>
                    <a:xfrm>
                      <a:off x="0" y="0"/>
                      <a:ext cx="5229225" cy="6572250"/>
                    </a:xfrm>
                    <a:prstGeom prst="rect">
                      <a:avLst/>
                    </a:prstGeom>
                  </pic:spPr>
                </pic:pic>
              </a:graphicData>
            </a:graphic>
          </wp:inline>
        </w:drawing>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10  办理时限</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10.1  法定时限：20个工作日</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10.2  承诺时限：2个工作日</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宋体" w:hAnsi="宋体" w:eastAsia="宋体" w:cs="宋体"/>
          <w:lang w:val="en-US" w:eastAsia="zh-CN"/>
        </w:rPr>
      </w:pPr>
      <w:r>
        <w:rPr>
          <w:rFonts w:hint="eastAsia" w:ascii="黑体" w:hAnsi="黑体" w:eastAsia="黑体" w:cs="黑体"/>
          <w:lang w:val="en-US" w:eastAsia="zh-CN"/>
        </w:rPr>
        <w:t>11  收费依据及标准</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lang w:val="en-US" w:eastAsia="zh-CN"/>
        </w:rPr>
      </w:pPr>
      <w:r>
        <w:rPr>
          <w:rFonts w:hint="eastAsia" w:ascii="宋体" w:hAnsi="宋体" w:eastAsia="宋体" w:cs="宋体"/>
          <w:lang w:val="en-US" w:eastAsia="zh-CN"/>
        </w:rPr>
        <w:t>不收费</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b w:val="0"/>
          <w:bCs w:val="0"/>
          <w:lang w:val="en-US" w:eastAsia="zh-CN"/>
        </w:rPr>
      </w:pPr>
      <w:r>
        <w:rPr>
          <w:rFonts w:hint="eastAsia" w:ascii="黑体" w:hAnsi="黑体" w:eastAsia="黑体" w:cs="黑体"/>
          <w:b w:val="0"/>
          <w:bCs w:val="0"/>
          <w:lang w:val="en-US" w:eastAsia="zh-CN"/>
        </w:rPr>
        <w:t>12  结果送达</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lang w:val="en-US" w:eastAsia="zh-CN"/>
        </w:rPr>
      </w:pPr>
      <w:r>
        <w:rPr>
          <w:rFonts w:hint="eastAsia" w:ascii="宋体" w:hAnsi="宋体" w:eastAsia="宋体" w:cs="宋体"/>
          <w:lang w:val="en-US" w:eastAsia="zh-CN"/>
        </w:rPr>
        <w:t>自受理之日起2个工作日内直接送达或邮寄送达</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13  咨询方式</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13.1  现场咨询：新县市民之家三楼无差别综合受理窗口</w:t>
      </w:r>
      <w:r>
        <w:rPr>
          <w:rFonts w:hint="eastAsia" w:ascii="黑体" w:hAnsi="黑体" w:eastAsia="黑体" w:cs="黑体"/>
          <w:b w:val="0"/>
          <w:bCs w:val="0"/>
          <w:color w:val="000000" w:themeColor="text1"/>
          <w:lang w:val="en-US" w:eastAsia="zh-CN"/>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13.2  电话咨询：窗口电话：0376－7622311单位电话：0376-2986348</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13.3  网上咨询：</w:t>
      </w:r>
      <w:r>
        <w:rPr>
          <w:rFonts w:hint="eastAsia" w:ascii="宋体" w:hAnsi="宋体" w:eastAsia="宋体" w:cs="宋体"/>
          <w:lang w:val="en-US" w:eastAsia="zh-CN"/>
        </w:rPr>
        <w:fldChar w:fldCharType="begin"/>
      </w:r>
      <w:r>
        <w:rPr>
          <w:rFonts w:hint="eastAsia" w:ascii="宋体" w:hAnsi="宋体" w:eastAsia="宋体" w:cs="宋体"/>
          <w:lang w:val="en-US" w:eastAsia="zh-CN"/>
        </w:rPr>
        <w:instrText xml:space="preserve"> HYPERLINK "http://xyxinxian.hnzwfw.gov.cn" </w:instrText>
      </w:r>
      <w:r>
        <w:rPr>
          <w:rFonts w:hint="eastAsia" w:ascii="宋体" w:hAnsi="宋体" w:eastAsia="宋体" w:cs="宋体"/>
          <w:lang w:val="en-US" w:eastAsia="zh-CN"/>
        </w:rPr>
        <w:fldChar w:fldCharType="separate"/>
      </w:r>
      <w:r>
        <w:rPr>
          <w:rFonts w:hint="eastAsia" w:ascii="宋体" w:hAnsi="宋体" w:eastAsia="宋体" w:cs="宋体"/>
          <w:lang w:val="en-US" w:eastAsia="zh-CN"/>
        </w:rPr>
        <w:t>http://xyxinxian.hnzwfw.gov.cn</w:t>
      </w:r>
      <w:r>
        <w:rPr>
          <w:rFonts w:hint="eastAsia" w:ascii="宋体" w:hAnsi="宋体" w:eastAsia="宋体" w:cs="宋体"/>
          <w:lang w:val="en-US" w:eastAsia="zh-CN"/>
        </w:rPr>
        <w:fldChar w:fldCharType="end"/>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14  监督投诉渠道</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14.1  现场监督投诉：新县市民之家投诉中心</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14.2  电话监督投诉：</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14.2.1  新县市民之家投诉电话：0376-2969509</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14.2.2  政务服务热线：12345</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14.2.3  本单位监督举报电话：0376-2986348</w:t>
      </w:r>
    </w:p>
    <w:p>
      <w:pPr>
        <w:keepNext w:val="0"/>
        <w:keepLines w:val="0"/>
        <w:pageBreakBefore w:val="0"/>
        <w:widowControl w:val="0"/>
        <w:kinsoku/>
        <w:wordWrap/>
        <w:overflowPunct/>
        <w:topLinePunct w:val="0"/>
        <w:autoSpaceDE/>
        <w:autoSpaceDN/>
        <w:bidi w:val="0"/>
        <w:adjustRightInd/>
        <w:snapToGrid/>
        <w:textAlignment w:val="auto"/>
        <w:rPr>
          <w:rFonts w:hint="default" w:ascii="宋体" w:hAnsi="宋体" w:eastAsia="宋体" w:cs="宋体"/>
          <w:lang w:val="en-US" w:eastAsia="zh-CN"/>
        </w:rPr>
      </w:pPr>
      <w:r>
        <w:rPr>
          <w:rFonts w:hint="eastAsia" w:ascii="宋体" w:hAnsi="宋体" w:eastAsia="宋体" w:cs="宋体"/>
          <w:lang w:val="en-US" w:eastAsia="zh-CN"/>
        </w:rPr>
        <w:t>14.3  网上监督投诉：http://xyxinxian.hnzwfw.gov.cn</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15  办理地址和时间</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15.1  地址：新县北畈路市民之家</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15.2  时间：周一至周五，法定节假日除外，上午9：00-12：00 下午1:00-5:00</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16  办理进程和结果查询</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16.1  现场查询：新县市民之家三楼无差别综合受理窗口</w:t>
      </w:r>
      <w:r>
        <w:rPr>
          <w:rFonts w:hint="eastAsia" w:ascii="黑体" w:hAnsi="黑体" w:eastAsia="黑体" w:cs="黑体"/>
          <w:b w:val="0"/>
          <w:bCs w:val="0"/>
          <w:color w:val="000000" w:themeColor="text1"/>
          <w:lang w:val="en-US" w:eastAsia="zh-CN"/>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snapToGrid/>
        <w:textAlignment w:val="auto"/>
        <w:rPr>
          <w:rFonts w:hint="default" w:ascii="宋体" w:hAnsi="宋体" w:eastAsia="宋体" w:cs="宋体"/>
          <w:lang w:val="en-US" w:eastAsia="zh-CN"/>
        </w:rPr>
      </w:pPr>
      <w:r>
        <w:rPr>
          <w:rFonts w:hint="eastAsia" w:ascii="宋体" w:hAnsi="宋体" w:eastAsia="宋体" w:cs="宋体"/>
          <w:lang w:val="en-US" w:eastAsia="zh-CN"/>
        </w:rPr>
        <w:t>16.2  电话查询：0376-7622311</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16.3  网上查询：登录新县政务服务网（http://xyxinxian.hnzwfw.gov.cn）或下载“豫事办”APP和支付宝小程序查询</w:t>
      </w:r>
    </w:p>
    <w:p>
      <w:pPr>
        <w:keepNext w:val="0"/>
        <w:keepLines w:val="0"/>
        <w:pageBreakBefore w:val="0"/>
        <w:widowControl w:val="0"/>
        <w:kinsoku/>
        <w:wordWrap/>
        <w:overflowPunct/>
        <w:topLinePunct w:val="0"/>
        <w:autoSpaceDE/>
        <w:autoSpaceDN/>
        <w:bidi w:val="0"/>
        <w:adjustRightInd/>
        <w:snapToGrid/>
        <w:spacing w:before="313" w:beforeLines="100" w:after="313" w:afterLines="100"/>
        <w:jc w:val="center"/>
        <w:textAlignment w:val="auto"/>
        <w:rPr>
          <w:rFonts w:hint="default" w:ascii="黑体" w:hAnsi="黑体" w:eastAsia="黑体" w:cs="黑体"/>
          <w:lang w:val="en-US" w:eastAsia="zh-CN"/>
        </w:rPr>
      </w:pPr>
      <w:r>
        <w:rPr>
          <w:rFonts w:hint="eastAsia" w:ascii="黑体" w:hAnsi="黑体" w:eastAsia="黑体" w:cs="黑体"/>
          <w:b w:val="0"/>
          <w:bCs w:val="0"/>
          <w:color w:val="000000" w:themeColor="text1"/>
          <w:lang w:val="en-US"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p>
    <w:p>
      <w:pPr>
        <w:rPr>
          <w:rFonts w:hint="default"/>
          <w:lang w:val="en-US" w:eastAsia="zh-CN"/>
        </w:rPr>
      </w:pPr>
    </w:p>
    <w:sectPr>
      <w:headerReference r:id="rId3" w:type="default"/>
      <w:footerReference r:id="rId5" w:type="default"/>
      <w:headerReference r:id="rId4" w:type="even"/>
      <w:footerReference r:id="rId6" w:type="even"/>
      <w:pgSz w:w="11906" w:h="16838"/>
      <w:pgMar w:top="1417" w:right="1134" w:bottom="1134" w:left="1417" w:header="1417" w:footer="1134" w:gutter="0"/>
      <w:pgNumType w:fmt="numberInDash"/>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tabs>
        <w:tab w:val="left" w:pos="1557"/>
        <w:tab w:val="clear" w:pos="4153"/>
      </w:tabs>
      <w:rPr>
        <w:rFonts w:hint="eastAsia" w:eastAsiaTheme="minorEastAsia"/>
        <w:lang w:eastAsia="zh-CN"/>
      </w:rPr>
    </w:pPr>
    <w:r>
      <w:rPr>
        <w:sz w:val="18"/>
      </w:rPr>
      <mc:AlternateContent>
        <mc:Choice Requires="wps">
          <w:drawing>
            <wp:anchor distT="0" distB="0" distL="114300" distR="114300" simplePos="0" relativeHeight="251661312" behindDoc="0" locked="0" layoutInCell="1" allowOverlap="1">
              <wp:simplePos x="0" y="0"/>
              <wp:positionH relativeFrom="margin">
                <wp:align>outside</wp:align>
              </wp:positionH>
              <wp:positionV relativeFrom="paragraph">
                <wp:posOffset>0</wp:posOffset>
              </wp:positionV>
              <wp:extent cx="1828800" cy="1828800"/>
              <wp:effectExtent l="0" t="0" r="0" b="0"/>
              <wp:wrapNone/>
              <wp:docPr id="38" name="文本框 3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keepNext w:val="0"/>
                            <w:keepLines w:val="0"/>
                            <w:pageBreakBefore w:val="0"/>
                            <w:widowControl w:val="0"/>
                            <w:kinsoku/>
                            <w:wordWrap/>
                            <w:overflowPunct/>
                            <w:topLinePunct w:val="0"/>
                            <w:autoSpaceDE/>
                            <w:autoSpaceDN/>
                            <w:bidi/>
                            <w:adjustRightInd/>
                            <w:snapToGrid w:val="0"/>
                            <w:ind w:left="227"/>
                            <w:jc w:val="right"/>
                            <w:textAlignment w:val="auto"/>
                            <w:rPr>
                              <w:rFonts w:hint="eastAsia" w:eastAsiaTheme="minorEastAsia"/>
                              <w:lang w:eastAsia="zh-CN"/>
                            </w:rPr>
                          </w:pPr>
                          <w:r>
                            <w:rPr>
                              <w:rFonts w:hint="eastAsia" w:ascii="宋体" w:hAnsi="宋体" w:eastAsiaTheme="minorEastAsia"/>
                              <w:sz w:val="18"/>
                              <w:szCs w:val="18"/>
                              <w:lang w:eastAsia="zh-CN"/>
                            </w:rPr>
                            <w:fldChar w:fldCharType="begin"/>
                          </w:r>
                          <w:r>
                            <w:rPr>
                              <w:rFonts w:hint="eastAsia" w:ascii="宋体" w:hAnsi="宋体" w:eastAsiaTheme="minorEastAsia"/>
                              <w:sz w:val="18"/>
                              <w:szCs w:val="18"/>
                              <w:lang w:eastAsia="zh-CN"/>
                            </w:rPr>
                            <w:instrText xml:space="preserve"> PAGE  \* MERGEFORMAT </w:instrText>
                          </w:r>
                          <w:r>
                            <w:rPr>
                              <w:rFonts w:hint="eastAsia" w:ascii="宋体" w:hAnsi="宋体" w:eastAsiaTheme="minorEastAsia"/>
                              <w:sz w:val="18"/>
                              <w:szCs w:val="18"/>
                              <w:lang w:eastAsia="zh-CN"/>
                            </w:rPr>
                            <w:fldChar w:fldCharType="separate"/>
                          </w:r>
                          <w:r>
                            <w:rPr>
                              <w:rFonts w:hint="eastAsia" w:ascii="宋体" w:hAnsi="宋体" w:eastAsiaTheme="minorEastAsia"/>
                              <w:sz w:val="18"/>
                              <w:szCs w:val="18"/>
                              <w:lang w:eastAsia="zh-CN"/>
                            </w:rPr>
                            <w:t>- 1 -</w:t>
                          </w:r>
                          <w:r>
                            <w:rPr>
                              <w:rFonts w:hint="eastAsia" w:ascii="宋体" w:hAnsi="宋体" w:eastAsiaTheme="minorEastAsia"/>
                              <w:sz w:val="18"/>
                              <w:szCs w:val="1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NSb3G8zAgAAYwQAAA4AAAAAAAAAAQAgAAAAHwEAAGRycy9lMm9Eb2MueG1sUEsF&#10;BgAAAAAGAAYAWQEAAMQFAAAAAA==&#10;">
              <v:fill on="f" focussize="0,0"/>
              <v:stroke on="f" weight="0.5pt"/>
              <v:imagedata o:title=""/>
              <o:lock v:ext="edit" aspectratio="f"/>
              <v:textbox inset="0mm,0mm,0mm,0mm" style="mso-fit-shape-to-text:t;">
                <w:txbxContent>
                  <w:p>
                    <w:pPr>
                      <w:pStyle w:val="2"/>
                      <w:keepNext w:val="0"/>
                      <w:keepLines w:val="0"/>
                      <w:pageBreakBefore w:val="0"/>
                      <w:widowControl w:val="0"/>
                      <w:kinsoku/>
                      <w:wordWrap/>
                      <w:overflowPunct/>
                      <w:topLinePunct w:val="0"/>
                      <w:autoSpaceDE/>
                      <w:autoSpaceDN/>
                      <w:bidi/>
                      <w:adjustRightInd/>
                      <w:snapToGrid w:val="0"/>
                      <w:ind w:left="227"/>
                      <w:jc w:val="right"/>
                      <w:textAlignment w:val="auto"/>
                      <w:rPr>
                        <w:rFonts w:hint="eastAsia" w:eastAsiaTheme="minorEastAsia"/>
                        <w:lang w:eastAsia="zh-CN"/>
                      </w:rPr>
                    </w:pPr>
                    <w:r>
                      <w:rPr>
                        <w:rFonts w:hint="eastAsia" w:ascii="宋体" w:hAnsi="宋体" w:eastAsiaTheme="minorEastAsia"/>
                        <w:sz w:val="18"/>
                        <w:szCs w:val="18"/>
                        <w:lang w:eastAsia="zh-CN"/>
                      </w:rPr>
                      <w:fldChar w:fldCharType="begin"/>
                    </w:r>
                    <w:r>
                      <w:rPr>
                        <w:rFonts w:hint="eastAsia" w:ascii="宋体" w:hAnsi="宋体" w:eastAsiaTheme="minorEastAsia"/>
                        <w:sz w:val="18"/>
                        <w:szCs w:val="18"/>
                        <w:lang w:eastAsia="zh-CN"/>
                      </w:rPr>
                      <w:instrText xml:space="preserve"> PAGE  \* MERGEFORMAT </w:instrText>
                    </w:r>
                    <w:r>
                      <w:rPr>
                        <w:rFonts w:hint="eastAsia" w:ascii="宋体" w:hAnsi="宋体" w:eastAsiaTheme="minorEastAsia"/>
                        <w:sz w:val="18"/>
                        <w:szCs w:val="18"/>
                        <w:lang w:eastAsia="zh-CN"/>
                      </w:rPr>
                      <w:fldChar w:fldCharType="separate"/>
                    </w:r>
                    <w:r>
                      <w:rPr>
                        <w:rFonts w:hint="eastAsia" w:ascii="宋体" w:hAnsi="宋体" w:eastAsiaTheme="minorEastAsia"/>
                        <w:sz w:val="18"/>
                        <w:szCs w:val="18"/>
                        <w:lang w:eastAsia="zh-CN"/>
                      </w:rPr>
                      <w:t>- 1 -</w:t>
                    </w:r>
                    <w:r>
                      <w:rPr>
                        <w:rFonts w:hint="eastAsia" w:ascii="宋体" w:hAnsi="宋体" w:eastAsiaTheme="minorEastAsia"/>
                        <w:sz w:val="18"/>
                        <w:szCs w:val="18"/>
                        <w:lang w:eastAsia="zh-CN"/>
                      </w:rPr>
                      <w:fldChar w:fldCharType="end"/>
                    </w:r>
                  </w:p>
                </w:txbxContent>
              </v:textbox>
            </v:shape>
          </w:pict>
        </mc:Fallback>
      </mc:AlternateContent>
    </w:r>
    <w:r>
      <w:rPr>
        <w:rFonts w:hint="eastAsia"/>
        <w:lang w:eastAsia="zh-CN"/>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tabs>
        <w:tab w:val="left" w:pos="492"/>
        <w:tab w:val="clear" w:pos="4153"/>
      </w:tabs>
    </w:pPr>
    <w:r>
      <w:rPr>
        <w:sz w:val="18"/>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37" name="文本框 3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keepNext w:val="0"/>
                            <w:keepLines w:val="0"/>
                            <w:pageBreakBefore w:val="0"/>
                            <w:widowControl w:val="0"/>
                            <w:kinsoku/>
                            <w:wordWrap/>
                            <w:overflowPunct/>
                            <w:topLinePunct w:val="0"/>
                            <w:autoSpaceDE/>
                            <w:autoSpaceDN/>
                            <w:bidi w:val="0"/>
                            <w:adjustRightInd/>
                            <w:snapToGrid w:val="0"/>
                            <w:ind w:left="227"/>
                            <w:textAlignment w:val="auto"/>
                            <w:rPr>
                              <w:rFonts w:hint="eastAsia" w:eastAsiaTheme="minorEastAsia"/>
                              <w:sz w:val="18"/>
                              <w:szCs w:val="18"/>
                              <w:lang w:eastAsia="zh-CN"/>
                            </w:rPr>
                          </w:pPr>
                          <w:r>
                            <w:rPr>
                              <w:rFonts w:hint="eastAsia" w:ascii="宋体" w:hAnsi="宋体" w:eastAsia="宋体" w:cs="宋体"/>
                              <w:sz w:val="18"/>
                              <w:szCs w:val="18"/>
                              <w:lang w:eastAsia="zh-CN"/>
                            </w:rPr>
                            <w:fldChar w:fldCharType="begin"/>
                          </w:r>
                          <w:r>
                            <w:rPr>
                              <w:rFonts w:hint="eastAsia" w:ascii="宋体" w:hAnsi="宋体" w:eastAsia="宋体" w:cs="宋体"/>
                              <w:sz w:val="18"/>
                              <w:szCs w:val="18"/>
                              <w:lang w:eastAsia="zh-CN"/>
                            </w:rPr>
                            <w:instrText xml:space="preserve"> PAGE  \* MERGEFORMAT </w:instrText>
                          </w:r>
                          <w:r>
                            <w:rPr>
                              <w:rFonts w:hint="eastAsia" w:ascii="宋体" w:hAnsi="宋体" w:eastAsia="宋体" w:cs="宋体"/>
                              <w:sz w:val="18"/>
                              <w:szCs w:val="18"/>
                              <w:lang w:eastAsia="zh-CN"/>
                            </w:rPr>
                            <w:fldChar w:fldCharType="separate"/>
                          </w:r>
                          <w:r>
                            <w:rPr>
                              <w:rFonts w:hint="eastAsia" w:ascii="宋体" w:hAnsi="宋体" w:eastAsia="宋体" w:cs="宋体"/>
                              <w:sz w:val="18"/>
                              <w:szCs w:val="18"/>
                              <w:lang w:eastAsia="zh-CN"/>
                            </w:rPr>
                            <w:t>- 2 -</w:t>
                          </w:r>
                          <w:r>
                            <w:rPr>
                              <w:rFonts w:hint="eastAsia" w:ascii="宋体" w:hAnsi="宋体" w:eastAsia="宋体" w:cs="宋体"/>
                              <w:sz w:val="18"/>
                              <w:szCs w:val="1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M2T0J0zAgAAYwQAAA4AAAAAAAAAAQAgAAAAHwEAAGRycy9lMm9Eb2MueG1sUEsF&#10;BgAAAAAGAAYAWQEAAMQFAAAAAA==&#10;">
              <v:fill on="f" focussize="0,0"/>
              <v:stroke on="f" weight="0.5pt"/>
              <v:imagedata o:title=""/>
              <o:lock v:ext="edit" aspectratio="f"/>
              <v:textbox inset="0mm,0mm,0mm,0mm" style="mso-fit-shape-to-text:t;">
                <w:txbxContent>
                  <w:p>
                    <w:pPr>
                      <w:pStyle w:val="2"/>
                      <w:keepNext w:val="0"/>
                      <w:keepLines w:val="0"/>
                      <w:pageBreakBefore w:val="0"/>
                      <w:widowControl w:val="0"/>
                      <w:kinsoku/>
                      <w:wordWrap/>
                      <w:overflowPunct/>
                      <w:topLinePunct w:val="0"/>
                      <w:autoSpaceDE/>
                      <w:autoSpaceDN/>
                      <w:bidi w:val="0"/>
                      <w:adjustRightInd/>
                      <w:snapToGrid w:val="0"/>
                      <w:ind w:left="227"/>
                      <w:textAlignment w:val="auto"/>
                      <w:rPr>
                        <w:rFonts w:hint="eastAsia" w:eastAsiaTheme="minorEastAsia"/>
                        <w:sz w:val="18"/>
                        <w:szCs w:val="18"/>
                        <w:lang w:eastAsia="zh-CN"/>
                      </w:rPr>
                    </w:pPr>
                    <w:r>
                      <w:rPr>
                        <w:rFonts w:hint="eastAsia" w:ascii="宋体" w:hAnsi="宋体" w:eastAsia="宋体" w:cs="宋体"/>
                        <w:sz w:val="18"/>
                        <w:szCs w:val="18"/>
                        <w:lang w:eastAsia="zh-CN"/>
                      </w:rPr>
                      <w:fldChar w:fldCharType="begin"/>
                    </w:r>
                    <w:r>
                      <w:rPr>
                        <w:rFonts w:hint="eastAsia" w:ascii="宋体" w:hAnsi="宋体" w:eastAsia="宋体" w:cs="宋体"/>
                        <w:sz w:val="18"/>
                        <w:szCs w:val="18"/>
                        <w:lang w:eastAsia="zh-CN"/>
                      </w:rPr>
                      <w:instrText xml:space="preserve"> PAGE  \* MERGEFORMAT </w:instrText>
                    </w:r>
                    <w:r>
                      <w:rPr>
                        <w:rFonts w:hint="eastAsia" w:ascii="宋体" w:hAnsi="宋体" w:eastAsia="宋体" w:cs="宋体"/>
                        <w:sz w:val="18"/>
                        <w:szCs w:val="18"/>
                        <w:lang w:eastAsia="zh-CN"/>
                      </w:rPr>
                      <w:fldChar w:fldCharType="separate"/>
                    </w:r>
                    <w:r>
                      <w:rPr>
                        <w:rFonts w:hint="eastAsia" w:ascii="宋体" w:hAnsi="宋体" w:eastAsia="宋体" w:cs="宋体"/>
                        <w:sz w:val="18"/>
                        <w:szCs w:val="18"/>
                        <w:lang w:eastAsia="zh-CN"/>
                      </w:rPr>
                      <w:t>- 2 -</w:t>
                    </w:r>
                    <w:r>
                      <w:rPr>
                        <w:rFonts w:hint="eastAsia" w:ascii="宋体" w:hAnsi="宋体" w:eastAsia="宋体" w:cs="宋体"/>
                        <w:sz w:val="18"/>
                        <w:szCs w:val="18"/>
                        <w:lang w:eastAsia="zh-CN"/>
                      </w:rPr>
                      <w:fldChar w:fldCharType="end"/>
                    </w:r>
                  </w:p>
                </w:txbxContent>
              </v:textbox>
            </v:shape>
          </w:pict>
        </mc:Fallback>
      </mc:AlternateContent>
    </w:r>
    <w:r>
      <w:rPr>
        <w:sz w:val="18"/>
      </w:rPr>
      <mc:AlternateContent>
        <mc:Choice Requires="wps">
          <w:drawing>
            <wp:anchor distT="0" distB="0" distL="114300" distR="114300" simplePos="0" relativeHeight="251659264" behindDoc="0" locked="0" layoutInCell="1" allowOverlap="1">
              <wp:simplePos x="0" y="0"/>
              <wp:positionH relativeFrom="margin">
                <wp:posOffset>-9525</wp:posOffset>
              </wp:positionH>
              <wp:positionV relativeFrom="paragraph">
                <wp:posOffset>0</wp:posOffset>
              </wp:positionV>
              <wp:extent cx="1030605" cy="146050"/>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1030605" cy="14605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keepNext w:val="0"/>
                            <w:keepLines w:val="0"/>
                            <w:pageBreakBefore w:val="0"/>
                            <w:widowControl w:val="0"/>
                            <w:kinsoku/>
                            <w:wordWrap/>
                            <w:overflowPunct/>
                            <w:topLinePunct w:val="0"/>
                            <w:autoSpaceDE/>
                            <w:autoSpaceDN/>
                            <w:bidi/>
                            <w:adjustRightInd/>
                            <w:snapToGrid w:val="0"/>
                            <w:ind w:left="1361"/>
                            <w:jc w:val="right"/>
                            <w:textAlignment w:val="auto"/>
                            <w:rPr>
                              <w:rFonts w:hint="eastAsia" w:eastAsiaTheme="minorEastAsia"/>
                              <w:lang w:eastAsia="zh-CN"/>
                            </w:rPr>
                          </w:pPr>
                        </w:p>
                      </w:txbxContent>
                    </wps:txbx>
                    <wps:bodyPr rot="0" spcFirstLastPara="0" vertOverflow="overflow" horzOverflow="overflow" vert="horz" wrap="square" lIns="0" tIns="0" rIns="0" bIns="0" numCol="1" spcCol="0" rtlCol="0" fromWordArt="0" anchor="t" anchorCtr="0" forceAA="0" upright="0" compatLnSpc="1">
                      <a:noAutofit/>
                    </wps:bodyPr>
                  </wps:wsp>
                </a:graphicData>
              </a:graphic>
            </wp:anchor>
          </w:drawing>
        </mc:Choice>
        <mc:Fallback>
          <w:pict>
            <v:shape id="_x0000_s1026" o:spid="_x0000_s1026" o:spt="202" type="#_x0000_t202" style="position:absolute;left:0pt;margin-left:-0.75pt;margin-top:0pt;height:11.5pt;width:81.15pt;mso-position-horizontal-relative:margin;z-index:251659264;mso-width-relative:page;mso-height-relative:page;" filled="f" stroked="f" coordsize="21600,21600" o:gfxdata="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6wW7f1AAAAAYBAAAPAAAAAAAAAAEAIAAAACIAAABkcnMvZG93bnJldi54bWxQ&#10;SwECFAAUAAAACACHTuJAoTAkGzQCAABkBAAADgAAAAAAAAABACAAAAAjAQAAZHJzL2Uyb0RvYy54&#10;bWxQSwUGAAAAAAYABgBZAQAAyQUAAAAA&#10;">
              <v:fill on="f" focussize="0,0"/>
              <v:stroke on="f" weight="0.5pt"/>
              <v:imagedata o:title=""/>
              <o:lock v:ext="edit" aspectratio="f"/>
              <v:textbox inset="0mm,0mm,0mm,0mm">
                <w:txbxContent>
                  <w:p>
                    <w:pPr>
                      <w:pStyle w:val="2"/>
                      <w:keepNext w:val="0"/>
                      <w:keepLines w:val="0"/>
                      <w:pageBreakBefore w:val="0"/>
                      <w:widowControl w:val="0"/>
                      <w:kinsoku/>
                      <w:wordWrap/>
                      <w:overflowPunct/>
                      <w:topLinePunct w:val="0"/>
                      <w:autoSpaceDE/>
                      <w:autoSpaceDN/>
                      <w:bidi/>
                      <w:adjustRightInd/>
                      <w:snapToGrid w:val="0"/>
                      <w:ind w:left="1361"/>
                      <w:jc w:val="right"/>
                      <w:textAlignment w:val="auto"/>
                      <w:rPr>
                        <w:rFonts w:hint="eastAsia" w:eastAsiaTheme="minorEastAsia"/>
                        <w:lang w:eastAsia="zh-CN"/>
                      </w:rPr>
                    </w:pPr>
                  </w:p>
                </w:txbxContent>
              </v:textbox>
            </v:shape>
          </w:pict>
        </mc:Fallback>
      </mc:AlternateContent>
    </w:r>
    <w:r>
      <w:rPr>
        <w:rFonts w:hint="eastAsia"/>
        <w:lang w:eastAsia="zh-CN"/>
      </w:rPr>
      <w:tab/>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1"/>
      </w:pBdr>
      <w:jc w:val="right"/>
      <w:rPr>
        <w:rFonts w:hint="eastAsia" w:ascii="黑体" w:hAnsi="黑体" w:eastAsia="黑体" w:cs="黑体"/>
        <w:sz w:val="21"/>
        <w:szCs w:val="32"/>
        <w:lang w:val="en-US" w:eastAsia="zh-CN"/>
      </w:rPr>
    </w:pPr>
    <w:r>
      <w:rPr>
        <w:rFonts w:hint="eastAsia" w:ascii="黑体" w:hAnsi="黑体" w:eastAsia="黑体" w:cs="黑体"/>
        <w:sz w:val="21"/>
        <w:szCs w:val="32"/>
        <w:lang w:val="en-US" w:eastAsia="zh-CN"/>
      </w:rPr>
      <w:t>Q/XXZW 101.73—2023</w:t>
    </w:r>
  </w:p>
  <w:p>
    <w:pPr>
      <w:pStyle w:val="3"/>
      <w:rPr>
        <w:rFonts w:hint="eastAsia"/>
        <w:lang w:val="en-US" w:eastAsia="zh-C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1"/>
      </w:pBdr>
      <w:jc w:val="both"/>
      <w:rPr>
        <w:rFonts w:hint="eastAsia" w:ascii="黑体" w:hAnsi="黑体" w:eastAsia="黑体" w:cs="黑体"/>
        <w:sz w:val="21"/>
        <w:szCs w:val="32"/>
        <w:lang w:val="en-US" w:eastAsia="zh-CN"/>
      </w:rPr>
    </w:pPr>
    <w:r>
      <w:rPr>
        <w:rFonts w:hint="eastAsia" w:ascii="黑体" w:hAnsi="黑体" w:eastAsia="黑体" w:cs="黑体"/>
        <w:sz w:val="21"/>
        <w:szCs w:val="32"/>
        <w:lang w:val="en-US" w:eastAsia="zh-CN"/>
      </w:rPr>
      <w:t>Q/XXZW 101.73—2023</w:t>
    </w:r>
  </w:p>
  <w:p>
    <w:pPr>
      <w:pStyle w:val="3"/>
      <w:rPr>
        <w:rFonts w:hint="eastAsia"/>
        <w:lang w:eastAsia="zh-C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mirrorMargins w:val="1"/>
  <w:bordersDoNotSurroundHeader w:val="0"/>
  <w:bordersDoNotSurroundFooter w:val="0"/>
  <w:documentProtection w:enforcement="0"/>
  <w:defaultTabStop w:val="420"/>
  <w:evenAndOddHeaders w:val="1"/>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JhMjliYjhjODE4MzU4YjYxMjA1NGRkZWQ2MzhhOTAifQ=="/>
  </w:docVars>
  <w:rsids>
    <w:rsidRoot w:val="00000000"/>
    <w:rsid w:val="00EF1DA9"/>
    <w:rsid w:val="01497AD1"/>
    <w:rsid w:val="01AD7E6D"/>
    <w:rsid w:val="024E57BE"/>
    <w:rsid w:val="03107D3B"/>
    <w:rsid w:val="04F5513A"/>
    <w:rsid w:val="0A577EDC"/>
    <w:rsid w:val="0B0D44D4"/>
    <w:rsid w:val="0BB43C6B"/>
    <w:rsid w:val="0D2A279F"/>
    <w:rsid w:val="0DCE2A25"/>
    <w:rsid w:val="0DDB3A3F"/>
    <w:rsid w:val="11DC7D06"/>
    <w:rsid w:val="16027499"/>
    <w:rsid w:val="17394603"/>
    <w:rsid w:val="19870F5D"/>
    <w:rsid w:val="1B2D105E"/>
    <w:rsid w:val="1C23651B"/>
    <w:rsid w:val="1C273C13"/>
    <w:rsid w:val="1D8607E8"/>
    <w:rsid w:val="1DFD1F7F"/>
    <w:rsid w:val="21AC28FC"/>
    <w:rsid w:val="236F308A"/>
    <w:rsid w:val="250638CD"/>
    <w:rsid w:val="262C1868"/>
    <w:rsid w:val="26786548"/>
    <w:rsid w:val="2A0505E0"/>
    <w:rsid w:val="2E477B6D"/>
    <w:rsid w:val="32225ABD"/>
    <w:rsid w:val="33C96C75"/>
    <w:rsid w:val="34312375"/>
    <w:rsid w:val="374534D2"/>
    <w:rsid w:val="38296225"/>
    <w:rsid w:val="387A6293"/>
    <w:rsid w:val="3A376F2E"/>
    <w:rsid w:val="3C03787E"/>
    <w:rsid w:val="3FB7726A"/>
    <w:rsid w:val="41F64E66"/>
    <w:rsid w:val="423A66AC"/>
    <w:rsid w:val="43A85C63"/>
    <w:rsid w:val="43FD267D"/>
    <w:rsid w:val="459828A0"/>
    <w:rsid w:val="45C12B5E"/>
    <w:rsid w:val="47B26EA9"/>
    <w:rsid w:val="48DF0D1A"/>
    <w:rsid w:val="4A8470F0"/>
    <w:rsid w:val="4AE314A0"/>
    <w:rsid w:val="4B131269"/>
    <w:rsid w:val="4B316D23"/>
    <w:rsid w:val="4BCA0D1B"/>
    <w:rsid w:val="4C5F3D5A"/>
    <w:rsid w:val="4CB8403D"/>
    <w:rsid w:val="4DC75A8E"/>
    <w:rsid w:val="4E7216E3"/>
    <w:rsid w:val="4F5D4751"/>
    <w:rsid w:val="4F8D2504"/>
    <w:rsid w:val="51AF7072"/>
    <w:rsid w:val="57014F55"/>
    <w:rsid w:val="584B21EF"/>
    <w:rsid w:val="59AE4C53"/>
    <w:rsid w:val="59E2702F"/>
    <w:rsid w:val="5A84723C"/>
    <w:rsid w:val="5D1F636E"/>
    <w:rsid w:val="5D2A7067"/>
    <w:rsid w:val="5DAB327D"/>
    <w:rsid w:val="5E9C127C"/>
    <w:rsid w:val="5F8D56AA"/>
    <w:rsid w:val="657255DA"/>
    <w:rsid w:val="6598155C"/>
    <w:rsid w:val="6680462B"/>
    <w:rsid w:val="69485F54"/>
    <w:rsid w:val="6B1941C5"/>
    <w:rsid w:val="6D922E67"/>
    <w:rsid w:val="7019553E"/>
    <w:rsid w:val="7067478F"/>
    <w:rsid w:val="713429A1"/>
    <w:rsid w:val="71697A56"/>
    <w:rsid w:val="72A96578"/>
    <w:rsid w:val="754B10F6"/>
    <w:rsid w:val="75C1033A"/>
    <w:rsid w:val="76ED4FE7"/>
    <w:rsid w:val="7869418D"/>
    <w:rsid w:val="799A75AC"/>
    <w:rsid w:val="7B160887"/>
    <w:rsid w:val="7B4A135E"/>
    <w:rsid w:val="7BE1774D"/>
    <w:rsid w:val="7CAB54FA"/>
    <w:rsid w:val="7E5E4287"/>
    <w:rsid w:val="7EFA2E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styleId="6">
    <w:name w:val="Hyperlink"/>
    <w:basedOn w:val="5"/>
    <w:qFormat/>
    <w:uiPriority w:val="0"/>
    <w:rPr>
      <w:color w:val="0000FF"/>
      <w:u w:val="single"/>
    </w:rPr>
  </w:style>
  <w:style w:type="character" w:customStyle="1" w:styleId="7">
    <w:name w:val="ellisiss"/>
    <w:basedOn w:val="5"/>
    <w:qFormat/>
    <w:uiPriority w:val="0"/>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1.jpeg"/><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1720</Words>
  <Characters>2026</Characters>
  <Lines>0</Lines>
  <Paragraphs>0</Paragraphs>
  <TotalTime>0</TotalTime>
  <ScaleCrop>false</ScaleCrop>
  <LinksUpToDate>false</LinksUpToDate>
  <CharactersWithSpaces>2107</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Lenovo</dc:creator>
  <cp:lastModifiedBy>张小乐啊</cp:lastModifiedBy>
  <cp:lastPrinted>2021-10-19T01:57:00Z</cp:lastPrinted>
  <dcterms:modified xsi:type="dcterms:W3CDTF">2024-03-12T01:47:51Z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F2371082757B4E459DF673F63EDECD60</vt:lpwstr>
  </property>
</Properties>
</file>