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FC118">
      <w:pPr>
        <w:jc w:val="center"/>
        <w:rPr>
          <w:rFonts w:hint="eastAsia" w:ascii="黑体" w:hAnsi="黑体" w:eastAsia="黑体"/>
          <w:sz w:val="44"/>
          <w:szCs w:val="44"/>
        </w:rPr>
      </w:pPr>
    </w:p>
    <w:p w14:paraId="5B1EF988">
      <w:pPr>
        <w:jc w:val="center"/>
        <w:rPr>
          <w:rFonts w:hint="default" w:ascii="黑体" w:hAnsi="黑体" w:eastAsia="黑体"/>
          <w:sz w:val="44"/>
          <w:szCs w:val="44"/>
          <w:lang w:val="en-US" w:eastAsia="zh-CN"/>
        </w:rPr>
      </w:pPr>
      <w:bookmarkStart w:id="5" w:name="_GoBack"/>
      <w:r>
        <w:rPr>
          <w:rFonts w:hint="eastAsia" w:ascii="黑体" w:hAnsi="黑体" w:eastAsia="黑体"/>
          <w:sz w:val="44"/>
          <w:szCs w:val="44"/>
        </w:rPr>
        <w:t>202</w:t>
      </w:r>
      <w:r>
        <w:rPr>
          <w:rFonts w:hint="eastAsia" w:ascii="黑体" w:hAnsi="黑体" w:eastAsia="黑体"/>
          <w:sz w:val="44"/>
          <w:szCs w:val="44"/>
          <w:lang w:val="en-US" w:eastAsia="zh-CN"/>
        </w:rPr>
        <w:t>3</w:t>
      </w:r>
      <w:r>
        <w:rPr>
          <w:rFonts w:hint="eastAsia" w:ascii="黑体" w:hAnsi="黑体" w:eastAsia="黑体"/>
          <w:sz w:val="44"/>
          <w:szCs w:val="44"/>
        </w:rPr>
        <w:t>年新县预算绩效工作</w:t>
      </w:r>
      <w:r>
        <w:rPr>
          <w:rFonts w:hint="eastAsia" w:ascii="黑体" w:hAnsi="黑体" w:eastAsia="黑体"/>
          <w:sz w:val="44"/>
          <w:szCs w:val="44"/>
          <w:lang w:val="en-US" w:eastAsia="zh-CN"/>
        </w:rPr>
        <w:t>开展情况的说明</w:t>
      </w:r>
    </w:p>
    <w:bookmarkEnd w:id="5"/>
    <w:p w14:paraId="580CAC6B">
      <w:pPr>
        <w:pStyle w:val="10"/>
        <w:rPr>
          <w:rFonts w:hint="eastAsia"/>
        </w:rPr>
      </w:pPr>
    </w:p>
    <w:p w14:paraId="5DAD5823">
      <w:pPr>
        <w:ind w:firstLine="648"/>
        <w:jc w:val="left"/>
        <w:rPr>
          <w:rFonts w:hint="eastAsia" w:ascii="仿宋" w:hAnsi="仿宋" w:eastAsia="仿宋" w:cs="仿宋"/>
          <w:sz w:val="32"/>
          <w:szCs w:val="40"/>
        </w:rPr>
      </w:pPr>
      <w:r>
        <w:rPr>
          <w:rFonts w:hint="eastAsia" w:ascii="仿宋_GB2312" w:hAnsi="仿宋_GB2312" w:eastAsia="仿宋_GB2312" w:cs="仿宋_GB2312"/>
          <w:sz w:val="32"/>
          <w:szCs w:val="32"/>
        </w:rPr>
        <w:t>新县积极贯彻落实上级关于绩效管理工作的部署和要求，继续加大绩效管理工作开展的力度。在上级的指导下，我县顺利完成了年度绩效管理工作相关任务。按照绩效管理工作逐步开展的实际情况，将绩效目标设置作为预算安排的前置条件，全面实施绩效管理，完善预算绩效管理流程，扩大预算绩效管理范围，努力盘活存量、用好增量，提高财政资源配置效率和使用效益，对所有预算单位申报部门预算项目资金绩效目标审核，大大提高财政资金使用效益，实现了从绩效目标设立、填报到审核、自评的全流程绩效管理。</w:t>
      </w:r>
    </w:p>
    <w:p w14:paraId="725DD403">
      <w:pPr>
        <w:ind w:firstLine="640" w:firstLineChars="200"/>
        <w:jc w:val="left"/>
        <w:rPr>
          <w:rFonts w:hint="eastAsia" w:ascii="黑体" w:hAnsi="黑体" w:eastAsia="黑体" w:cs="宋体"/>
          <w:sz w:val="32"/>
          <w:szCs w:val="32"/>
        </w:rPr>
      </w:pPr>
      <w:r>
        <w:rPr>
          <w:rFonts w:hint="eastAsia" w:ascii="黑体" w:hAnsi="黑体" w:eastAsia="黑体" w:cs="宋体"/>
          <w:sz w:val="32"/>
          <w:szCs w:val="32"/>
        </w:rPr>
        <w:t>一、基本情况</w:t>
      </w:r>
    </w:p>
    <w:p w14:paraId="4B7B2D9A">
      <w:pPr>
        <w:adjustRightInd w:val="0"/>
        <w:snapToGrid w:val="0"/>
        <w:spacing w:line="560" w:lineRule="exact"/>
        <w:ind w:firstLine="643" w:firstLineChars="200"/>
        <w:rPr>
          <w:rFonts w:ascii="仿宋" w:hAnsi="仿宋" w:eastAsia="仿宋_GB2312" w:cs="仿宋_GB2312"/>
          <w:color w:val="auto"/>
          <w:sz w:val="32"/>
          <w:szCs w:val="32"/>
          <w:highlight w:val="none"/>
        </w:rPr>
      </w:pPr>
      <w:r>
        <w:rPr>
          <w:rFonts w:hint="eastAsia" w:ascii="楷体" w:hAnsi="楷体" w:eastAsia="楷体" w:cs="宋体"/>
          <w:b/>
          <w:sz w:val="32"/>
          <w:szCs w:val="32"/>
        </w:rPr>
        <w:t>（一）制度建设。</w:t>
      </w:r>
      <w:r>
        <w:rPr>
          <w:rFonts w:hint="eastAsia" w:ascii="仿宋" w:hAnsi="仿宋" w:eastAsia="仿宋_GB2312" w:cs="仿宋_GB2312"/>
          <w:color w:val="auto"/>
          <w:sz w:val="32"/>
          <w:szCs w:val="32"/>
          <w:highlight w:val="none"/>
        </w:rPr>
        <w:t>我县自202</w:t>
      </w:r>
      <w:r>
        <w:rPr>
          <w:rFonts w:hint="eastAsia" w:ascii="仿宋" w:hAnsi="仿宋" w:eastAsia="仿宋_GB2312" w:cs="仿宋_GB2312"/>
          <w:color w:val="auto"/>
          <w:sz w:val="32"/>
          <w:szCs w:val="32"/>
          <w:highlight w:val="none"/>
          <w:lang w:val="en-US" w:eastAsia="zh-CN"/>
        </w:rPr>
        <w:t>0</w:t>
      </w:r>
      <w:r>
        <w:rPr>
          <w:rFonts w:hint="eastAsia" w:ascii="仿宋" w:hAnsi="仿宋" w:eastAsia="仿宋_GB2312" w:cs="仿宋_GB2312"/>
          <w:color w:val="auto"/>
          <w:sz w:val="32"/>
          <w:szCs w:val="32"/>
          <w:highlight w:val="none"/>
        </w:rPr>
        <w:t>年以来，高度重视预算绩效管理工作，依据中央、河南省及</w:t>
      </w:r>
      <w:r>
        <w:rPr>
          <w:rFonts w:hint="eastAsia" w:ascii="仿宋" w:hAnsi="仿宋" w:eastAsia="仿宋_GB2312" w:cs="仿宋_GB2312"/>
          <w:color w:val="auto"/>
          <w:sz w:val="32"/>
          <w:szCs w:val="32"/>
          <w:highlight w:val="none"/>
          <w:lang w:val="en-US" w:eastAsia="zh-CN"/>
        </w:rPr>
        <w:t>信阳市</w:t>
      </w:r>
      <w:r>
        <w:rPr>
          <w:rFonts w:hint="eastAsia" w:ascii="仿宋" w:hAnsi="仿宋" w:eastAsia="仿宋_GB2312" w:cs="仿宋_GB2312"/>
          <w:color w:val="auto"/>
          <w:sz w:val="32"/>
          <w:szCs w:val="32"/>
          <w:highlight w:val="none"/>
        </w:rPr>
        <w:t>相关文件要求，</w:t>
      </w:r>
      <w:r>
        <w:rPr>
          <w:rFonts w:hint="eastAsia" w:ascii="仿宋" w:hAnsi="仿宋" w:eastAsia="仿宋_GB2312" w:cs="仿宋_GB2312"/>
          <w:color w:val="auto"/>
          <w:sz w:val="32"/>
          <w:szCs w:val="32"/>
          <w:highlight w:val="none"/>
          <w:lang w:val="en-US" w:eastAsia="zh-CN"/>
        </w:rPr>
        <w:t>县财政</w:t>
      </w:r>
      <w:r>
        <w:rPr>
          <w:rFonts w:hint="eastAsia" w:ascii="仿宋" w:hAnsi="仿宋" w:eastAsia="仿宋_GB2312" w:cs="仿宋_GB2312"/>
          <w:color w:val="auto"/>
          <w:sz w:val="32"/>
          <w:szCs w:val="32"/>
          <w:highlight w:val="none"/>
        </w:rPr>
        <w:t>高度重视预算绩效管理工作，把制度建设作为开展绩效管理的关键环节，县财政局制定了</w:t>
      </w:r>
      <w:r>
        <w:rPr>
          <w:rFonts w:hint="eastAsia" w:ascii="仿宋" w:hAnsi="仿宋" w:eastAsia="仿宋_GB2312" w:cs="仿宋_GB2312"/>
          <w:color w:val="auto"/>
          <w:sz w:val="32"/>
          <w:szCs w:val="32"/>
          <w:highlight w:val="none"/>
          <w:lang w:eastAsia="zh-CN"/>
        </w:rPr>
        <w:t>《关于贯彻落实</w:t>
      </w:r>
      <w:r>
        <w:rPr>
          <w:rFonts w:hint="eastAsia" w:ascii="仿宋" w:hAnsi="仿宋" w:eastAsia="仿宋" w:cs="仿宋"/>
          <w:color w:val="auto"/>
          <w:sz w:val="32"/>
          <w:szCs w:val="32"/>
          <w:highlight w:val="none"/>
          <w:lang w:eastAsia="zh-CN"/>
        </w:rPr>
        <w:t>〈</w:t>
      </w:r>
      <w:r>
        <w:rPr>
          <w:rFonts w:hint="eastAsia" w:ascii="仿宋" w:hAnsi="仿宋" w:eastAsia="仿宋_GB2312" w:cs="仿宋_GB2312"/>
          <w:color w:val="auto"/>
          <w:sz w:val="32"/>
          <w:szCs w:val="32"/>
          <w:highlight w:val="none"/>
          <w:lang w:eastAsia="zh-CN"/>
        </w:rPr>
        <w:t>中共河南省委、河南省人民政府关于全面实施预算绩效管理的实施意见</w:t>
      </w:r>
      <w:r>
        <w:rPr>
          <w:rFonts w:hint="eastAsia" w:ascii="仿宋" w:hAnsi="仿宋" w:eastAsia="仿宋" w:cs="仿宋"/>
          <w:color w:val="auto"/>
          <w:sz w:val="32"/>
          <w:szCs w:val="32"/>
          <w:highlight w:val="none"/>
          <w:lang w:eastAsia="zh-CN"/>
        </w:rPr>
        <w:t>〉</w:t>
      </w:r>
      <w:r>
        <w:rPr>
          <w:rFonts w:hint="eastAsia" w:ascii="仿宋" w:hAnsi="仿宋" w:eastAsia="仿宋_GB2312" w:cs="仿宋_GB2312"/>
          <w:color w:val="auto"/>
          <w:sz w:val="32"/>
          <w:szCs w:val="32"/>
          <w:highlight w:val="none"/>
          <w:lang w:eastAsia="zh-CN"/>
        </w:rPr>
        <w:t>的通知》（新财预</w:t>
      </w:r>
      <w:r>
        <w:rPr>
          <w:rFonts w:hint="eastAsia" w:ascii="仿宋" w:hAnsi="仿宋" w:eastAsia="仿宋" w:cs="仿宋"/>
          <w:color w:val="auto"/>
          <w:sz w:val="32"/>
          <w:szCs w:val="32"/>
          <w:highlight w:val="none"/>
          <w:lang w:eastAsia="zh-CN"/>
        </w:rPr>
        <w:t>〔</w:t>
      </w:r>
      <w:r>
        <w:rPr>
          <w:rFonts w:hint="eastAsia" w:ascii="仿宋" w:hAnsi="仿宋" w:eastAsia="仿宋_GB2312" w:cs="仿宋_GB2312"/>
          <w:color w:val="auto"/>
          <w:sz w:val="32"/>
          <w:szCs w:val="32"/>
          <w:highlight w:val="none"/>
          <w:lang w:eastAsia="zh-CN"/>
        </w:rPr>
        <w:t>2020</w:t>
      </w:r>
      <w:r>
        <w:rPr>
          <w:rFonts w:hint="eastAsia" w:ascii="仿宋" w:hAnsi="仿宋" w:eastAsia="仿宋" w:cs="仿宋"/>
          <w:color w:val="auto"/>
          <w:sz w:val="32"/>
          <w:szCs w:val="32"/>
          <w:highlight w:val="none"/>
          <w:lang w:eastAsia="zh-CN"/>
        </w:rPr>
        <w:t>〕</w:t>
      </w:r>
      <w:r>
        <w:rPr>
          <w:rFonts w:hint="eastAsia" w:ascii="仿宋" w:hAnsi="仿宋" w:eastAsia="仿宋_GB2312" w:cs="仿宋_GB2312"/>
          <w:color w:val="auto"/>
          <w:sz w:val="32"/>
          <w:szCs w:val="32"/>
          <w:highlight w:val="none"/>
          <w:lang w:eastAsia="zh-CN"/>
        </w:rPr>
        <w:t>66号）、</w:t>
      </w:r>
      <w:r>
        <w:rPr>
          <w:rFonts w:hint="eastAsia" w:ascii="仿宋" w:hAnsi="仿宋" w:eastAsia="仿宋_GB2312" w:cs="仿宋_GB2312"/>
          <w:color w:val="auto"/>
          <w:sz w:val="32"/>
          <w:szCs w:val="32"/>
          <w:highlight w:val="none"/>
        </w:rPr>
        <w:t>《</w:t>
      </w:r>
      <w:r>
        <w:rPr>
          <w:rFonts w:hint="eastAsia" w:ascii="仿宋" w:hAnsi="仿宋" w:eastAsia="仿宋_GB2312" w:cs="仿宋_GB2312"/>
          <w:color w:val="auto"/>
          <w:sz w:val="32"/>
          <w:szCs w:val="32"/>
          <w:highlight w:val="none"/>
          <w:lang w:eastAsia="zh-CN"/>
        </w:rPr>
        <w:t>新县县级预算项目政策事前绩效评估管理办法</w:t>
      </w:r>
      <w:r>
        <w:rPr>
          <w:rFonts w:hint="eastAsia" w:ascii="仿宋" w:hAnsi="仿宋" w:eastAsia="仿宋_GB2312" w:cs="仿宋_GB2312"/>
          <w:color w:val="auto"/>
          <w:sz w:val="32"/>
          <w:szCs w:val="32"/>
          <w:highlight w:val="none"/>
        </w:rPr>
        <w:t>》（</w:t>
      </w:r>
      <w:bookmarkStart w:id="0" w:name="OLE_LINK3"/>
      <w:r>
        <w:rPr>
          <w:rFonts w:hint="eastAsia" w:ascii="仿宋" w:hAnsi="仿宋" w:eastAsia="仿宋_GB2312" w:cs="仿宋_GB2312"/>
          <w:color w:val="auto"/>
          <w:sz w:val="32"/>
          <w:szCs w:val="32"/>
          <w:highlight w:val="none"/>
          <w:lang w:val="en-US" w:eastAsia="zh-CN"/>
        </w:rPr>
        <w:t>新</w:t>
      </w:r>
      <w:r>
        <w:rPr>
          <w:rFonts w:hint="eastAsia" w:ascii="仿宋" w:hAnsi="仿宋" w:eastAsia="仿宋_GB2312" w:cs="仿宋_GB2312"/>
          <w:color w:val="auto"/>
          <w:sz w:val="32"/>
          <w:szCs w:val="32"/>
          <w:highlight w:val="none"/>
        </w:rPr>
        <w:t>财</w:t>
      </w:r>
      <w:r>
        <w:rPr>
          <w:rFonts w:hint="eastAsia" w:ascii="仿宋" w:hAnsi="仿宋" w:eastAsia="仿宋_GB2312" w:cs="仿宋_GB2312"/>
          <w:color w:val="auto"/>
          <w:sz w:val="32"/>
          <w:szCs w:val="32"/>
          <w:highlight w:val="none"/>
          <w:lang w:val="en-US" w:eastAsia="zh-CN"/>
        </w:rPr>
        <w:t>预</w:t>
      </w:r>
      <w:r>
        <w:rPr>
          <w:rFonts w:hint="eastAsia" w:ascii="仿宋" w:hAnsi="仿宋" w:eastAsia="仿宋_GB2312" w:cs="仿宋_GB2312"/>
          <w:color w:val="auto"/>
          <w:sz w:val="32"/>
          <w:szCs w:val="32"/>
          <w:highlight w:val="none"/>
        </w:rPr>
        <w:t>〔202</w:t>
      </w:r>
      <w:r>
        <w:rPr>
          <w:rFonts w:hint="eastAsia" w:ascii="仿宋" w:hAnsi="仿宋" w:eastAsia="仿宋_GB2312" w:cs="仿宋_GB2312"/>
          <w:color w:val="auto"/>
          <w:sz w:val="32"/>
          <w:szCs w:val="32"/>
          <w:highlight w:val="none"/>
          <w:lang w:val="en-US" w:eastAsia="zh-CN"/>
        </w:rPr>
        <w:t>1</w:t>
      </w:r>
      <w:r>
        <w:rPr>
          <w:rFonts w:hint="eastAsia" w:ascii="仿宋" w:hAnsi="仿宋" w:eastAsia="仿宋_GB2312" w:cs="仿宋_GB2312"/>
          <w:color w:val="auto"/>
          <w:sz w:val="32"/>
          <w:szCs w:val="32"/>
          <w:highlight w:val="none"/>
        </w:rPr>
        <w:t>〕</w:t>
      </w:r>
      <w:r>
        <w:rPr>
          <w:rFonts w:hint="eastAsia" w:ascii="仿宋" w:hAnsi="仿宋" w:eastAsia="仿宋_GB2312" w:cs="仿宋_GB2312"/>
          <w:color w:val="auto"/>
          <w:sz w:val="32"/>
          <w:szCs w:val="32"/>
          <w:highlight w:val="none"/>
          <w:lang w:val="en-US" w:eastAsia="zh-CN"/>
        </w:rPr>
        <w:t>15</w:t>
      </w:r>
      <w:r>
        <w:rPr>
          <w:rFonts w:hint="eastAsia" w:ascii="仿宋" w:hAnsi="仿宋" w:eastAsia="仿宋_GB2312" w:cs="仿宋_GB2312"/>
          <w:color w:val="auto"/>
          <w:sz w:val="32"/>
          <w:szCs w:val="32"/>
          <w:highlight w:val="none"/>
        </w:rPr>
        <w:t>号</w:t>
      </w:r>
      <w:bookmarkEnd w:id="0"/>
      <w:r>
        <w:rPr>
          <w:rFonts w:hint="eastAsia" w:ascii="仿宋" w:hAnsi="仿宋" w:eastAsia="仿宋_GB2312" w:cs="仿宋_GB2312"/>
          <w:color w:val="auto"/>
          <w:sz w:val="32"/>
          <w:szCs w:val="32"/>
          <w:highlight w:val="none"/>
        </w:rPr>
        <w:t>）、《</w:t>
      </w:r>
      <w:r>
        <w:rPr>
          <w:rFonts w:hint="eastAsia" w:ascii="仿宋" w:hAnsi="仿宋" w:eastAsia="仿宋_GB2312" w:cs="仿宋_GB2312"/>
          <w:color w:val="auto"/>
          <w:sz w:val="32"/>
          <w:szCs w:val="32"/>
          <w:highlight w:val="none"/>
          <w:lang w:eastAsia="zh-CN"/>
        </w:rPr>
        <w:t>新县县级部门预算绩效目标管理办法</w:t>
      </w:r>
      <w:r>
        <w:rPr>
          <w:rFonts w:hint="eastAsia" w:ascii="仿宋" w:hAnsi="仿宋" w:eastAsia="仿宋_GB2312" w:cs="仿宋_GB2312"/>
          <w:color w:val="auto"/>
          <w:sz w:val="32"/>
          <w:szCs w:val="32"/>
          <w:highlight w:val="none"/>
        </w:rPr>
        <w:t>》（</w:t>
      </w:r>
      <w:bookmarkStart w:id="1" w:name="OLE_LINK4"/>
      <w:r>
        <w:rPr>
          <w:rFonts w:hint="eastAsia" w:ascii="仿宋" w:hAnsi="仿宋" w:eastAsia="仿宋_GB2312" w:cs="仿宋_GB2312"/>
          <w:color w:val="auto"/>
          <w:sz w:val="32"/>
          <w:szCs w:val="32"/>
          <w:highlight w:val="none"/>
          <w:lang w:val="en-US" w:eastAsia="zh-CN"/>
        </w:rPr>
        <w:t>新</w:t>
      </w:r>
      <w:r>
        <w:rPr>
          <w:rFonts w:hint="eastAsia" w:ascii="仿宋" w:hAnsi="仿宋" w:eastAsia="仿宋_GB2312" w:cs="仿宋_GB2312"/>
          <w:color w:val="auto"/>
          <w:sz w:val="32"/>
          <w:szCs w:val="32"/>
          <w:highlight w:val="none"/>
        </w:rPr>
        <w:t>财</w:t>
      </w:r>
      <w:r>
        <w:rPr>
          <w:rFonts w:hint="eastAsia" w:ascii="仿宋" w:hAnsi="仿宋" w:eastAsia="仿宋_GB2312" w:cs="仿宋_GB2312"/>
          <w:color w:val="auto"/>
          <w:sz w:val="32"/>
          <w:szCs w:val="32"/>
          <w:highlight w:val="none"/>
          <w:lang w:val="en-US" w:eastAsia="zh-CN"/>
        </w:rPr>
        <w:t>预</w:t>
      </w:r>
      <w:r>
        <w:rPr>
          <w:rFonts w:hint="eastAsia" w:ascii="仿宋" w:hAnsi="仿宋" w:eastAsia="仿宋_GB2312" w:cs="仿宋_GB2312"/>
          <w:color w:val="auto"/>
          <w:sz w:val="32"/>
          <w:szCs w:val="32"/>
          <w:highlight w:val="none"/>
        </w:rPr>
        <w:t>〔202</w:t>
      </w:r>
      <w:r>
        <w:rPr>
          <w:rFonts w:hint="eastAsia" w:ascii="仿宋" w:hAnsi="仿宋" w:eastAsia="仿宋_GB2312" w:cs="仿宋_GB2312"/>
          <w:color w:val="auto"/>
          <w:sz w:val="32"/>
          <w:szCs w:val="32"/>
          <w:highlight w:val="none"/>
          <w:lang w:val="en-US" w:eastAsia="zh-CN"/>
        </w:rPr>
        <w:t>1</w:t>
      </w:r>
      <w:r>
        <w:rPr>
          <w:rFonts w:hint="eastAsia" w:ascii="仿宋" w:hAnsi="仿宋" w:eastAsia="仿宋_GB2312" w:cs="仿宋_GB2312"/>
          <w:color w:val="auto"/>
          <w:sz w:val="32"/>
          <w:szCs w:val="32"/>
          <w:highlight w:val="none"/>
        </w:rPr>
        <w:t>〕</w:t>
      </w:r>
      <w:r>
        <w:rPr>
          <w:rFonts w:hint="eastAsia" w:ascii="仿宋" w:hAnsi="仿宋" w:eastAsia="仿宋_GB2312" w:cs="仿宋_GB2312"/>
          <w:color w:val="auto"/>
          <w:sz w:val="32"/>
          <w:szCs w:val="32"/>
          <w:highlight w:val="none"/>
          <w:lang w:val="en-US" w:eastAsia="zh-CN"/>
        </w:rPr>
        <w:t>16</w:t>
      </w:r>
      <w:r>
        <w:rPr>
          <w:rFonts w:hint="eastAsia" w:ascii="仿宋" w:hAnsi="仿宋" w:eastAsia="仿宋_GB2312" w:cs="仿宋_GB2312"/>
          <w:color w:val="auto"/>
          <w:sz w:val="32"/>
          <w:szCs w:val="32"/>
          <w:highlight w:val="none"/>
        </w:rPr>
        <w:t>号</w:t>
      </w:r>
      <w:bookmarkEnd w:id="1"/>
      <w:r>
        <w:rPr>
          <w:rFonts w:hint="eastAsia" w:ascii="仿宋" w:hAnsi="仿宋" w:eastAsia="仿宋_GB2312" w:cs="仿宋_GB2312"/>
          <w:color w:val="auto"/>
          <w:sz w:val="32"/>
          <w:szCs w:val="32"/>
          <w:highlight w:val="none"/>
        </w:rPr>
        <w:t>）、《</w:t>
      </w:r>
      <w:r>
        <w:rPr>
          <w:rFonts w:hint="eastAsia" w:ascii="仿宋" w:hAnsi="仿宋" w:eastAsia="仿宋_GB2312" w:cs="仿宋_GB2312"/>
          <w:color w:val="auto"/>
          <w:sz w:val="32"/>
          <w:szCs w:val="32"/>
          <w:highlight w:val="none"/>
          <w:lang w:eastAsia="zh-CN"/>
        </w:rPr>
        <w:t>新县县级预算绩效监控管理办法</w:t>
      </w:r>
      <w:r>
        <w:rPr>
          <w:rFonts w:hint="eastAsia" w:ascii="仿宋" w:hAnsi="仿宋" w:eastAsia="仿宋_GB2312" w:cs="仿宋_GB2312"/>
          <w:color w:val="auto"/>
          <w:sz w:val="32"/>
          <w:szCs w:val="32"/>
          <w:highlight w:val="none"/>
        </w:rPr>
        <w:t>》（</w:t>
      </w:r>
      <w:bookmarkStart w:id="2" w:name="OLE_LINK5"/>
      <w:r>
        <w:rPr>
          <w:rFonts w:hint="eastAsia" w:ascii="仿宋" w:hAnsi="仿宋" w:eastAsia="仿宋_GB2312" w:cs="仿宋_GB2312"/>
          <w:color w:val="auto"/>
          <w:sz w:val="32"/>
          <w:szCs w:val="32"/>
          <w:highlight w:val="none"/>
          <w:lang w:val="en-US" w:eastAsia="zh-CN"/>
        </w:rPr>
        <w:t>新</w:t>
      </w:r>
      <w:r>
        <w:rPr>
          <w:rFonts w:hint="eastAsia" w:ascii="仿宋" w:hAnsi="仿宋" w:eastAsia="仿宋_GB2312" w:cs="仿宋_GB2312"/>
          <w:color w:val="auto"/>
          <w:sz w:val="32"/>
          <w:szCs w:val="32"/>
          <w:highlight w:val="none"/>
        </w:rPr>
        <w:t>财</w:t>
      </w:r>
      <w:r>
        <w:rPr>
          <w:rFonts w:hint="eastAsia" w:ascii="仿宋" w:hAnsi="仿宋" w:eastAsia="仿宋_GB2312" w:cs="仿宋_GB2312"/>
          <w:color w:val="auto"/>
          <w:sz w:val="32"/>
          <w:szCs w:val="32"/>
          <w:highlight w:val="none"/>
          <w:lang w:val="en-US" w:eastAsia="zh-CN"/>
        </w:rPr>
        <w:t>预</w:t>
      </w:r>
      <w:r>
        <w:rPr>
          <w:rFonts w:hint="eastAsia" w:ascii="仿宋" w:hAnsi="仿宋" w:eastAsia="仿宋_GB2312" w:cs="仿宋_GB2312"/>
          <w:color w:val="auto"/>
          <w:sz w:val="32"/>
          <w:szCs w:val="32"/>
          <w:highlight w:val="none"/>
        </w:rPr>
        <w:t>〔202</w:t>
      </w:r>
      <w:r>
        <w:rPr>
          <w:rFonts w:hint="eastAsia" w:ascii="仿宋" w:hAnsi="仿宋" w:eastAsia="仿宋_GB2312" w:cs="仿宋_GB2312"/>
          <w:color w:val="auto"/>
          <w:sz w:val="32"/>
          <w:szCs w:val="32"/>
          <w:highlight w:val="none"/>
          <w:lang w:val="en-US" w:eastAsia="zh-CN"/>
        </w:rPr>
        <w:t>1</w:t>
      </w:r>
      <w:r>
        <w:rPr>
          <w:rFonts w:hint="eastAsia" w:ascii="仿宋" w:hAnsi="仿宋" w:eastAsia="仿宋_GB2312" w:cs="仿宋_GB2312"/>
          <w:color w:val="auto"/>
          <w:sz w:val="32"/>
          <w:szCs w:val="32"/>
          <w:highlight w:val="none"/>
        </w:rPr>
        <w:t>〕</w:t>
      </w:r>
      <w:r>
        <w:rPr>
          <w:rFonts w:hint="eastAsia" w:ascii="仿宋" w:hAnsi="仿宋" w:eastAsia="仿宋_GB2312" w:cs="仿宋_GB2312"/>
          <w:color w:val="auto"/>
          <w:sz w:val="32"/>
          <w:szCs w:val="32"/>
          <w:highlight w:val="none"/>
          <w:lang w:val="en-US" w:eastAsia="zh-CN"/>
        </w:rPr>
        <w:t>17</w:t>
      </w:r>
      <w:r>
        <w:rPr>
          <w:rFonts w:hint="eastAsia" w:ascii="仿宋" w:hAnsi="仿宋" w:eastAsia="仿宋_GB2312" w:cs="仿宋_GB2312"/>
          <w:color w:val="auto"/>
          <w:sz w:val="32"/>
          <w:szCs w:val="32"/>
          <w:highlight w:val="none"/>
        </w:rPr>
        <w:t>号</w:t>
      </w:r>
      <w:bookmarkEnd w:id="2"/>
      <w:r>
        <w:rPr>
          <w:rFonts w:hint="eastAsia" w:ascii="仿宋" w:hAnsi="仿宋" w:eastAsia="仿宋_GB2312" w:cs="仿宋_GB2312"/>
          <w:color w:val="auto"/>
          <w:sz w:val="32"/>
          <w:szCs w:val="32"/>
          <w:highlight w:val="none"/>
        </w:rPr>
        <w:t>）、</w:t>
      </w:r>
      <w:r>
        <w:rPr>
          <w:rFonts w:hint="eastAsia" w:ascii="仿宋" w:hAnsi="仿宋" w:eastAsia="仿宋_GB2312" w:cs="仿宋_GB2312"/>
          <w:color w:val="auto"/>
          <w:sz w:val="32"/>
          <w:szCs w:val="32"/>
          <w:highlight w:val="none"/>
          <w:lang w:eastAsia="zh-CN"/>
        </w:rPr>
        <w:t>《新县县级预算绩效评价管理办法》（</w:t>
      </w:r>
      <w:r>
        <w:rPr>
          <w:rFonts w:hint="eastAsia" w:ascii="仿宋" w:hAnsi="仿宋" w:eastAsia="仿宋_GB2312" w:cs="仿宋_GB2312"/>
          <w:color w:val="auto"/>
          <w:sz w:val="32"/>
          <w:szCs w:val="32"/>
          <w:highlight w:val="none"/>
          <w:lang w:val="en-US" w:eastAsia="zh-CN"/>
        </w:rPr>
        <w:t>新</w:t>
      </w:r>
      <w:r>
        <w:rPr>
          <w:rFonts w:hint="eastAsia" w:ascii="仿宋" w:hAnsi="仿宋" w:eastAsia="仿宋_GB2312" w:cs="仿宋_GB2312"/>
          <w:color w:val="auto"/>
          <w:sz w:val="32"/>
          <w:szCs w:val="32"/>
          <w:highlight w:val="none"/>
        </w:rPr>
        <w:t>财</w:t>
      </w:r>
      <w:r>
        <w:rPr>
          <w:rFonts w:hint="eastAsia" w:ascii="仿宋" w:hAnsi="仿宋" w:eastAsia="仿宋_GB2312" w:cs="仿宋_GB2312"/>
          <w:color w:val="auto"/>
          <w:sz w:val="32"/>
          <w:szCs w:val="32"/>
          <w:highlight w:val="none"/>
          <w:lang w:val="en-US" w:eastAsia="zh-CN"/>
        </w:rPr>
        <w:t>预</w:t>
      </w:r>
      <w:r>
        <w:rPr>
          <w:rFonts w:hint="eastAsia" w:ascii="仿宋" w:hAnsi="仿宋" w:eastAsia="仿宋_GB2312" w:cs="仿宋_GB2312"/>
          <w:color w:val="auto"/>
          <w:sz w:val="32"/>
          <w:szCs w:val="32"/>
          <w:highlight w:val="none"/>
        </w:rPr>
        <w:t>〔202</w:t>
      </w:r>
      <w:r>
        <w:rPr>
          <w:rFonts w:hint="eastAsia" w:ascii="仿宋" w:hAnsi="仿宋" w:eastAsia="仿宋_GB2312" w:cs="仿宋_GB2312"/>
          <w:color w:val="auto"/>
          <w:sz w:val="32"/>
          <w:szCs w:val="32"/>
          <w:highlight w:val="none"/>
          <w:lang w:val="en-US" w:eastAsia="zh-CN"/>
        </w:rPr>
        <w:t>1</w:t>
      </w:r>
      <w:r>
        <w:rPr>
          <w:rFonts w:hint="eastAsia" w:ascii="仿宋" w:hAnsi="仿宋" w:eastAsia="仿宋_GB2312" w:cs="仿宋_GB2312"/>
          <w:color w:val="auto"/>
          <w:sz w:val="32"/>
          <w:szCs w:val="32"/>
          <w:highlight w:val="none"/>
        </w:rPr>
        <w:t>〕</w:t>
      </w:r>
      <w:r>
        <w:rPr>
          <w:rFonts w:hint="eastAsia" w:ascii="仿宋" w:hAnsi="仿宋" w:eastAsia="仿宋_GB2312" w:cs="仿宋_GB2312"/>
          <w:color w:val="auto"/>
          <w:sz w:val="32"/>
          <w:szCs w:val="32"/>
          <w:highlight w:val="none"/>
          <w:lang w:val="en-US" w:eastAsia="zh-CN"/>
        </w:rPr>
        <w:t>18</w:t>
      </w:r>
      <w:r>
        <w:rPr>
          <w:rFonts w:hint="eastAsia" w:ascii="仿宋" w:hAnsi="仿宋" w:eastAsia="仿宋_GB2312" w:cs="仿宋_GB2312"/>
          <w:color w:val="auto"/>
          <w:sz w:val="32"/>
          <w:szCs w:val="32"/>
          <w:highlight w:val="none"/>
        </w:rPr>
        <w:t>号</w:t>
      </w:r>
      <w:r>
        <w:rPr>
          <w:rFonts w:hint="eastAsia" w:ascii="仿宋" w:hAnsi="仿宋" w:eastAsia="仿宋_GB2312" w:cs="仿宋_GB2312"/>
          <w:color w:val="auto"/>
          <w:sz w:val="32"/>
          <w:szCs w:val="32"/>
          <w:highlight w:val="none"/>
          <w:lang w:eastAsia="zh-CN"/>
        </w:rPr>
        <w:t>）</w:t>
      </w:r>
      <w:r>
        <w:rPr>
          <w:rFonts w:hint="eastAsia" w:ascii="仿宋" w:hAnsi="仿宋" w:eastAsia="仿宋_GB2312" w:cs="仿宋_GB2312"/>
          <w:color w:val="auto"/>
          <w:sz w:val="32"/>
          <w:szCs w:val="32"/>
          <w:highlight w:val="none"/>
        </w:rPr>
        <w:t>。明确了事前绩效评估、绩效目标管理、绩效监控、绩效评价及结果应用全流程业务流程及要求。</w:t>
      </w:r>
    </w:p>
    <w:p w14:paraId="6DDE3277">
      <w:pPr>
        <w:adjustRightInd w:val="0"/>
        <w:snapToGrid w:val="0"/>
        <w:spacing w:line="560" w:lineRule="exact"/>
        <w:ind w:firstLine="643" w:firstLineChars="200"/>
        <w:rPr>
          <w:rFonts w:ascii="仿宋" w:hAnsi="仿宋" w:eastAsia="仿宋_GB2312" w:cs="仿宋_GB2312"/>
          <w:color w:val="auto"/>
          <w:sz w:val="32"/>
          <w:szCs w:val="32"/>
          <w:highlight w:val="none"/>
        </w:rPr>
      </w:pPr>
      <w:r>
        <w:rPr>
          <w:rFonts w:hint="eastAsia" w:ascii="楷体" w:hAnsi="楷体" w:eastAsia="楷体" w:cs="宋体"/>
          <w:b/>
          <w:sz w:val="32"/>
          <w:szCs w:val="32"/>
        </w:rPr>
        <w:t>（二）绩效自评。</w:t>
      </w:r>
      <w:r>
        <w:rPr>
          <w:rFonts w:hint="eastAsia" w:ascii="仿宋" w:hAnsi="仿宋" w:eastAsia="仿宋_GB2312" w:cs="仿宋_GB2312"/>
          <w:color w:val="auto"/>
          <w:sz w:val="32"/>
          <w:szCs w:val="32"/>
          <w:highlight w:val="none"/>
        </w:rPr>
        <w:t>科学合理安排，突出工作重点，持续精准发力，牢牢把握预算绩效管理工作流程中绩效评价重要环节，通过绩效自评发现项目中出现的问题认真分析原因、明确责任，积极落实整改，确保绩效目标保质保量实现。一是通过委托第三方按照流程开展预算绩效自评工作，对评价全程监管。针对2023年预算项目下发绩效自评工作任务，要求全县</w:t>
      </w:r>
      <w:r>
        <w:rPr>
          <w:rFonts w:hint="eastAsia" w:ascii="仿宋" w:hAnsi="仿宋" w:eastAsia="仿宋_GB2312" w:cs="仿宋_GB2312"/>
          <w:color w:val="auto"/>
          <w:sz w:val="32"/>
          <w:szCs w:val="32"/>
          <w:highlight w:val="none"/>
          <w:lang w:val="en-US" w:eastAsia="zh-CN"/>
        </w:rPr>
        <w:t>80</w:t>
      </w:r>
      <w:r>
        <w:rPr>
          <w:rFonts w:hint="eastAsia" w:ascii="仿宋" w:hAnsi="仿宋" w:eastAsia="仿宋_GB2312" w:cs="仿宋_GB2312"/>
          <w:color w:val="auto"/>
          <w:sz w:val="32"/>
          <w:szCs w:val="32"/>
          <w:highlight w:val="none"/>
        </w:rPr>
        <w:t>个预算部门对整体支出和项目支出开展绩效自评价工作，共计完成自评项目</w:t>
      </w:r>
      <w:r>
        <w:rPr>
          <w:rFonts w:hint="eastAsia" w:ascii="仿宋" w:hAnsi="仿宋" w:eastAsia="仿宋_GB2312" w:cs="仿宋_GB2312"/>
          <w:color w:val="auto"/>
          <w:sz w:val="32"/>
          <w:szCs w:val="32"/>
          <w:highlight w:val="none"/>
          <w:lang w:val="en-US" w:eastAsia="zh-CN"/>
        </w:rPr>
        <w:t>4141</w:t>
      </w:r>
      <w:r>
        <w:rPr>
          <w:rFonts w:hint="eastAsia" w:ascii="仿宋" w:hAnsi="仿宋" w:eastAsia="仿宋_GB2312" w:cs="仿宋_GB2312"/>
          <w:color w:val="auto"/>
          <w:sz w:val="32"/>
          <w:szCs w:val="32"/>
          <w:highlight w:val="none"/>
        </w:rPr>
        <w:t>个，涉及资金</w:t>
      </w:r>
      <w:r>
        <w:rPr>
          <w:rFonts w:hint="eastAsia" w:ascii="仿宋" w:hAnsi="仿宋" w:eastAsia="仿宋_GB2312" w:cs="仿宋_GB2312"/>
          <w:color w:val="auto"/>
          <w:sz w:val="32"/>
          <w:szCs w:val="32"/>
          <w:highlight w:val="none"/>
          <w:lang w:val="en-US" w:eastAsia="zh-CN"/>
        </w:rPr>
        <w:t>36.23</w:t>
      </w:r>
      <w:r>
        <w:rPr>
          <w:rFonts w:hint="eastAsia" w:ascii="仿宋" w:hAnsi="仿宋" w:eastAsia="仿宋_GB2312" w:cs="仿宋_GB2312"/>
          <w:color w:val="auto"/>
          <w:sz w:val="32"/>
          <w:szCs w:val="32"/>
          <w:highlight w:val="none"/>
        </w:rPr>
        <w:t>亿元，执行金额</w:t>
      </w:r>
      <w:r>
        <w:rPr>
          <w:rFonts w:hint="eastAsia" w:ascii="仿宋" w:hAnsi="仿宋" w:eastAsia="仿宋_GB2312" w:cs="仿宋_GB2312"/>
          <w:color w:val="auto"/>
          <w:sz w:val="32"/>
          <w:szCs w:val="32"/>
          <w:highlight w:val="none"/>
          <w:lang w:val="en-US" w:eastAsia="zh-CN"/>
        </w:rPr>
        <w:t>22.65</w:t>
      </w:r>
      <w:r>
        <w:rPr>
          <w:rFonts w:hint="eastAsia" w:ascii="仿宋" w:hAnsi="仿宋" w:eastAsia="仿宋_GB2312" w:cs="仿宋_GB2312"/>
          <w:color w:val="auto"/>
          <w:sz w:val="32"/>
          <w:szCs w:val="32"/>
          <w:highlight w:val="none"/>
        </w:rPr>
        <w:t>亿元，预算执行率</w:t>
      </w:r>
      <w:r>
        <w:rPr>
          <w:rFonts w:hint="eastAsia" w:ascii="仿宋" w:hAnsi="仿宋" w:eastAsia="仿宋_GB2312" w:cs="仿宋_GB2312"/>
          <w:color w:val="auto"/>
          <w:sz w:val="32"/>
          <w:szCs w:val="32"/>
          <w:highlight w:val="none"/>
          <w:lang w:val="en-US" w:eastAsia="zh-CN"/>
        </w:rPr>
        <w:t>62.52</w:t>
      </w:r>
      <w:r>
        <w:rPr>
          <w:rFonts w:hint="eastAsia" w:ascii="仿宋" w:hAnsi="仿宋" w:eastAsia="仿宋_GB2312" w:cs="仿宋_GB2312"/>
          <w:color w:val="auto"/>
          <w:sz w:val="32"/>
          <w:szCs w:val="32"/>
          <w:highlight w:val="none"/>
        </w:rPr>
        <w:t>%。将评价为“中”的</w:t>
      </w:r>
      <w:r>
        <w:rPr>
          <w:rFonts w:hint="eastAsia" w:ascii="仿宋" w:hAnsi="仿宋" w:eastAsia="仿宋_GB2312" w:cs="仿宋_GB2312"/>
          <w:color w:val="auto"/>
          <w:sz w:val="32"/>
          <w:szCs w:val="32"/>
          <w:highlight w:val="none"/>
          <w:lang w:val="en-US" w:eastAsia="zh-CN"/>
        </w:rPr>
        <w:t>185</w:t>
      </w:r>
      <w:r>
        <w:rPr>
          <w:rFonts w:hint="eastAsia" w:ascii="仿宋" w:hAnsi="仿宋" w:eastAsia="仿宋_GB2312" w:cs="仿宋_GB2312"/>
          <w:color w:val="auto"/>
          <w:sz w:val="32"/>
          <w:szCs w:val="32"/>
          <w:highlight w:val="none"/>
        </w:rPr>
        <w:t>个项目</w:t>
      </w:r>
      <w:r>
        <w:rPr>
          <w:rFonts w:hint="eastAsia" w:ascii="仿宋" w:hAnsi="仿宋" w:eastAsia="仿宋_GB2312" w:cs="仿宋_GB2312"/>
          <w:color w:val="auto"/>
          <w:sz w:val="32"/>
          <w:szCs w:val="32"/>
          <w:highlight w:val="none"/>
          <w:lang w:val="en-US" w:eastAsia="zh-CN"/>
        </w:rPr>
        <w:t>1.67</w:t>
      </w:r>
      <w:r>
        <w:rPr>
          <w:rFonts w:hint="eastAsia" w:ascii="仿宋" w:hAnsi="仿宋" w:eastAsia="仿宋_GB2312" w:cs="仿宋_GB2312"/>
          <w:color w:val="auto"/>
          <w:sz w:val="32"/>
          <w:szCs w:val="32"/>
          <w:highlight w:val="none"/>
        </w:rPr>
        <w:t>亿元，评价结果为“差”的</w:t>
      </w:r>
      <w:r>
        <w:rPr>
          <w:rFonts w:hint="eastAsia" w:ascii="仿宋" w:hAnsi="仿宋" w:eastAsia="仿宋_GB2312" w:cs="仿宋_GB2312"/>
          <w:color w:val="auto"/>
          <w:sz w:val="32"/>
          <w:szCs w:val="32"/>
          <w:highlight w:val="none"/>
          <w:lang w:val="en-US" w:eastAsia="zh-CN"/>
        </w:rPr>
        <w:t>46</w:t>
      </w:r>
      <w:r>
        <w:rPr>
          <w:rFonts w:hint="eastAsia" w:ascii="仿宋" w:hAnsi="仿宋" w:eastAsia="仿宋_GB2312" w:cs="仿宋_GB2312"/>
          <w:color w:val="auto"/>
          <w:sz w:val="32"/>
          <w:szCs w:val="32"/>
          <w:highlight w:val="none"/>
        </w:rPr>
        <w:t>个项目</w:t>
      </w:r>
      <w:r>
        <w:rPr>
          <w:rFonts w:hint="eastAsia" w:ascii="仿宋" w:hAnsi="仿宋" w:eastAsia="仿宋_GB2312" w:cs="仿宋_GB2312"/>
          <w:color w:val="auto"/>
          <w:sz w:val="32"/>
          <w:szCs w:val="32"/>
          <w:highlight w:val="none"/>
          <w:lang w:val="en-US" w:eastAsia="zh-CN"/>
        </w:rPr>
        <w:t>1.12</w:t>
      </w:r>
      <w:r>
        <w:rPr>
          <w:rFonts w:hint="eastAsia" w:ascii="仿宋" w:hAnsi="仿宋" w:eastAsia="仿宋_GB2312" w:cs="仿宋_GB2312"/>
          <w:color w:val="auto"/>
          <w:sz w:val="32"/>
          <w:szCs w:val="32"/>
          <w:highlight w:val="none"/>
        </w:rPr>
        <w:t>亿元，作为后续预算项目批复的重要依据。二是提升绩效管理水平，确保评估结果的真实性和可靠性，联合第三方绩效评价机构通过对预算单位提交的自评资料核查，进一步规范财政支出的实施效果和资金使用效益，选取</w:t>
      </w:r>
      <w:r>
        <w:rPr>
          <w:rFonts w:hint="eastAsia" w:ascii="仿宋" w:hAnsi="仿宋" w:eastAsia="仿宋_GB2312" w:cs="仿宋_GB2312"/>
          <w:color w:val="auto"/>
          <w:sz w:val="32"/>
          <w:szCs w:val="32"/>
          <w:highlight w:val="none"/>
          <w:lang w:val="en-US" w:eastAsia="zh-CN"/>
        </w:rPr>
        <w:t>10</w:t>
      </w:r>
      <w:r>
        <w:rPr>
          <w:rFonts w:hint="eastAsia" w:ascii="仿宋" w:hAnsi="仿宋" w:eastAsia="仿宋_GB2312" w:cs="仿宋_GB2312"/>
          <w:color w:val="auto"/>
          <w:sz w:val="32"/>
          <w:szCs w:val="32"/>
          <w:highlight w:val="none"/>
        </w:rPr>
        <w:t>个项目进行自评质量复核，及时将复核结果反馈至相关单位，督促其进行整改。目前部分单位还处于“重产出、轻效益”向“重效益”转变阶段，大部分单位仍然重视资金拨付而不考核实际效果，对项目效益指标设置贴合度不高，要么是设置效益不相关、要么是设置效益宽泛不具体等，其次是设置的指标几乎不能够量化，没有标准规范。再者现有的制度缺乏效益考核相关流程，单位仅对产出内容进行规范后，就认为项目已经结束。效益资料留存也是不完整，部分单位在项目结束后对实施效果情况进行了解，对了解过程未保存痕迹，也未对结果进行总结分析。</w:t>
      </w:r>
    </w:p>
    <w:p w14:paraId="6B3949AE">
      <w:pPr>
        <w:adjustRightInd w:val="0"/>
        <w:snapToGrid w:val="0"/>
        <w:spacing w:line="560" w:lineRule="exact"/>
        <w:ind w:firstLine="643" w:firstLineChars="200"/>
        <w:rPr>
          <w:rFonts w:ascii="仿宋" w:hAnsi="仿宋" w:eastAsia="仿宋_GB2312" w:cs="仿宋_GB2312"/>
          <w:color w:val="auto"/>
          <w:sz w:val="32"/>
          <w:szCs w:val="32"/>
          <w:highlight w:val="none"/>
        </w:rPr>
      </w:pPr>
      <w:r>
        <w:rPr>
          <w:rFonts w:hint="eastAsia" w:ascii="楷体" w:hAnsi="楷体" w:eastAsia="楷体" w:cs="宋体"/>
          <w:b/>
          <w:sz w:val="32"/>
          <w:szCs w:val="32"/>
        </w:rPr>
        <w:t>（三）重点绩效评价。</w:t>
      </w:r>
      <w:r>
        <w:rPr>
          <w:rFonts w:hint="eastAsia" w:ascii="仿宋" w:hAnsi="仿宋" w:eastAsia="仿宋_GB2312" w:cs="仿宋_GB2312"/>
          <w:color w:val="auto"/>
          <w:sz w:val="32"/>
          <w:szCs w:val="32"/>
          <w:highlight w:val="none"/>
        </w:rPr>
        <w:t>（一）部门重点项目绩效评价</w:t>
      </w:r>
    </w:p>
    <w:p w14:paraId="2172A5EF">
      <w:pPr>
        <w:adjustRightInd w:val="0"/>
        <w:snapToGrid w:val="0"/>
        <w:spacing w:line="560" w:lineRule="exact"/>
        <w:ind w:firstLine="640" w:firstLineChars="200"/>
        <w:rPr>
          <w:rFonts w:hint="default" w:ascii="仿宋" w:hAnsi="仿宋" w:eastAsia="仿宋_GB2312" w:cs="仿宋_GB2312"/>
          <w:color w:val="auto"/>
          <w:sz w:val="32"/>
          <w:szCs w:val="32"/>
          <w:highlight w:val="none"/>
          <w:lang w:val="en-US" w:eastAsia="zh-CN"/>
        </w:rPr>
      </w:pPr>
      <w:r>
        <w:rPr>
          <w:rFonts w:hint="eastAsia" w:ascii="仿宋" w:hAnsi="仿宋" w:eastAsia="仿宋_GB2312" w:cs="仿宋_GB2312"/>
          <w:color w:val="auto"/>
          <w:sz w:val="32"/>
          <w:szCs w:val="32"/>
          <w:highlight w:val="none"/>
        </w:rPr>
        <w:t>健全绩效评价常态化机制，强化部门预算绩效管理主体责任，提高财政资金使用效益，我局指导</w:t>
      </w:r>
      <w:r>
        <w:rPr>
          <w:rFonts w:hint="eastAsia" w:ascii="仿宋" w:hAnsi="仿宋" w:eastAsia="仿宋_GB2312" w:cs="仿宋_GB2312"/>
          <w:color w:val="auto"/>
          <w:sz w:val="32"/>
          <w:szCs w:val="32"/>
          <w:highlight w:val="none"/>
          <w:lang w:val="en-US" w:eastAsia="zh-CN"/>
        </w:rPr>
        <w:t>3</w:t>
      </w:r>
      <w:r>
        <w:rPr>
          <w:rFonts w:hint="eastAsia" w:ascii="仿宋" w:hAnsi="仿宋" w:eastAsia="仿宋_GB2312" w:cs="仿宋_GB2312"/>
          <w:color w:val="auto"/>
          <w:sz w:val="32"/>
          <w:szCs w:val="32"/>
          <w:highlight w:val="none"/>
        </w:rPr>
        <w:t>个预算部门开展重点项目绩效评价工作，由各预算部门根据工作需要，</w:t>
      </w:r>
      <w:r>
        <w:rPr>
          <w:rFonts w:hint="eastAsia" w:ascii="仿宋" w:hAnsi="仿宋" w:eastAsia="仿宋_GB2312" w:cs="仿宋_GB2312"/>
          <w:color w:val="auto"/>
          <w:sz w:val="32"/>
          <w:szCs w:val="32"/>
          <w:highlight w:val="none"/>
          <w:lang w:val="en-US" w:eastAsia="zh-CN"/>
        </w:rPr>
        <w:t>按照项目绩效评价程序开展部门重点项目评价，并将评价结果报送我局。</w:t>
      </w:r>
    </w:p>
    <w:p w14:paraId="4C9AFAD9">
      <w:pPr>
        <w:adjustRightInd w:val="0"/>
        <w:snapToGrid w:val="0"/>
        <w:spacing w:line="560" w:lineRule="exact"/>
        <w:ind w:firstLine="640" w:firstLineChars="200"/>
        <w:rPr>
          <w:rFonts w:ascii="仿宋" w:hAnsi="仿宋" w:eastAsia="仿宋_GB2312" w:cs="仿宋_GB2312"/>
          <w:color w:val="auto"/>
          <w:sz w:val="32"/>
          <w:szCs w:val="32"/>
          <w:highlight w:val="none"/>
        </w:rPr>
      </w:pPr>
      <w:r>
        <w:rPr>
          <w:rFonts w:hint="eastAsia" w:ascii="仿宋" w:hAnsi="仿宋" w:eastAsia="仿宋_GB2312" w:cs="仿宋_GB2312"/>
          <w:color w:val="auto"/>
          <w:sz w:val="32"/>
          <w:szCs w:val="32"/>
          <w:highlight w:val="none"/>
        </w:rPr>
        <w:t>（二）财政重点项目绩效评价</w:t>
      </w:r>
    </w:p>
    <w:p w14:paraId="3852F82D">
      <w:pPr>
        <w:adjustRightInd w:val="0"/>
        <w:snapToGrid w:val="0"/>
        <w:spacing w:line="560" w:lineRule="exact"/>
        <w:ind w:firstLine="640" w:firstLineChars="200"/>
        <w:rPr>
          <w:rFonts w:ascii="仿宋" w:hAnsi="仿宋" w:eastAsia="仿宋_GB2312" w:cs="仿宋_GB2312"/>
          <w:color w:val="auto"/>
          <w:sz w:val="32"/>
          <w:szCs w:val="32"/>
          <w:highlight w:val="none"/>
        </w:rPr>
      </w:pPr>
      <w:r>
        <w:rPr>
          <w:rFonts w:hint="eastAsia" w:ascii="仿宋" w:hAnsi="仿宋" w:eastAsia="仿宋_GB2312" w:cs="仿宋_GB2312"/>
          <w:color w:val="auto"/>
          <w:sz w:val="32"/>
          <w:szCs w:val="32"/>
          <w:highlight w:val="none"/>
        </w:rPr>
        <w:t>为促进预算管理效率、资金使用效益的提升，在单位自评完成后，深入开展财政重点绩效评价工作，选取5个项目和</w:t>
      </w:r>
      <w:r>
        <w:rPr>
          <w:rFonts w:hint="eastAsia" w:ascii="仿宋" w:hAnsi="仿宋" w:eastAsia="仿宋_GB2312" w:cs="仿宋_GB2312"/>
          <w:color w:val="auto"/>
          <w:sz w:val="32"/>
          <w:szCs w:val="32"/>
          <w:highlight w:val="none"/>
          <w:lang w:val="en-US" w:eastAsia="zh-CN"/>
        </w:rPr>
        <w:t>1</w:t>
      </w:r>
      <w:r>
        <w:rPr>
          <w:rFonts w:hint="eastAsia" w:ascii="仿宋" w:hAnsi="仿宋" w:eastAsia="仿宋_GB2312" w:cs="仿宋_GB2312"/>
          <w:color w:val="auto"/>
          <w:sz w:val="32"/>
          <w:szCs w:val="32"/>
          <w:highlight w:val="none"/>
        </w:rPr>
        <w:t>个部门整体开展财政重点绩效评价，涉及资金8563.67</w:t>
      </w:r>
      <w:r>
        <w:rPr>
          <w:rFonts w:hint="eastAsia" w:ascii="仿宋" w:hAnsi="仿宋" w:eastAsia="仿宋_GB2312" w:cs="仿宋_GB2312"/>
          <w:color w:val="auto"/>
          <w:sz w:val="32"/>
          <w:szCs w:val="32"/>
          <w:highlight w:val="none"/>
          <w:lang w:val="en-US" w:eastAsia="zh-CN"/>
        </w:rPr>
        <w:t>万</w:t>
      </w:r>
      <w:r>
        <w:rPr>
          <w:rFonts w:hint="eastAsia" w:ascii="仿宋" w:hAnsi="仿宋" w:eastAsia="仿宋_GB2312" w:cs="仿宋_GB2312"/>
          <w:color w:val="auto"/>
          <w:sz w:val="32"/>
          <w:szCs w:val="32"/>
          <w:highlight w:val="none"/>
        </w:rPr>
        <w:t>元，其中</w:t>
      </w:r>
      <w:r>
        <w:rPr>
          <w:rFonts w:hint="eastAsia" w:ascii="仿宋" w:hAnsi="仿宋" w:eastAsia="仿宋_GB2312" w:cs="仿宋_GB2312"/>
          <w:color w:val="auto"/>
          <w:sz w:val="32"/>
          <w:szCs w:val="32"/>
          <w:highlight w:val="none"/>
          <w:lang w:eastAsia="zh-CN"/>
        </w:rPr>
        <w:t>新财预〔2023〕208号新县2023年人居环境整治项目723.85</w:t>
      </w:r>
      <w:r>
        <w:rPr>
          <w:rFonts w:hint="eastAsia" w:ascii="仿宋" w:hAnsi="仿宋" w:eastAsia="仿宋_GB2312" w:cs="仿宋_GB2312"/>
          <w:color w:val="auto"/>
          <w:sz w:val="32"/>
          <w:szCs w:val="32"/>
          <w:highlight w:val="none"/>
          <w:lang w:val="en-US" w:eastAsia="zh-CN"/>
        </w:rPr>
        <w:t>万元、</w:t>
      </w:r>
      <w:r>
        <w:rPr>
          <w:rFonts w:hint="eastAsia" w:ascii="仿宋" w:hAnsi="仿宋" w:eastAsia="仿宋_GB2312" w:cs="仿宋_GB2312"/>
          <w:color w:val="auto"/>
          <w:sz w:val="32"/>
          <w:szCs w:val="32"/>
          <w:highlight w:val="none"/>
          <w:lang w:eastAsia="zh-CN"/>
        </w:rPr>
        <w:t>2023年统筹支出-残疾人补贴690</w:t>
      </w:r>
      <w:r>
        <w:rPr>
          <w:rFonts w:hint="eastAsia" w:ascii="仿宋" w:hAnsi="仿宋" w:eastAsia="仿宋_GB2312" w:cs="仿宋_GB2312"/>
          <w:color w:val="auto"/>
          <w:sz w:val="32"/>
          <w:szCs w:val="32"/>
          <w:highlight w:val="none"/>
          <w:lang w:val="en-US" w:eastAsia="zh-CN"/>
        </w:rPr>
        <w:t>万元、</w:t>
      </w:r>
      <w:r>
        <w:rPr>
          <w:rFonts w:hint="eastAsia" w:ascii="仿宋" w:hAnsi="仿宋" w:eastAsia="仿宋_GB2312" w:cs="仿宋_GB2312"/>
          <w:color w:val="auto"/>
          <w:sz w:val="32"/>
          <w:szCs w:val="32"/>
          <w:highlight w:val="none"/>
          <w:lang w:eastAsia="zh-CN"/>
        </w:rPr>
        <w:t>新县第二净化水厂升级改造工程款580</w:t>
      </w:r>
      <w:r>
        <w:rPr>
          <w:rFonts w:hint="eastAsia" w:ascii="仿宋" w:hAnsi="仿宋" w:eastAsia="仿宋_GB2312" w:cs="仿宋_GB2312"/>
          <w:color w:val="auto"/>
          <w:sz w:val="32"/>
          <w:szCs w:val="32"/>
          <w:highlight w:val="none"/>
          <w:lang w:val="en-US" w:eastAsia="zh-CN"/>
        </w:rPr>
        <w:t>万元、</w:t>
      </w:r>
      <w:r>
        <w:rPr>
          <w:rFonts w:hint="eastAsia" w:ascii="仿宋" w:hAnsi="仿宋" w:eastAsia="仿宋_GB2312" w:cs="仿宋_GB2312"/>
          <w:color w:val="auto"/>
          <w:sz w:val="32"/>
          <w:szCs w:val="32"/>
          <w:highlight w:val="none"/>
          <w:lang w:eastAsia="zh-CN"/>
        </w:rPr>
        <w:t>电子消费券资金190万</w:t>
      </w:r>
      <w:r>
        <w:rPr>
          <w:rFonts w:hint="eastAsia" w:ascii="仿宋" w:hAnsi="仿宋" w:eastAsia="仿宋_GB2312" w:cs="仿宋_GB2312"/>
          <w:color w:val="auto"/>
          <w:sz w:val="32"/>
          <w:szCs w:val="32"/>
          <w:highlight w:val="none"/>
          <w:lang w:val="en-US" w:eastAsia="zh-CN"/>
        </w:rPr>
        <w:t>元、</w:t>
      </w:r>
      <w:r>
        <w:rPr>
          <w:rFonts w:hint="eastAsia" w:ascii="仿宋" w:hAnsi="仿宋" w:eastAsia="仿宋_GB2312" w:cs="仿宋_GB2312"/>
          <w:color w:val="auto"/>
          <w:sz w:val="32"/>
          <w:szCs w:val="32"/>
          <w:highlight w:val="none"/>
          <w:lang w:eastAsia="zh-CN"/>
        </w:rPr>
        <w:t>社区智慧矫正系统设备采购项目93.9</w:t>
      </w:r>
      <w:r>
        <w:rPr>
          <w:rFonts w:hint="eastAsia" w:ascii="仿宋" w:hAnsi="仿宋" w:eastAsia="仿宋_GB2312" w:cs="仿宋_GB2312"/>
          <w:color w:val="auto"/>
          <w:sz w:val="32"/>
          <w:szCs w:val="32"/>
          <w:highlight w:val="none"/>
          <w:lang w:val="en-US" w:eastAsia="zh-CN"/>
        </w:rPr>
        <w:t>万元、</w:t>
      </w:r>
      <w:r>
        <w:rPr>
          <w:rFonts w:hint="eastAsia" w:ascii="仿宋" w:hAnsi="仿宋" w:eastAsia="仿宋_GB2312" w:cs="仿宋_GB2312"/>
          <w:color w:val="auto"/>
          <w:sz w:val="32"/>
          <w:szCs w:val="32"/>
          <w:highlight w:val="none"/>
          <w:lang w:eastAsia="zh-CN"/>
        </w:rPr>
        <w:t>新县退役军人事务局</w:t>
      </w:r>
      <w:r>
        <w:rPr>
          <w:rFonts w:hint="eastAsia" w:ascii="仿宋" w:hAnsi="仿宋" w:eastAsia="仿宋_GB2312" w:cs="仿宋_GB2312"/>
          <w:color w:val="auto"/>
          <w:sz w:val="32"/>
          <w:szCs w:val="32"/>
          <w:highlight w:val="none"/>
        </w:rPr>
        <w:t>部门整体支出6285.92</w:t>
      </w:r>
      <w:r>
        <w:rPr>
          <w:rFonts w:hint="eastAsia" w:ascii="仿宋" w:hAnsi="仿宋" w:eastAsia="仿宋_GB2312" w:cs="仿宋_GB2312"/>
          <w:color w:val="auto"/>
          <w:sz w:val="32"/>
          <w:szCs w:val="32"/>
          <w:highlight w:val="none"/>
          <w:lang w:val="en-US" w:eastAsia="zh-CN"/>
        </w:rPr>
        <w:t>万</w:t>
      </w:r>
      <w:r>
        <w:rPr>
          <w:rFonts w:hint="eastAsia" w:ascii="仿宋" w:hAnsi="仿宋" w:eastAsia="仿宋_GB2312" w:cs="仿宋_GB2312"/>
          <w:color w:val="auto"/>
          <w:sz w:val="32"/>
          <w:szCs w:val="32"/>
          <w:highlight w:val="none"/>
        </w:rPr>
        <w:t>元。评价结束后，针对部分单位存在的精细化管理水平不足，绩效管理水平欠缺，合同执行力度不强，项目资料归档不规范等问题，反馈至各项目单位，要求单位认真分析原因，制定整改措施，并按要求提交整改结果。</w:t>
      </w:r>
    </w:p>
    <w:p w14:paraId="3F543B8E">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_GB2312" w:cs="仿宋_GB2312"/>
          <w:color w:val="auto"/>
          <w:sz w:val="32"/>
          <w:szCs w:val="32"/>
          <w:highlight w:val="none"/>
        </w:rPr>
      </w:pPr>
      <w:r>
        <w:rPr>
          <w:rFonts w:hint="eastAsia" w:ascii="楷体" w:hAnsi="楷体" w:eastAsia="楷体" w:cs="宋体"/>
          <w:b/>
          <w:sz w:val="32"/>
          <w:szCs w:val="32"/>
        </w:rPr>
        <w:t>（四）绩效评价结果应用。</w:t>
      </w:r>
      <w:r>
        <w:rPr>
          <w:rFonts w:hint="eastAsia" w:ascii="仿宋" w:hAnsi="仿宋" w:eastAsia="仿宋_GB2312" w:cs="仿宋_GB2312"/>
          <w:color w:val="auto"/>
          <w:sz w:val="32"/>
          <w:szCs w:val="32"/>
          <w:highlight w:val="none"/>
        </w:rPr>
        <w:t>根据自评抽查和重点绩效评价的结果，我们向预算单位发送了《预算绩效评价结果反馈意见书》，要求单位针对反馈的问题逐条整改，并将整改结果报送至绩效管理股和抄送财政局主管业务股室，以便更全面地了解项目整改情况。目前，整改结果较好，基本符合整改要求。</w:t>
      </w:r>
    </w:p>
    <w:p w14:paraId="09CF7DD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仿宋" w:hAnsi="仿宋" w:eastAsia="仿宋_GB2312" w:cs="仿宋_GB2312"/>
          <w:color w:val="auto"/>
          <w:sz w:val="32"/>
          <w:szCs w:val="32"/>
          <w:highlight w:val="none"/>
        </w:rPr>
      </w:pPr>
      <w:r>
        <w:rPr>
          <w:rFonts w:hint="eastAsia" w:ascii="仿宋" w:hAnsi="仿宋" w:eastAsia="仿宋_GB2312" w:cs="仿宋_GB2312"/>
          <w:b w:val="0"/>
          <w:bCs/>
          <w:color w:val="auto"/>
          <w:kern w:val="2"/>
          <w:sz w:val="32"/>
          <w:szCs w:val="32"/>
          <w:highlight w:val="none"/>
          <w:lang w:val="en-US" w:eastAsia="zh-CN" w:bidi="ar-SA"/>
        </w:rPr>
        <w:t xml:space="preserve">根据预算单位自评价结果和自评价抽查结果统筹安排下一年度预算。对于绩效评价结果为优的单位，财政局将予以通报表扬，并在编报下一年度预算时建议优先安排；对于绩效评价结果为良的单位，财政局将督促其限期整改所发现问题，整改情况将作为安排以后年度预算的重要参考；对于绩效评价结果为中的单位，财政原则上将在编报下一年度预算时按被评价年度预算的30%-50%进行扣减，扣减资金收回财政总预算统筹安排使用；对于绩效评价结果为差的单位，财政将在编报下一年度预算时取消相应项目支出预算安排。        </w:t>
      </w:r>
      <w:r>
        <w:rPr>
          <w:rFonts w:hint="eastAsia" w:ascii="楷体" w:hAnsi="楷体" w:eastAsia="楷体" w:cs="宋体"/>
          <w:b/>
          <w:kern w:val="2"/>
          <w:sz w:val="32"/>
          <w:szCs w:val="32"/>
          <w:lang w:val="en-US" w:eastAsia="zh-CN" w:bidi="ar-SA"/>
        </w:rPr>
        <w:t>（五）指标体系建设。</w:t>
      </w:r>
      <w:r>
        <w:rPr>
          <w:rFonts w:ascii="仿宋" w:hAnsi="仿宋" w:eastAsia="仿宋_GB2312" w:cs="仿宋_GB2312"/>
          <w:color w:val="auto"/>
          <w:sz w:val="32"/>
          <w:szCs w:val="32"/>
          <w:highlight w:val="none"/>
        </w:rPr>
        <w:t>预算绩效管理评价工作的难点在于合理制订适合项目特点的评价指标库，我局通过研究部分项目绩效指标相关设计和选用思路，合理设计绩效评价指标，</w:t>
      </w:r>
      <w:bookmarkStart w:id="3" w:name="_Toc12124"/>
      <w:r>
        <w:rPr>
          <w:rFonts w:ascii="仿宋" w:hAnsi="仿宋" w:eastAsia="仿宋_GB2312" w:cs="仿宋_GB2312"/>
          <w:color w:val="auto"/>
          <w:sz w:val="32"/>
          <w:szCs w:val="32"/>
          <w:highlight w:val="none"/>
        </w:rPr>
        <w:t>我局</w:t>
      </w:r>
      <w:bookmarkEnd w:id="3"/>
      <w:bookmarkStart w:id="4" w:name="_Toc7787"/>
      <w:r>
        <w:rPr>
          <w:rFonts w:ascii="仿宋" w:hAnsi="仿宋" w:eastAsia="仿宋_GB2312" w:cs="仿宋_GB2312"/>
          <w:color w:val="auto"/>
          <w:sz w:val="32"/>
          <w:szCs w:val="32"/>
          <w:highlight w:val="none"/>
        </w:rPr>
        <w:t>关于印发</w:t>
      </w:r>
      <w:bookmarkEnd w:id="4"/>
      <w:r>
        <w:rPr>
          <w:rFonts w:hint="eastAsia" w:ascii="仿宋" w:hAnsi="仿宋" w:eastAsia="仿宋_GB2312" w:cs="仿宋_GB2312"/>
          <w:color w:val="auto"/>
          <w:sz w:val="32"/>
          <w:szCs w:val="32"/>
          <w:highlight w:val="none"/>
          <w:lang w:eastAsia="zh-CN"/>
        </w:rPr>
        <w:t>《</w:t>
      </w:r>
      <w:r>
        <w:rPr>
          <w:rFonts w:hint="eastAsia" w:ascii="仿宋" w:hAnsi="仿宋" w:eastAsia="仿宋_GB2312" w:cs="仿宋_GB2312"/>
          <w:color w:val="auto"/>
          <w:sz w:val="32"/>
          <w:szCs w:val="32"/>
          <w:highlight w:val="none"/>
        </w:rPr>
        <w:t>新县财政局关于印发共性项目绩效指标体系和分行业分领域绩效指标体系的通知</w:t>
      </w:r>
      <w:r>
        <w:rPr>
          <w:rFonts w:hint="eastAsia" w:ascii="仿宋" w:hAnsi="仿宋" w:eastAsia="仿宋_GB2312" w:cs="仿宋_GB2312"/>
          <w:color w:val="auto"/>
          <w:sz w:val="32"/>
          <w:szCs w:val="32"/>
          <w:highlight w:val="none"/>
          <w:lang w:eastAsia="zh-CN"/>
        </w:rPr>
        <w:t>》（</w:t>
      </w:r>
      <w:r>
        <w:rPr>
          <w:rFonts w:hint="eastAsia" w:ascii="仿宋" w:hAnsi="仿宋" w:eastAsia="仿宋_GB2312" w:cs="仿宋_GB2312"/>
          <w:color w:val="auto"/>
          <w:sz w:val="32"/>
          <w:szCs w:val="32"/>
          <w:highlight w:val="none"/>
          <w:lang w:val="en-US" w:eastAsia="zh-CN"/>
        </w:rPr>
        <w:t>新财</w:t>
      </w:r>
      <w:r>
        <w:rPr>
          <w:rFonts w:hint="eastAsia" w:ascii="仿宋" w:hAnsi="仿宋" w:eastAsia="仿宋" w:cs="仿宋"/>
          <w:color w:val="auto"/>
          <w:sz w:val="32"/>
          <w:szCs w:val="32"/>
          <w:highlight w:val="none"/>
          <w:lang w:val="en-US" w:eastAsia="zh-CN"/>
        </w:rPr>
        <w:t>〔2021〕48号</w:t>
      </w:r>
      <w:r>
        <w:rPr>
          <w:rFonts w:hint="eastAsia" w:ascii="仿宋" w:hAnsi="仿宋" w:eastAsia="仿宋_GB2312" w:cs="仿宋_GB2312"/>
          <w:color w:val="auto"/>
          <w:sz w:val="32"/>
          <w:szCs w:val="32"/>
          <w:highlight w:val="none"/>
          <w:lang w:eastAsia="zh-CN"/>
        </w:rPr>
        <w:t>）</w:t>
      </w:r>
      <w:r>
        <w:rPr>
          <w:rFonts w:ascii="仿宋" w:hAnsi="仿宋" w:eastAsia="仿宋_GB2312" w:cs="仿宋_GB2312"/>
          <w:color w:val="auto"/>
          <w:sz w:val="32"/>
          <w:szCs w:val="32"/>
          <w:highlight w:val="none"/>
        </w:rPr>
        <w:t>，包含会议类、业务培训类、设备购置类、信息化建设、运维类等</w:t>
      </w:r>
      <w:r>
        <w:rPr>
          <w:rFonts w:hint="eastAsia" w:ascii="仿宋" w:hAnsi="仿宋" w:eastAsia="仿宋_GB2312" w:cs="仿宋_GB2312"/>
          <w:color w:val="auto"/>
          <w:sz w:val="32"/>
          <w:szCs w:val="32"/>
          <w:highlight w:val="none"/>
          <w:lang w:val="en-US" w:eastAsia="zh-CN"/>
        </w:rPr>
        <w:t>12</w:t>
      </w:r>
      <w:r>
        <w:rPr>
          <w:rFonts w:ascii="仿宋" w:hAnsi="仿宋" w:eastAsia="仿宋_GB2312" w:cs="仿宋_GB2312"/>
          <w:color w:val="auto"/>
          <w:sz w:val="32"/>
          <w:szCs w:val="32"/>
          <w:highlight w:val="none"/>
        </w:rPr>
        <w:t>大类共性指标体系，包含</w:t>
      </w:r>
      <w:r>
        <w:rPr>
          <w:rFonts w:hint="eastAsia" w:ascii="仿宋" w:hAnsi="仿宋" w:eastAsia="仿宋_GB2312" w:cs="仿宋_GB2312"/>
          <w:color w:val="auto"/>
          <w:sz w:val="32"/>
          <w:szCs w:val="32"/>
          <w:highlight w:val="none"/>
          <w:lang w:val="en-US" w:eastAsia="zh-CN"/>
        </w:rPr>
        <w:t>教育、社会保障和就业、医疗卫生健康</w:t>
      </w:r>
      <w:r>
        <w:rPr>
          <w:rFonts w:ascii="仿宋" w:hAnsi="仿宋" w:eastAsia="仿宋_GB2312" w:cs="仿宋_GB2312"/>
          <w:color w:val="auto"/>
          <w:sz w:val="32"/>
          <w:szCs w:val="32"/>
          <w:highlight w:val="none"/>
        </w:rPr>
        <w:t>等</w:t>
      </w:r>
      <w:r>
        <w:rPr>
          <w:rFonts w:hint="eastAsia" w:ascii="仿宋" w:hAnsi="仿宋" w:eastAsia="仿宋_GB2312" w:cs="仿宋_GB2312"/>
          <w:color w:val="auto"/>
          <w:sz w:val="32"/>
          <w:szCs w:val="32"/>
          <w:highlight w:val="none"/>
          <w:lang w:val="en-US" w:eastAsia="zh-CN"/>
        </w:rPr>
        <w:t>11</w:t>
      </w:r>
      <w:r>
        <w:rPr>
          <w:rFonts w:ascii="仿宋" w:hAnsi="仿宋" w:eastAsia="仿宋_GB2312" w:cs="仿宋_GB2312"/>
          <w:color w:val="auto"/>
          <w:sz w:val="32"/>
          <w:szCs w:val="32"/>
          <w:highlight w:val="none"/>
        </w:rPr>
        <w:t>大类分行业指标体系。同时要求预算单位制定本部门的共性、个性指标体系。</w:t>
      </w:r>
    </w:p>
    <w:p w14:paraId="4BC80FE3">
      <w:pPr>
        <w:ind w:firstLine="643" w:firstLineChars="200"/>
        <w:rPr>
          <w:rFonts w:hint="eastAsia" w:ascii="仿宋" w:hAnsi="仿宋" w:eastAsia="仿宋" w:cs="仿宋"/>
          <w:sz w:val="32"/>
          <w:szCs w:val="40"/>
        </w:rPr>
      </w:pPr>
      <w:r>
        <w:rPr>
          <w:rFonts w:hint="eastAsia" w:ascii="楷体" w:hAnsi="楷体" w:eastAsia="楷体" w:cs="宋体"/>
          <w:b/>
          <w:sz w:val="32"/>
          <w:szCs w:val="32"/>
        </w:rPr>
        <w:t>（</w:t>
      </w:r>
      <w:r>
        <w:rPr>
          <w:rFonts w:hint="eastAsia" w:ascii="楷体" w:hAnsi="楷体" w:eastAsia="楷体" w:cs="宋体"/>
          <w:b/>
          <w:sz w:val="32"/>
          <w:szCs w:val="32"/>
          <w:lang w:val="en-US" w:eastAsia="zh-CN"/>
        </w:rPr>
        <w:t>六</w:t>
      </w:r>
      <w:r>
        <w:rPr>
          <w:rFonts w:hint="eastAsia" w:ascii="楷体" w:hAnsi="楷体" w:eastAsia="楷体" w:cs="宋体"/>
          <w:b/>
          <w:sz w:val="32"/>
          <w:szCs w:val="32"/>
        </w:rPr>
        <w:t>）第三方机构预算绩效评价业务监督管理与预算绩效评价第三方机构信用管理平台运行情况。</w:t>
      </w:r>
      <w:r>
        <w:rPr>
          <w:rFonts w:hint="eastAsia" w:ascii="仿宋_GB2312" w:hAnsi="仿宋_GB2312" w:eastAsia="仿宋_GB2312" w:cs="仿宋_GB2312"/>
          <w:sz w:val="32"/>
          <w:szCs w:val="40"/>
          <w:lang w:val="en-US" w:eastAsia="zh-CN"/>
        </w:rPr>
        <w:t>新</w:t>
      </w:r>
      <w:r>
        <w:rPr>
          <w:rFonts w:hint="eastAsia" w:ascii="仿宋_GB2312" w:hAnsi="仿宋_GB2312" w:eastAsia="仿宋_GB2312" w:cs="仿宋_GB2312"/>
          <w:sz w:val="32"/>
          <w:szCs w:val="40"/>
        </w:rPr>
        <w:t>县财政局在开展预算绩效管理工作中，注重加强第三方机构参与预算绩效管理工作质量管控，充分发挥第三方中介机构在预算绩效管理工作中的“得力助手”及“重要参谋”作用。依法择优确定委托第三方机构，加强对第三方机构参与预算绩效管理工作方案、队伍组建、时间安排、评价指标、抽查覆盖面等方面审核把关，明确专人负责对第三方机构工作开展情况进行跟踪监管，及时协调解决工作组在沟通联系、资料收集、现场核查、征求意见等环节遇到问题及困难。加强对第三方机构提交的工作报告审核把关，并对第三方机构工作实施和业务质量情况进行验收考核，考核结果与委托服务费用挂钩。</w:t>
      </w:r>
      <w:r>
        <w:rPr>
          <w:rFonts w:hint="eastAsia" w:ascii="仿宋_GB2312" w:hAnsi="仿宋_GB2312" w:eastAsia="仿宋_GB2312" w:cs="仿宋_GB2312"/>
          <w:sz w:val="32"/>
          <w:szCs w:val="40"/>
          <w:lang w:val="en-US" w:eastAsia="zh-CN"/>
        </w:rPr>
        <w:t>新</w:t>
      </w:r>
      <w:r>
        <w:rPr>
          <w:rFonts w:hint="eastAsia" w:ascii="仿宋_GB2312" w:hAnsi="仿宋_GB2312" w:eastAsia="仿宋_GB2312" w:cs="仿宋_GB2312"/>
          <w:sz w:val="32"/>
          <w:szCs w:val="40"/>
        </w:rPr>
        <w:t>县财政局以“预算绩效评价第三方机构信用管理平台”上线运行为契机，积极组织引导辖区内预算绩效评价第三方机构注册填报相关信息，加强信息审核，及时全面掌握辖区内预算绩效评价第三方机构情况，利用信息技术手段，加强对第三方机构参与绩效评价业务线上监管。</w:t>
      </w:r>
    </w:p>
    <w:p w14:paraId="174BDB6B">
      <w:pPr>
        <w:adjustRightInd w:val="0"/>
        <w:snapToGrid w:val="0"/>
        <w:spacing w:line="560" w:lineRule="exact"/>
        <w:ind w:firstLine="643" w:firstLineChars="200"/>
        <w:rPr>
          <w:rFonts w:ascii="仿宋" w:hAnsi="仿宋" w:eastAsia="仿宋_GB2312" w:cs="仿宋_GB2312"/>
          <w:color w:val="auto"/>
          <w:sz w:val="32"/>
          <w:szCs w:val="32"/>
          <w:highlight w:val="none"/>
        </w:rPr>
      </w:pPr>
      <w:r>
        <w:rPr>
          <w:rFonts w:hint="eastAsia" w:ascii="楷体" w:hAnsi="楷体" w:eastAsia="楷体" w:cs="宋体"/>
          <w:b/>
          <w:sz w:val="32"/>
          <w:szCs w:val="32"/>
        </w:rPr>
        <w:t>（</w:t>
      </w:r>
      <w:r>
        <w:rPr>
          <w:rFonts w:hint="eastAsia" w:ascii="楷体" w:hAnsi="楷体" w:eastAsia="楷体" w:cs="宋体"/>
          <w:b/>
          <w:sz w:val="32"/>
          <w:szCs w:val="32"/>
          <w:lang w:val="en-US" w:eastAsia="zh-CN"/>
        </w:rPr>
        <w:t>七</w:t>
      </w:r>
      <w:r>
        <w:rPr>
          <w:rFonts w:hint="eastAsia" w:ascii="楷体" w:hAnsi="楷体" w:eastAsia="楷体" w:cs="宋体"/>
          <w:b/>
          <w:sz w:val="32"/>
          <w:szCs w:val="32"/>
        </w:rPr>
        <w:t>）信息化建设。</w:t>
      </w:r>
      <w:r>
        <w:rPr>
          <w:rFonts w:hint="eastAsia" w:ascii="仿宋" w:hAnsi="仿宋" w:eastAsia="仿宋_GB2312" w:cs="仿宋_GB2312"/>
          <w:color w:val="auto"/>
          <w:sz w:val="32"/>
          <w:szCs w:val="32"/>
          <w:highlight w:val="none"/>
        </w:rPr>
        <w:t>自202</w:t>
      </w:r>
      <w:r>
        <w:rPr>
          <w:rFonts w:hint="eastAsia" w:ascii="仿宋" w:hAnsi="仿宋" w:eastAsia="仿宋_GB2312" w:cs="仿宋_GB2312"/>
          <w:color w:val="auto"/>
          <w:sz w:val="32"/>
          <w:szCs w:val="32"/>
          <w:highlight w:val="none"/>
          <w:lang w:val="en-US" w:eastAsia="zh-CN"/>
        </w:rPr>
        <w:t>1</w:t>
      </w:r>
      <w:r>
        <w:rPr>
          <w:rFonts w:hint="eastAsia" w:ascii="仿宋" w:hAnsi="仿宋" w:eastAsia="仿宋_GB2312" w:cs="仿宋_GB2312"/>
          <w:color w:val="auto"/>
          <w:sz w:val="32"/>
          <w:szCs w:val="32"/>
          <w:highlight w:val="none"/>
        </w:rPr>
        <w:t>年以来，我县全面上线预算一体化系统，实现了预算绩效管理工作的全流程信息化管理，包括填报、审核和批复等环节。</w:t>
      </w:r>
    </w:p>
    <w:p w14:paraId="25AC8F83">
      <w:pPr>
        <w:ind w:firstLine="640" w:firstLineChars="200"/>
        <w:jc w:val="left"/>
        <w:rPr>
          <w:rFonts w:hint="eastAsia" w:ascii="黑体" w:hAnsi="黑体" w:eastAsia="黑体" w:cs="宋体"/>
          <w:sz w:val="32"/>
          <w:szCs w:val="32"/>
        </w:rPr>
      </w:pPr>
      <w:r>
        <w:rPr>
          <w:rFonts w:hint="eastAsia" w:ascii="黑体" w:hAnsi="黑体" w:eastAsia="黑体" w:cs="宋体"/>
          <w:sz w:val="32"/>
          <w:szCs w:val="32"/>
        </w:rPr>
        <w:t>二、存在问题</w:t>
      </w:r>
    </w:p>
    <w:p w14:paraId="0A5E9D4E">
      <w:pPr>
        <w:adjustRightInd w:val="0"/>
        <w:snapToGrid w:val="0"/>
        <w:spacing w:line="560" w:lineRule="exact"/>
        <w:ind w:firstLine="640" w:firstLineChars="200"/>
        <w:rPr>
          <w:rFonts w:ascii="仿宋" w:hAnsi="仿宋" w:eastAsia="仿宋_GB2312" w:cs="仿宋_GB2312"/>
          <w:color w:val="auto"/>
          <w:sz w:val="32"/>
          <w:szCs w:val="32"/>
          <w:highlight w:val="none"/>
        </w:rPr>
      </w:pPr>
      <w:r>
        <w:rPr>
          <w:rFonts w:hint="eastAsia" w:ascii="仿宋" w:hAnsi="仿宋" w:eastAsia="仿宋_GB2312" w:cs="仿宋_GB2312"/>
          <w:color w:val="auto"/>
          <w:sz w:val="32"/>
          <w:szCs w:val="32"/>
          <w:highlight w:val="none"/>
          <w:lang w:eastAsia="zh-CN"/>
        </w:rPr>
        <w:t>（</w:t>
      </w:r>
      <w:r>
        <w:rPr>
          <w:rFonts w:hint="eastAsia" w:ascii="仿宋" w:hAnsi="仿宋" w:eastAsia="仿宋_GB2312" w:cs="仿宋_GB2312"/>
          <w:color w:val="auto"/>
          <w:sz w:val="32"/>
          <w:szCs w:val="32"/>
          <w:highlight w:val="none"/>
          <w:lang w:val="en-US" w:eastAsia="zh-CN"/>
        </w:rPr>
        <w:t>一</w:t>
      </w:r>
      <w:r>
        <w:rPr>
          <w:rFonts w:hint="eastAsia" w:ascii="仿宋" w:hAnsi="仿宋" w:eastAsia="仿宋_GB2312" w:cs="仿宋_GB2312"/>
          <w:color w:val="auto"/>
          <w:sz w:val="32"/>
          <w:szCs w:val="32"/>
          <w:highlight w:val="none"/>
          <w:lang w:eastAsia="zh-CN"/>
        </w:rPr>
        <w:t>）</w:t>
      </w:r>
      <w:r>
        <w:rPr>
          <w:rFonts w:hint="eastAsia" w:ascii="仿宋" w:hAnsi="仿宋" w:eastAsia="仿宋_GB2312" w:cs="仿宋_GB2312"/>
          <w:color w:val="auto"/>
          <w:sz w:val="32"/>
          <w:szCs w:val="32"/>
          <w:highlight w:val="none"/>
        </w:rPr>
        <w:t>绩效目标存在问题</w:t>
      </w:r>
    </w:p>
    <w:p w14:paraId="6D0CB20B">
      <w:pPr>
        <w:adjustRightInd w:val="0"/>
        <w:snapToGrid w:val="0"/>
        <w:spacing w:line="560" w:lineRule="exact"/>
        <w:ind w:firstLine="640" w:firstLineChars="200"/>
        <w:rPr>
          <w:rFonts w:ascii="仿宋" w:hAnsi="仿宋" w:eastAsia="仿宋_GB2312" w:cs="仿宋_GB2312"/>
          <w:color w:val="auto"/>
          <w:sz w:val="32"/>
          <w:szCs w:val="32"/>
          <w:highlight w:val="none"/>
        </w:rPr>
      </w:pPr>
      <w:r>
        <w:rPr>
          <w:rFonts w:hint="eastAsia" w:ascii="仿宋" w:hAnsi="仿宋" w:eastAsia="仿宋_GB2312" w:cs="仿宋_GB2312"/>
          <w:color w:val="auto"/>
          <w:sz w:val="32"/>
          <w:szCs w:val="32"/>
          <w:highlight w:val="none"/>
        </w:rPr>
        <w:t>一是指标编制缺项，年度目标复制项目名称或描述内容不够完整。二是项目基础信息填报不完整、不准确。三是产出指标设置不够合理，可考核性不强。四是效益类指标设置内容与项目贴合度不高、个性化不强、指标值不够量化。五是满意度指标的对象不明确，指标值不量化。六是符号错误，大于、小于号写反。七是指标模糊，大多采用“完成率100%”，任务不够明细。八是指标值与指标逻辑不对应。</w:t>
      </w:r>
    </w:p>
    <w:p w14:paraId="19D91C26">
      <w:pPr>
        <w:adjustRightInd w:val="0"/>
        <w:snapToGrid w:val="0"/>
        <w:spacing w:line="560" w:lineRule="exact"/>
        <w:ind w:firstLine="640" w:firstLineChars="200"/>
        <w:rPr>
          <w:rFonts w:ascii="仿宋" w:hAnsi="仿宋" w:eastAsia="仿宋_GB2312" w:cs="仿宋_GB2312"/>
          <w:color w:val="auto"/>
          <w:sz w:val="32"/>
          <w:szCs w:val="32"/>
          <w:highlight w:val="none"/>
        </w:rPr>
      </w:pPr>
      <w:r>
        <w:rPr>
          <w:rFonts w:hint="eastAsia" w:ascii="仿宋" w:hAnsi="仿宋" w:eastAsia="仿宋_GB2312" w:cs="仿宋_GB2312"/>
          <w:color w:val="auto"/>
          <w:sz w:val="32"/>
          <w:szCs w:val="32"/>
          <w:highlight w:val="none"/>
        </w:rPr>
        <w:t>（</w:t>
      </w:r>
      <w:r>
        <w:rPr>
          <w:rFonts w:hint="eastAsia" w:ascii="仿宋" w:hAnsi="仿宋" w:eastAsia="仿宋_GB2312" w:cs="仿宋_GB2312"/>
          <w:color w:val="auto"/>
          <w:sz w:val="32"/>
          <w:szCs w:val="32"/>
          <w:highlight w:val="none"/>
          <w:lang w:val="en-US" w:eastAsia="zh-CN"/>
        </w:rPr>
        <w:t>二</w:t>
      </w:r>
      <w:r>
        <w:rPr>
          <w:rFonts w:hint="eastAsia" w:ascii="仿宋" w:hAnsi="仿宋" w:eastAsia="仿宋_GB2312" w:cs="仿宋_GB2312"/>
          <w:color w:val="auto"/>
          <w:sz w:val="32"/>
          <w:szCs w:val="32"/>
          <w:highlight w:val="none"/>
        </w:rPr>
        <w:t>）绩效监控存在问题</w:t>
      </w:r>
    </w:p>
    <w:p w14:paraId="71AB6185">
      <w:pPr>
        <w:adjustRightInd w:val="0"/>
        <w:snapToGrid w:val="0"/>
        <w:spacing w:line="560" w:lineRule="exact"/>
        <w:ind w:firstLine="640" w:firstLineChars="200"/>
        <w:rPr>
          <w:rFonts w:ascii="仿宋" w:hAnsi="仿宋" w:eastAsia="仿宋_GB2312" w:cs="仿宋_GB2312"/>
          <w:color w:val="auto"/>
          <w:sz w:val="32"/>
          <w:szCs w:val="32"/>
          <w:highlight w:val="none"/>
        </w:rPr>
      </w:pPr>
      <w:r>
        <w:rPr>
          <w:rFonts w:hint="eastAsia" w:ascii="仿宋" w:hAnsi="仿宋" w:eastAsia="仿宋_GB2312" w:cs="仿宋_GB2312"/>
          <w:color w:val="auto"/>
          <w:sz w:val="32"/>
          <w:szCs w:val="32"/>
          <w:highlight w:val="none"/>
        </w:rPr>
        <w:t>一是部分部门绩效管理工作仅财务人员参与，项目实施人员未参与，监控数据真实性有待提高。二是部分单位对监控依据未进行取证留档，监控填报数据的佐证资料不够充分。三是部分单位依据年度指标值填报数据，与实际不符。四是对项目存在的问题分析不深入，不能客观面对实际存在的问题。</w:t>
      </w:r>
    </w:p>
    <w:p w14:paraId="1F528EC6">
      <w:pPr>
        <w:adjustRightInd w:val="0"/>
        <w:snapToGrid w:val="0"/>
        <w:spacing w:line="560" w:lineRule="exact"/>
        <w:ind w:firstLine="640" w:firstLineChars="200"/>
        <w:rPr>
          <w:rFonts w:ascii="仿宋" w:hAnsi="仿宋" w:eastAsia="仿宋_GB2312" w:cs="仿宋_GB2312"/>
          <w:color w:val="auto"/>
          <w:sz w:val="32"/>
          <w:szCs w:val="32"/>
          <w:highlight w:val="none"/>
        </w:rPr>
      </w:pPr>
      <w:r>
        <w:rPr>
          <w:rFonts w:hint="eastAsia" w:ascii="仿宋" w:hAnsi="仿宋" w:eastAsia="仿宋_GB2312" w:cs="仿宋_GB2312"/>
          <w:color w:val="auto"/>
          <w:sz w:val="32"/>
          <w:szCs w:val="32"/>
          <w:highlight w:val="none"/>
        </w:rPr>
        <w:t>（</w:t>
      </w:r>
      <w:r>
        <w:rPr>
          <w:rFonts w:hint="eastAsia" w:ascii="仿宋" w:hAnsi="仿宋" w:eastAsia="仿宋_GB2312" w:cs="仿宋_GB2312"/>
          <w:color w:val="auto"/>
          <w:sz w:val="32"/>
          <w:szCs w:val="32"/>
          <w:highlight w:val="none"/>
          <w:lang w:val="en-US" w:eastAsia="zh-CN"/>
        </w:rPr>
        <w:t>三</w:t>
      </w:r>
      <w:r>
        <w:rPr>
          <w:rFonts w:hint="eastAsia" w:ascii="仿宋" w:hAnsi="仿宋" w:eastAsia="仿宋_GB2312" w:cs="仿宋_GB2312"/>
          <w:color w:val="auto"/>
          <w:sz w:val="32"/>
          <w:szCs w:val="32"/>
          <w:highlight w:val="none"/>
        </w:rPr>
        <w:t>）绩效评价存在问题</w:t>
      </w:r>
    </w:p>
    <w:p w14:paraId="19097AEE">
      <w:pPr>
        <w:adjustRightInd w:val="0"/>
        <w:snapToGrid w:val="0"/>
        <w:spacing w:line="560" w:lineRule="exact"/>
        <w:ind w:firstLine="640" w:firstLineChars="200"/>
        <w:rPr>
          <w:rFonts w:ascii="仿宋" w:hAnsi="仿宋" w:eastAsia="仿宋" w:cs="仿宋"/>
          <w:color w:val="auto"/>
          <w:sz w:val="32"/>
          <w:szCs w:val="32"/>
          <w:highlight w:val="none"/>
        </w:rPr>
      </w:pPr>
      <w:r>
        <w:rPr>
          <w:rFonts w:hint="eastAsia" w:ascii="仿宋" w:hAnsi="仿宋" w:eastAsia="仿宋_GB2312" w:cs="仿宋_GB2312"/>
          <w:color w:val="auto"/>
          <w:sz w:val="32"/>
          <w:szCs w:val="32"/>
          <w:highlight w:val="none"/>
        </w:rPr>
        <w:t>一是自评工作质量欠佳，佐证资料不充分，对项目的完成情况、指标的完成情况缺乏深入的分析。二是项目自评提到的问题及原因不够深入，预算单位对自评中遇到的失分点，未深入挖掘存在的原因，大多以财政资金未拨付作为项目未完成的原因说明，同时也没有提出进一步改进措施。三是注重分值，忽略项目真实状况，单位按照实际完成值填报时，系统提示偏差并进行扣分后，部分单位往往注重带来的后续影响是什么，随即按照满分值进行填报。四是自评结果难以得到应用，当前财政吃紧情况，评分低的项目基本为资金执行率低的项目，下一年度的预算很难参考评价结果。</w:t>
      </w:r>
    </w:p>
    <w:p w14:paraId="01E4C123">
      <w:pPr>
        <w:numPr>
          <w:ilvl w:val="0"/>
          <w:numId w:val="1"/>
        </w:numPr>
        <w:adjustRightInd w:val="0"/>
        <w:snapToGrid w:val="0"/>
        <w:spacing w:line="560" w:lineRule="exact"/>
        <w:ind w:firstLine="640" w:firstLineChars="200"/>
        <w:jc w:val="left"/>
        <w:rPr>
          <w:rFonts w:hint="eastAsia" w:ascii="黑体" w:hAnsi="黑体" w:eastAsia="黑体" w:cs="宋体"/>
          <w:sz w:val="32"/>
          <w:szCs w:val="32"/>
          <w:lang w:val="en-US" w:eastAsia="zh-CN"/>
        </w:rPr>
      </w:pPr>
      <w:r>
        <w:rPr>
          <w:rFonts w:hint="eastAsia" w:ascii="黑体" w:hAnsi="黑体" w:eastAsia="黑体" w:cs="宋体"/>
          <w:sz w:val="32"/>
          <w:szCs w:val="32"/>
          <w:lang w:val="en-US" w:eastAsia="zh-CN"/>
        </w:rPr>
        <w:t>下一步改进建议</w:t>
      </w:r>
    </w:p>
    <w:p w14:paraId="48CCDC12">
      <w:pPr>
        <w:numPr>
          <w:numId w:val="0"/>
        </w:numPr>
        <w:adjustRightInd w:val="0"/>
        <w:snapToGrid w:val="0"/>
        <w:spacing w:line="560" w:lineRule="exact"/>
        <w:ind w:firstLine="640" w:firstLineChars="200"/>
        <w:jc w:val="left"/>
        <w:rPr>
          <w:rFonts w:ascii="仿宋" w:hAnsi="仿宋" w:eastAsia="仿宋_GB2312" w:cs="仿宋"/>
          <w:color w:val="auto"/>
          <w:sz w:val="32"/>
          <w:szCs w:val="32"/>
          <w:highlight w:val="none"/>
        </w:rPr>
      </w:pPr>
      <w:r>
        <w:rPr>
          <w:rFonts w:hint="eastAsia" w:ascii="仿宋" w:hAnsi="仿宋" w:eastAsia="仿宋_GB2312" w:cs="仿宋"/>
          <w:color w:val="auto"/>
          <w:sz w:val="32"/>
          <w:szCs w:val="32"/>
          <w:highlight w:val="none"/>
          <w:lang w:eastAsia="zh-CN"/>
        </w:rPr>
        <w:t>（</w:t>
      </w:r>
      <w:r>
        <w:rPr>
          <w:rFonts w:hint="eastAsia" w:ascii="仿宋" w:hAnsi="仿宋" w:eastAsia="仿宋_GB2312" w:cs="仿宋"/>
          <w:color w:val="auto"/>
          <w:sz w:val="32"/>
          <w:szCs w:val="32"/>
          <w:highlight w:val="none"/>
          <w:lang w:val="en-US" w:eastAsia="zh-CN"/>
        </w:rPr>
        <w:t>一</w:t>
      </w:r>
      <w:r>
        <w:rPr>
          <w:rFonts w:hint="eastAsia" w:ascii="仿宋" w:hAnsi="仿宋" w:eastAsia="仿宋_GB2312" w:cs="仿宋"/>
          <w:color w:val="auto"/>
          <w:sz w:val="32"/>
          <w:szCs w:val="32"/>
          <w:highlight w:val="none"/>
          <w:lang w:eastAsia="zh-CN"/>
        </w:rPr>
        <w:t>）</w:t>
      </w:r>
      <w:r>
        <w:rPr>
          <w:rFonts w:ascii="仿宋" w:hAnsi="仿宋" w:eastAsia="仿宋_GB2312" w:cs="仿宋"/>
          <w:color w:val="auto"/>
          <w:sz w:val="32"/>
          <w:szCs w:val="32"/>
          <w:highlight w:val="none"/>
        </w:rPr>
        <w:t>明确责任主体，多措并举，主动提升绩效理念和意识</w:t>
      </w:r>
    </w:p>
    <w:p w14:paraId="796BAE90">
      <w:pPr>
        <w:adjustRightInd w:val="0"/>
        <w:snapToGrid w:val="0"/>
        <w:spacing w:line="560" w:lineRule="exact"/>
        <w:ind w:firstLine="640" w:firstLineChars="200"/>
        <w:jc w:val="left"/>
        <w:rPr>
          <w:rFonts w:ascii="仿宋" w:hAnsi="仿宋" w:eastAsia="仿宋_GB2312" w:cs="仿宋"/>
          <w:color w:val="auto"/>
          <w:sz w:val="32"/>
          <w:szCs w:val="32"/>
          <w:highlight w:val="none"/>
        </w:rPr>
      </w:pPr>
      <w:r>
        <w:rPr>
          <w:rFonts w:ascii="仿宋" w:hAnsi="仿宋" w:eastAsia="仿宋_GB2312" w:cs="仿宋"/>
          <w:color w:val="auto"/>
          <w:sz w:val="32"/>
          <w:szCs w:val="32"/>
          <w:highlight w:val="none"/>
        </w:rPr>
        <w:t>一是采取集中培训、媒体宣传等方式，强化财政部门、各职能部门、单位人员预算绩效管理知识的学习，提升绩效管理知识水平。二是部门应结合部门职能职责，建立个性化指标体系，将整体绩效目标细化分解为具体的工作任务，设置具体、合理的三级绩效指标，并通过清晰、可衡量的指标值予以体现，同时明确具体的指标值，指标值应符合年度计划、目标任务。三是按照新《中华人民共和国预算法》的要求，逐步加大预算绩效管理信息向社会公开的力度，借助社会公众监督，倒逼工作的开展。</w:t>
      </w:r>
    </w:p>
    <w:p w14:paraId="20693473">
      <w:pPr>
        <w:adjustRightInd w:val="0"/>
        <w:snapToGrid w:val="0"/>
        <w:spacing w:line="560" w:lineRule="exact"/>
        <w:ind w:firstLine="640" w:firstLineChars="200"/>
        <w:jc w:val="left"/>
        <w:rPr>
          <w:rFonts w:ascii="仿宋" w:hAnsi="仿宋" w:eastAsia="仿宋_GB2312" w:cs="仿宋"/>
          <w:color w:val="auto"/>
          <w:sz w:val="32"/>
          <w:szCs w:val="32"/>
          <w:highlight w:val="none"/>
        </w:rPr>
      </w:pPr>
      <w:r>
        <w:rPr>
          <w:rFonts w:ascii="仿宋" w:hAnsi="仿宋" w:eastAsia="仿宋_GB2312" w:cs="仿宋"/>
          <w:color w:val="auto"/>
          <w:sz w:val="32"/>
          <w:szCs w:val="32"/>
          <w:highlight w:val="none"/>
        </w:rPr>
        <w:t>（</w:t>
      </w:r>
      <w:r>
        <w:rPr>
          <w:rFonts w:hint="eastAsia" w:ascii="仿宋" w:hAnsi="仿宋" w:eastAsia="仿宋_GB2312" w:cs="仿宋"/>
          <w:color w:val="auto"/>
          <w:sz w:val="32"/>
          <w:szCs w:val="32"/>
          <w:highlight w:val="none"/>
          <w:lang w:val="en-US" w:eastAsia="zh-CN"/>
        </w:rPr>
        <w:t>二</w:t>
      </w:r>
      <w:r>
        <w:rPr>
          <w:rFonts w:ascii="仿宋" w:hAnsi="仿宋" w:eastAsia="仿宋_GB2312" w:cs="仿宋"/>
          <w:color w:val="auto"/>
          <w:sz w:val="32"/>
          <w:szCs w:val="32"/>
          <w:highlight w:val="none"/>
        </w:rPr>
        <w:t>）增强绩效管理意识，完善自评工作质量</w:t>
      </w:r>
    </w:p>
    <w:p w14:paraId="3D3222F9">
      <w:pPr>
        <w:adjustRightInd w:val="0"/>
        <w:snapToGrid w:val="0"/>
        <w:spacing w:line="560" w:lineRule="exact"/>
        <w:ind w:firstLine="640" w:firstLineChars="200"/>
        <w:jc w:val="left"/>
        <w:rPr>
          <w:rFonts w:ascii="仿宋" w:hAnsi="仿宋" w:eastAsia="仿宋_GB2312" w:cs="仿宋"/>
          <w:color w:val="auto"/>
          <w:sz w:val="32"/>
          <w:szCs w:val="32"/>
          <w:highlight w:val="none"/>
        </w:rPr>
      </w:pPr>
      <w:r>
        <w:rPr>
          <w:rFonts w:ascii="仿宋" w:hAnsi="仿宋" w:eastAsia="仿宋_GB2312" w:cs="仿宋"/>
          <w:color w:val="auto"/>
          <w:sz w:val="32"/>
          <w:szCs w:val="32"/>
          <w:highlight w:val="none"/>
        </w:rPr>
        <w:t>建议预算单位重视绩效监控、自评工作，加强绩效意识，按照政策要求自行成立自评工作组，明确责任分工，项目自评价时，必须要求项目负责人参与，在项目前期准备阶段和实施过程中，注意项目绩效设置和完成情况的相关佐证材料收集工作，注意归纳整理项目实施的数据统计、项目文件等材料，以便佐证相关绩效目标的设置及实现程度。</w:t>
      </w:r>
    </w:p>
    <w:p w14:paraId="289B749D">
      <w:pPr>
        <w:adjustRightInd w:val="0"/>
        <w:snapToGrid w:val="0"/>
        <w:spacing w:line="560" w:lineRule="exact"/>
        <w:ind w:firstLine="640" w:firstLineChars="200"/>
        <w:jc w:val="left"/>
        <w:rPr>
          <w:rFonts w:ascii="仿宋" w:hAnsi="仿宋" w:eastAsia="仿宋_GB2312" w:cs="仿宋"/>
          <w:color w:val="auto"/>
          <w:sz w:val="32"/>
          <w:szCs w:val="32"/>
          <w:highlight w:val="none"/>
        </w:rPr>
      </w:pPr>
      <w:r>
        <w:rPr>
          <w:rFonts w:ascii="仿宋" w:hAnsi="仿宋" w:eastAsia="仿宋_GB2312" w:cs="仿宋"/>
          <w:color w:val="auto"/>
          <w:sz w:val="32"/>
          <w:szCs w:val="32"/>
          <w:highlight w:val="none"/>
        </w:rPr>
        <w:t>（</w:t>
      </w:r>
      <w:r>
        <w:rPr>
          <w:rFonts w:hint="eastAsia" w:ascii="仿宋" w:hAnsi="仿宋" w:eastAsia="仿宋_GB2312" w:cs="仿宋"/>
          <w:color w:val="auto"/>
          <w:sz w:val="32"/>
          <w:szCs w:val="32"/>
          <w:highlight w:val="none"/>
          <w:lang w:val="en-US" w:eastAsia="zh-CN"/>
        </w:rPr>
        <w:t>三</w:t>
      </w:r>
      <w:r>
        <w:rPr>
          <w:rFonts w:ascii="仿宋" w:hAnsi="仿宋" w:eastAsia="仿宋_GB2312" w:cs="仿宋"/>
          <w:color w:val="auto"/>
          <w:sz w:val="32"/>
          <w:szCs w:val="32"/>
          <w:highlight w:val="none"/>
        </w:rPr>
        <w:t>）提升项目管理和绩效监控水平的综合措施</w:t>
      </w:r>
    </w:p>
    <w:p w14:paraId="338200BF">
      <w:pPr>
        <w:adjustRightInd w:val="0"/>
        <w:snapToGrid w:val="0"/>
        <w:spacing w:line="560" w:lineRule="exact"/>
        <w:ind w:firstLine="640" w:firstLineChars="200"/>
        <w:jc w:val="left"/>
        <w:rPr>
          <w:rFonts w:hint="eastAsia" w:ascii="黑体" w:hAnsi="黑体" w:eastAsia="黑体" w:cs="宋体"/>
          <w:sz w:val="32"/>
          <w:szCs w:val="32"/>
          <w:lang w:val="en-US" w:eastAsia="zh-CN"/>
        </w:rPr>
      </w:pPr>
      <w:r>
        <w:rPr>
          <w:rFonts w:ascii="仿宋" w:hAnsi="仿宋" w:eastAsia="仿宋_GB2312" w:cs="仿宋"/>
          <w:color w:val="auto"/>
          <w:sz w:val="32"/>
          <w:szCs w:val="32"/>
          <w:highlight w:val="none"/>
        </w:rPr>
        <w:t>一是建立问题反馈和解决机制。鼓励各单位在填报过程中如实反映项目实施中的问题，设立专门的问题收集渠道，如电子邮箱、电话热线等，组织专人和相关部门对收集到的问题进行深入分析，找出问题的根源和解决方案。二是强化绩效评</w:t>
      </w:r>
      <w:r>
        <w:rPr>
          <w:rFonts w:hint="eastAsia" w:ascii="仿宋" w:hAnsi="仿宋" w:eastAsia="仿宋_GB2312" w:cs="仿宋"/>
          <w:color w:val="auto"/>
          <w:sz w:val="32"/>
          <w:szCs w:val="32"/>
          <w:highlight w:val="none"/>
          <w:lang w:val="en-US" w:eastAsia="zh-CN"/>
        </w:rPr>
        <w:t>价</w:t>
      </w:r>
      <w:r>
        <w:rPr>
          <w:rFonts w:ascii="仿宋" w:hAnsi="仿宋" w:eastAsia="仿宋_GB2312" w:cs="仿宋"/>
          <w:color w:val="auto"/>
          <w:sz w:val="32"/>
          <w:szCs w:val="32"/>
          <w:highlight w:val="none"/>
        </w:rPr>
        <w:t>和考核。将项目实际执行情况和问题分析情况纳入绩效</w:t>
      </w:r>
      <w:r>
        <w:rPr>
          <w:rFonts w:hint="eastAsia" w:ascii="仿宋" w:hAnsi="仿宋" w:eastAsia="仿宋_GB2312" w:cs="仿宋"/>
          <w:color w:val="auto"/>
          <w:sz w:val="32"/>
          <w:szCs w:val="32"/>
          <w:highlight w:val="none"/>
          <w:lang w:val="en-US" w:eastAsia="zh-CN"/>
        </w:rPr>
        <w:t>评价</w:t>
      </w:r>
      <w:r>
        <w:rPr>
          <w:rFonts w:ascii="仿宋" w:hAnsi="仿宋" w:eastAsia="仿宋_GB2312" w:cs="仿宋"/>
          <w:color w:val="auto"/>
          <w:sz w:val="32"/>
          <w:szCs w:val="32"/>
          <w:highlight w:val="none"/>
        </w:rPr>
        <w:t>体系，作为考核的重要依据。通过绩效评</w:t>
      </w:r>
      <w:r>
        <w:rPr>
          <w:rFonts w:hint="eastAsia" w:ascii="仿宋" w:hAnsi="仿宋" w:eastAsia="仿宋_GB2312" w:cs="仿宋"/>
          <w:color w:val="auto"/>
          <w:sz w:val="32"/>
          <w:szCs w:val="32"/>
          <w:highlight w:val="none"/>
          <w:lang w:val="en-US" w:eastAsia="zh-CN"/>
        </w:rPr>
        <w:t>价</w:t>
      </w:r>
      <w:r>
        <w:rPr>
          <w:rFonts w:ascii="仿宋" w:hAnsi="仿宋" w:eastAsia="仿宋_GB2312" w:cs="仿宋"/>
          <w:color w:val="auto"/>
          <w:sz w:val="32"/>
          <w:szCs w:val="32"/>
          <w:highlight w:val="none"/>
        </w:rPr>
        <w:t>，总结经验教训，持续改进项目管理和绩效管理工作，提高整体管理水平。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2F534"/>
    <w:multiLevelType w:val="singleLevel"/>
    <w:tmpl w:val="9582F53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wMmY3M2Y5YjE0MDNkNDkxOGUxMjNiZmNiYzZjZTgifQ=="/>
    <w:docVar w:name="KSO_WPS_MARK_KEY" w:val="7be9567f-fb4e-45a8-87d8-8d7e4c43480f"/>
  </w:docVars>
  <w:rsids>
    <w:rsidRoot w:val="14DC0CBF"/>
    <w:rsid w:val="08EB30F3"/>
    <w:rsid w:val="0CD40F58"/>
    <w:rsid w:val="0FBA381F"/>
    <w:rsid w:val="14DC0CBF"/>
    <w:rsid w:val="19A302C9"/>
    <w:rsid w:val="1FD837FF"/>
    <w:rsid w:val="20A95FBC"/>
    <w:rsid w:val="213B268A"/>
    <w:rsid w:val="26B4291F"/>
    <w:rsid w:val="30F42C13"/>
    <w:rsid w:val="345754CE"/>
    <w:rsid w:val="3EB412B6"/>
    <w:rsid w:val="42F51FEF"/>
    <w:rsid w:val="463041C7"/>
    <w:rsid w:val="48C72033"/>
    <w:rsid w:val="49746212"/>
    <w:rsid w:val="4CEC7770"/>
    <w:rsid w:val="4D1C5BB3"/>
    <w:rsid w:val="4E8005CA"/>
    <w:rsid w:val="50836D3A"/>
    <w:rsid w:val="5A186AAA"/>
    <w:rsid w:val="5E736640"/>
    <w:rsid w:val="64DD5792"/>
    <w:rsid w:val="6E4A0A40"/>
    <w:rsid w:val="72D6565A"/>
    <w:rsid w:val="7561409C"/>
    <w:rsid w:val="761D3711"/>
    <w:rsid w:val="776A7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style>
  <w:style w:type="paragraph" w:styleId="3">
    <w:name w:val="index 5"/>
    <w:basedOn w:val="1"/>
    <w:next w:val="1"/>
    <w:qFormat/>
    <w:uiPriority w:val="0"/>
    <w:pPr>
      <w:widowControl w:val="0"/>
      <w:spacing w:line="240" w:lineRule="auto"/>
      <w:ind w:left="1680"/>
      <w:jc w:val="both"/>
    </w:pPr>
    <w:rPr>
      <w:rFonts w:ascii="Times New Roman" w:hAnsi="Times New Roman" w:eastAsia="宋体" w:cs="Times New Roman"/>
      <w:kern w:val="2"/>
      <w:sz w:val="32"/>
      <w:szCs w:val="32"/>
      <w:lang w:val="en-US" w:eastAsia="zh-CN" w:bidi="ar-SA"/>
    </w:rPr>
  </w:style>
  <w:style w:type="paragraph" w:styleId="4">
    <w:name w:val="Body Text"/>
    <w:basedOn w:val="1"/>
    <w:next w:val="5"/>
    <w:qFormat/>
    <w:uiPriority w:val="0"/>
    <w:pPr>
      <w:spacing w:after="120"/>
    </w:pPr>
    <w:rPr>
      <w:kern w:val="0"/>
      <w:sz w:val="20"/>
      <w:szCs w:val="20"/>
    </w:rPr>
  </w:style>
  <w:style w:type="paragraph" w:styleId="5">
    <w:name w:val="Body Text 2"/>
    <w:basedOn w:val="1"/>
    <w:next w:val="6"/>
    <w:qFormat/>
    <w:uiPriority w:val="99"/>
    <w:pPr>
      <w:adjustRightInd w:val="0"/>
      <w:spacing w:line="360" w:lineRule="auto"/>
      <w:textAlignment w:val="baseline"/>
    </w:pPr>
    <w:rPr>
      <w:rFonts w:hint="eastAsia" w:ascii="楷体_GB2312" w:eastAsia="楷体_GB2312"/>
      <w:kern w:val="44"/>
      <w:sz w:val="28"/>
    </w:rPr>
  </w:style>
  <w:style w:type="paragraph" w:customStyle="1" w:styleId="6">
    <w:name w:val="UserStyle_1"/>
    <w:basedOn w:val="1"/>
    <w:next w:val="2"/>
    <w:qFormat/>
    <w:uiPriority w:val="0"/>
    <w:pPr>
      <w:spacing w:after="120"/>
      <w:textAlignment w:val="baseline"/>
    </w:pPr>
    <w:rPr>
      <w:rFonts w:ascii="Times New Roman" w:hAnsi="Times New Roman" w:eastAsia="宋体" w:cs="Times New Roman"/>
      <w:lang w:bidi="ar-SA"/>
    </w:rPr>
  </w:style>
  <w:style w:type="paragraph" w:styleId="7">
    <w:name w:val="Body Text Indent"/>
    <w:basedOn w:val="1"/>
    <w:next w:val="2"/>
    <w:unhideWhenUsed/>
    <w:qFormat/>
    <w:uiPriority w:val="99"/>
    <w:pPr>
      <w:spacing w:line="600" w:lineRule="atLeast"/>
      <w:ind w:firstLine="705"/>
    </w:pPr>
    <w:rPr>
      <w:rFonts w:hint="eastAsia" w:ascii="宋体" w:hAnsi="宋体"/>
      <w:b/>
      <w:sz w:val="32"/>
    </w:rPr>
  </w:style>
  <w:style w:type="paragraph" w:styleId="8">
    <w:name w:val="footer"/>
    <w:basedOn w:val="1"/>
    <w:qFormat/>
    <w:uiPriority w:val="0"/>
    <w:pPr>
      <w:tabs>
        <w:tab w:val="center" w:pos="4153"/>
        <w:tab w:val="right" w:pos="8306"/>
      </w:tabs>
      <w:jc w:val="left"/>
    </w:pPr>
    <w:rPr>
      <w:sz w:val="18"/>
    </w:rPr>
  </w:style>
  <w:style w:type="paragraph" w:styleId="9">
    <w:name w:val="Body Text First Indent"/>
    <w:basedOn w:val="4"/>
    <w:next w:val="5"/>
    <w:qFormat/>
    <w:uiPriority w:val="0"/>
    <w:pPr>
      <w:spacing w:before="100" w:beforeLines="0" w:beforeAutospacing="1"/>
      <w:ind w:firstLine="420"/>
    </w:pPr>
  </w:style>
  <w:style w:type="paragraph" w:styleId="10">
    <w:name w:val="Body Text First Indent 2"/>
    <w:basedOn w:val="7"/>
    <w:next w:val="9"/>
    <w:qFormat/>
    <w:uiPriority w:val="0"/>
    <w:pPr>
      <w:spacing w:after="120"/>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1908</Words>
  <Characters>1936</Characters>
  <Lines>0</Lines>
  <Paragraphs>0</Paragraphs>
  <TotalTime>0</TotalTime>
  <ScaleCrop>false</ScaleCrop>
  <LinksUpToDate>false</LinksUpToDate>
  <CharactersWithSpaces>1937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2023-01-29T08:07:00Z</dcterms:created>
  <dc:creator>WPS_1667177132</dc:creator>
  <cp:lastModifiedBy>有围青年</cp:lastModifiedBy>
  <dcterms:modified xsi:type="dcterms:W3CDTF">2025-01-10T01:48:25Z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B49857EA694247F685CB4D9177A6908B_13</vt:lpwstr>
  </property>
  <property fmtid="{D5CDD505-2E9C-101B-9397-08002B2CF9AE}" pid="4" name="KSOTemplateDocerSaveRecord">
    <vt:lpwstr>eyJoZGlkIjoiZTQzMTYzNDRhMTRkZWJhZGYwMTdiNTIwNTc0NTI5YmQiLCJ1c2VySWQiOiIzNzU0NzUxNjkifQ==</vt:lpwstr>
  </property>
</Properties>
</file>