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6A418">
      <w:pPr>
        <w:jc w:val="center"/>
        <w:rPr>
          <w:rFonts w:ascii="仿宋_GB2312" w:eastAsia="仿宋_GB2312"/>
          <w:b/>
          <w:bCs/>
          <w:sz w:val="30"/>
          <w:szCs w:val="30"/>
        </w:rPr>
      </w:pPr>
      <w:r>
        <w:rPr>
          <w:rFonts w:hint="eastAsia" w:ascii="文星标宋" w:hAnsi="文星标宋" w:eastAsia="文星标宋" w:cs="文星标宋"/>
          <w:b/>
          <w:bCs/>
          <w:sz w:val="44"/>
          <w:szCs w:val="44"/>
        </w:rPr>
        <w:t>罗山县202</w:t>
      </w:r>
      <w:r>
        <w:rPr>
          <w:rFonts w:hint="eastAsia" w:ascii="文星标宋" w:hAnsi="文星标宋" w:eastAsia="文星标宋" w:cs="文星标宋"/>
          <w:b/>
          <w:bCs/>
          <w:sz w:val="44"/>
          <w:szCs w:val="44"/>
          <w:lang w:val="en-US" w:eastAsia="zh-CN"/>
        </w:rPr>
        <w:t>4</w:t>
      </w:r>
      <w:r>
        <w:rPr>
          <w:rFonts w:hint="eastAsia" w:ascii="文星标宋" w:hAnsi="文星标宋" w:eastAsia="文星标宋" w:cs="文星标宋"/>
          <w:b/>
          <w:bCs/>
          <w:sz w:val="44"/>
          <w:szCs w:val="44"/>
        </w:rPr>
        <w:t>年</w:t>
      </w:r>
      <w:r>
        <w:rPr>
          <w:rFonts w:hint="eastAsia" w:ascii="文星标宋" w:hAnsi="文星标宋" w:eastAsia="文星标宋" w:cs="文星标宋"/>
          <w:b/>
          <w:bCs/>
          <w:sz w:val="44"/>
          <w:szCs w:val="44"/>
          <w:lang w:eastAsia="zh-CN"/>
        </w:rPr>
        <w:t>重大政策和重点项目</w:t>
      </w:r>
      <w:r>
        <w:rPr>
          <w:rFonts w:hint="eastAsia" w:ascii="文星标宋" w:hAnsi="文星标宋" w:eastAsia="文星标宋" w:cs="文星标宋"/>
          <w:b/>
          <w:bCs/>
          <w:sz w:val="44"/>
          <w:szCs w:val="44"/>
        </w:rPr>
        <w:t>预算绩效管理工作开展情况的说明</w:t>
      </w:r>
    </w:p>
    <w:p w14:paraId="46DF3212">
      <w:pPr>
        <w:ind w:firstLine="640" w:firstLineChars="200"/>
        <w:rPr>
          <w:rFonts w:hint="eastAsia" w:ascii="仿宋_GB2312" w:hAnsi="宋体" w:eastAsia="仿宋_GB2312" w:cs="仿宋_GB2312"/>
          <w:spacing w:val="0"/>
          <w:kern w:val="2"/>
          <w:sz w:val="32"/>
          <w:szCs w:val="32"/>
          <w:lang w:val="en-US" w:eastAsia="zh-CN" w:bidi="ar-SA"/>
        </w:rPr>
      </w:pPr>
      <w:r>
        <w:rPr>
          <w:rFonts w:hint="eastAsia" w:ascii="仿宋_GB2312" w:hAnsi="宋体" w:eastAsia="仿宋_GB2312" w:cs="仿宋_GB2312"/>
          <w:spacing w:val="0"/>
          <w:kern w:val="2"/>
          <w:sz w:val="32"/>
          <w:szCs w:val="32"/>
          <w:lang w:val="en-US" w:eastAsia="zh-CN" w:bidi="ar-SA"/>
        </w:rPr>
        <w:t>2024年，县财政部门以习近平新时代中国特色社会主义思想为指导，认真贯彻党的二十大和二十届二中、三中全会精神，紧紧围绕全县经济社会发展大局，加强财政管理，不断优化支出结构，提高资金使用效益，进一步增强我县重大战略财力保障。</w:t>
      </w:r>
    </w:p>
    <w:p w14:paraId="71475CE2">
      <w:pPr>
        <w:ind w:firstLine="640" w:firstLineChars="200"/>
        <w:rPr>
          <w:rFonts w:hint="eastAsia" w:ascii="仿宋_GB2312" w:hAnsi="宋体" w:eastAsia="仿宋_GB2312" w:cs="仿宋_GB2312"/>
          <w:spacing w:val="0"/>
          <w:kern w:val="2"/>
          <w:sz w:val="32"/>
          <w:szCs w:val="32"/>
          <w:lang w:val="en-US" w:eastAsia="zh-CN" w:bidi="ar-SA"/>
        </w:rPr>
      </w:pPr>
      <w:r>
        <w:rPr>
          <w:rFonts w:hint="eastAsia" w:ascii="黑体" w:hAnsi="黑体" w:eastAsia="黑体" w:cs="黑体"/>
          <w:spacing w:val="0"/>
          <w:kern w:val="2"/>
          <w:sz w:val="32"/>
          <w:szCs w:val="32"/>
          <w:lang w:val="en-US" w:eastAsia="zh-CN" w:bidi="ar-SA"/>
        </w:rPr>
        <w:t>一、理论联系实际，强化责任担当。</w:t>
      </w:r>
      <w:r>
        <w:rPr>
          <w:rFonts w:hint="eastAsia" w:ascii="仿宋_GB2312" w:hAnsi="宋体" w:eastAsia="仿宋_GB2312" w:cs="仿宋_GB2312"/>
          <w:spacing w:val="0"/>
          <w:kern w:val="2"/>
          <w:sz w:val="32"/>
          <w:szCs w:val="32"/>
          <w:lang w:val="en-US" w:eastAsia="zh-CN" w:bidi="ar-SA"/>
        </w:rPr>
        <w:t>一是强化责任担当。树牢“以政统财、以财辅政”的理念，及时掌握上级政策动态，找准国家政策与县域经济发展的结合点、切入点，精心谋划、严密组织。二是练就过硬本领。大兴学习之风，以学促干，不断吸纳新知识、掌握新技能，更好履行财政使命，积极发挥财政职能作用。三是勇于攻坚克难。抓住群众反映强烈的突出问题和制约财政发展的难题，坚持问题导向，以攻坚克难的精神和改革创新的办法，打通“堵点”攻克“难点”，全面提升财政管理水平，把“两个维护”体现在履职尽责的具体行动上。</w:t>
      </w:r>
    </w:p>
    <w:p w14:paraId="2B370BD0">
      <w:pPr>
        <w:ind w:firstLine="640" w:firstLineChars="200"/>
        <w:rPr>
          <w:rFonts w:hint="eastAsia" w:ascii="仿宋_GB2312" w:hAnsi="宋体" w:eastAsia="仿宋_GB2312" w:cs="仿宋_GB2312"/>
          <w:spacing w:val="0"/>
          <w:kern w:val="2"/>
          <w:sz w:val="32"/>
          <w:szCs w:val="32"/>
          <w:lang w:val="en-US" w:eastAsia="zh-CN" w:bidi="ar-SA"/>
        </w:rPr>
      </w:pPr>
      <w:r>
        <w:rPr>
          <w:rFonts w:hint="eastAsia" w:ascii="黑体" w:hAnsi="黑体" w:eastAsia="黑体" w:cs="黑体"/>
          <w:spacing w:val="0"/>
          <w:kern w:val="2"/>
          <w:sz w:val="32"/>
          <w:szCs w:val="32"/>
          <w:lang w:val="en-US" w:eastAsia="zh-CN" w:bidi="ar-SA"/>
        </w:rPr>
        <w:t>二、聚焦强化收支管理，确保财政平稳运行。</w:t>
      </w:r>
      <w:r>
        <w:rPr>
          <w:rFonts w:hint="eastAsia" w:ascii="仿宋_GB2312" w:hAnsi="宋体" w:eastAsia="仿宋_GB2312" w:cs="仿宋_GB2312"/>
          <w:spacing w:val="0"/>
          <w:kern w:val="2"/>
          <w:sz w:val="32"/>
          <w:szCs w:val="32"/>
          <w:lang w:val="en-US" w:eastAsia="zh-CN" w:bidi="ar-SA"/>
        </w:rPr>
        <w:t>一是强化管控，全力征收。以综合治税为抓手，加强重点部门、重要工程涉税信息的采集，堵塞税收漏洞，进一步加强与重点企业对接，做到应收尽收。2024年，我县地方一般公共预算收入累计完成86360万元。二是全力以赴争资金。抢抓国家实施更加积极的财政政策机遇，加强政策研究，全年共争取上级转移支付406810万元，共计发行债券资金89700万元，其中发行专项债券资金81500万</w:t>
      </w:r>
      <w:bookmarkStart w:id="0" w:name="_GoBack"/>
      <w:bookmarkEnd w:id="0"/>
      <w:r>
        <w:rPr>
          <w:rFonts w:hint="eastAsia" w:ascii="仿宋_GB2312" w:hAnsi="宋体" w:eastAsia="仿宋_GB2312" w:cs="仿宋_GB2312"/>
          <w:spacing w:val="0"/>
          <w:kern w:val="2"/>
          <w:sz w:val="32"/>
          <w:szCs w:val="32"/>
          <w:lang w:val="en-US" w:eastAsia="zh-CN" w:bidi="ar-SA"/>
        </w:rPr>
        <w:t>元，一般债券资金8200万元。三是挖掘县属国有企业潜力。县属五家国有企业实现营业收入83225.04万元，上缴税收21525.27万元，实现市场化融资170724.82万元。四是加大财政资金整合力度。清理收回各领域“沉睡”资金1046万元；对部分闲置资产，通过公开拍卖、出租等形式优化处置，使“资产”变“资金”，获得收益6026.72万元。</w:t>
      </w:r>
    </w:p>
    <w:p w14:paraId="45CF1641">
      <w:pPr>
        <w:ind w:firstLine="640" w:firstLineChars="200"/>
        <w:rPr>
          <w:rFonts w:hint="eastAsia" w:ascii="仿宋_GB2312" w:hAnsi="宋体" w:eastAsia="仿宋_GB2312" w:cs="仿宋_GB2312"/>
          <w:spacing w:val="0"/>
          <w:kern w:val="2"/>
          <w:sz w:val="32"/>
          <w:szCs w:val="32"/>
          <w:lang w:val="en-US" w:eastAsia="zh-CN" w:bidi="ar-SA"/>
        </w:rPr>
      </w:pPr>
      <w:r>
        <w:rPr>
          <w:rFonts w:hint="eastAsia" w:ascii="黑体" w:hAnsi="黑体" w:eastAsia="黑体" w:cs="黑体"/>
          <w:spacing w:val="0"/>
          <w:kern w:val="2"/>
          <w:sz w:val="32"/>
          <w:szCs w:val="32"/>
          <w:lang w:val="en-US" w:eastAsia="zh-CN" w:bidi="ar-SA"/>
        </w:rPr>
        <w:t>三、筑牢“三保”底线，维护社会和谐稳定。</w:t>
      </w:r>
      <w:r>
        <w:rPr>
          <w:rFonts w:hint="eastAsia" w:ascii="仿宋_GB2312" w:hAnsi="宋体" w:eastAsia="仿宋_GB2312" w:cs="仿宋_GB2312"/>
          <w:spacing w:val="0"/>
          <w:kern w:val="2"/>
          <w:sz w:val="32"/>
          <w:szCs w:val="32"/>
          <w:lang w:val="en-US" w:eastAsia="zh-CN" w:bidi="ar-SA"/>
        </w:rPr>
        <w:t>一是严格预算编审。2024年度我县“三保”支出24.21亿元，占全年“三保”支出预算94.17%，其中：“保基本民生”支出11.05亿元；“保工资”支出11.80亿元；“保运转”支出1.36亿元。二是硬化预算执行约束。对全县“三保”预算执行情况实行动态监测，并对库款支付保障能力及余额情况进行有效分析，确保库款保持在安全区间；对“三保”执行进度缓慢的预算单位，及时发送督办函，确保“三保”支出快速执行到位。三是加强风险防范。对本级预算安排的“三保”项目逐一标识，确保“三保”标识实现预算编制、预算执行、资金拨付等全程贯通；依托预算管理一体化系统，监控各类资金是否规范使用。多年来，我县未发生因“三保”问题引发舆情和不良舆论，社会反响良好，促进了经济社会发展大局和谐稳定。</w:t>
      </w:r>
    </w:p>
    <w:p w14:paraId="1F093842">
      <w:pPr>
        <w:ind w:firstLine="640" w:firstLineChars="200"/>
        <w:rPr>
          <w:rFonts w:hint="eastAsia" w:ascii="仿宋_GB2312" w:hAnsi="宋体" w:eastAsia="仿宋_GB2312" w:cs="仿宋_GB2312"/>
          <w:spacing w:val="0"/>
          <w:kern w:val="2"/>
          <w:sz w:val="32"/>
          <w:szCs w:val="32"/>
          <w:lang w:val="en-US" w:eastAsia="zh-CN" w:bidi="ar-SA"/>
        </w:rPr>
      </w:pPr>
      <w:r>
        <w:rPr>
          <w:rFonts w:hint="eastAsia" w:ascii="黑体" w:hAnsi="黑体" w:eastAsia="黑体" w:cs="黑体"/>
          <w:spacing w:val="0"/>
          <w:kern w:val="2"/>
          <w:sz w:val="32"/>
          <w:szCs w:val="32"/>
          <w:lang w:val="en-US" w:eastAsia="zh-CN" w:bidi="ar-SA"/>
        </w:rPr>
        <w:t>四、聚焦重点领域，支持经济企稳向好。</w:t>
      </w:r>
      <w:r>
        <w:rPr>
          <w:rFonts w:hint="eastAsia" w:ascii="仿宋_GB2312" w:hAnsi="宋体" w:eastAsia="仿宋_GB2312" w:cs="仿宋_GB2312"/>
          <w:spacing w:val="0"/>
          <w:kern w:val="2"/>
          <w:sz w:val="32"/>
          <w:szCs w:val="32"/>
          <w:lang w:val="en-US" w:eastAsia="zh-CN" w:bidi="ar-SA"/>
        </w:rPr>
        <w:t>一是全力支持重点项目建设。发行专项债券资金80700万元，用于医疗卫生、社会事业、市政基础设施等领域22个项目建设；拨付国债项目资金38653万元，用于铁铺河、响水河等河流治理、城市排水防涝能力提升、重大自然灾害综合防治体系建设等12个工程项目；争取中央预算内资金14276万元，用于尤店乡以工代赈、罗山二高扩建、县中医院门诊建设等13个项目工程；争取超长期特别国债资金10485万元，用于污水处理厂主管网设备更新、燃气管道更新等5个民生项目。二是大力支持实体经济发展。积极开展“万人助万企”活动，充分发挥担保、“政采贷”作用，进一步降低反担保要求和担保费率，主动为企业排忧解难，2024年新增担保业务39笔，新增担保金额5457万元，在保企业42家。三是不断完善城市功能。投入资金20050万元用于老旧小区改造、城市道路提质改造、县城基础教育设施完善等公益性项目，不断提升城市功能品质。四是发挥投资评审职能。全年共完成评审项目256项，评审总额362087.84万元，审定总额301357.98万元，审减总额60729.86万元，综合审减率16.77%，为政府节约了大量建设资金。</w:t>
      </w:r>
    </w:p>
    <w:p w14:paraId="3E475A5E">
      <w:pPr>
        <w:ind w:firstLine="640" w:firstLineChars="200"/>
        <w:rPr>
          <w:rFonts w:hint="eastAsia" w:ascii="仿宋_GB2312" w:hAnsi="宋体" w:eastAsia="仿宋_GB2312" w:cs="仿宋_GB2312"/>
          <w:spacing w:val="0"/>
          <w:kern w:val="2"/>
          <w:sz w:val="32"/>
          <w:szCs w:val="32"/>
          <w:lang w:val="en-US" w:eastAsia="zh-CN" w:bidi="ar-SA"/>
        </w:rPr>
      </w:pPr>
      <w:r>
        <w:rPr>
          <w:rFonts w:hint="eastAsia" w:ascii="仿宋_GB2312" w:hAnsi="宋体" w:eastAsia="仿宋_GB2312" w:cs="仿宋_GB2312"/>
          <w:spacing w:val="0"/>
          <w:kern w:val="2"/>
          <w:sz w:val="32"/>
          <w:szCs w:val="32"/>
          <w:lang w:val="en-US" w:eastAsia="zh-CN" w:bidi="ar-SA"/>
        </w:rPr>
        <w:t>五、聚焦财政职能，兜牢兜实基本民生底线。2024年，全县民生支出36.46亿元，占一般公共预算支出的75.9%。一是多措并举促进就业。拨付就业资金1743万元，落实公益性岗位补贴、社会保险补贴、职业技能培训等就业创业扶持政策。二是提升社会保障水平。及时拨付资金19132万元，确保特困人员、城乡低保、孤儿等困难群众的基本生活得到有效保障；支出各项社保基金82298万元，进一步提高机关事业单位、企业退休人员、城乡居民基本养老金标准；拨付优抚对象资金4293万元，全面落实优抚安置政策。三是促进教育公平。拨付资金7941.85万元，保障义务教育阶段学校正常运转；拨付资金4840.99万元，落实教育资助政策；拨付资金7172.52万元，改善中小学及学前教育办学条件。四是筑牢人民健康防线。拨付基本公共卫生补助资金4408.2万元；拨付基本药物制度资金524.5万元，全方位提升基本公共卫生服务能力。五是加强村级经费保障。下达村级组织运转经费5980.05万元，并督促各乡镇财政所落实到位，做到专款专用；下达离任村干部生活补贴1214.11万元；提高村干部报酬标准，增强村级发展内生动力。</w:t>
      </w:r>
    </w:p>
    <w:p w14:paraId="281914E7">
      <w:pPr>
        <w:ind w:firstLine="640" w:firstLineChars="200"/>
        <w:rPr>
          <w:rFonts w:hint="eastAsia" w:ascii="仿宋_GB2312" w:hAnsi="宋体" w:eastAsia="仿宋_GB2312" w:cs="仿宋_GB2312"/>
          <w:spacing w:val="0"/>
          <w:kern w:val="2"/>
          <w:sz w:val="32"/>
          <w:szCs w:val="32"/>
          <w:lang w:val="en-US" w:eastAsia="zh-CN" w:bidi="ar-SA"/>
        </w:rPr>
      </w:pPr>
      <w:r>
        <w:rPr>
          <w:rFonts w:hint="eastAsia" w:ascii="黑体" w:hAnsi="黑体" w:eastAsia="黑体" w:cs="黑体"/>
          <w:spacing w:val="0"/>
          <w:kern w:val="2"/>
          <w:sz w:val="32"/>
          <w:szCs w:val="32"/>
          <w:lang w:val="en-US" w:eastAsia="zh-CN" w:bidi="ar-SA"/>
        </w:rPr>
        <w:t>六、加大资金统筹，“三农”基础不断夯实。</w:t>
      </w:r>
      <w:r>
        <w:rPr>
          <w:rFonts w:hint="eastAsia" w:ascii="仿宋_GB2312" w:hAnsi="宋体" w:eastAsia="仿宋_GB2312" w:cs="仿宋_GB2312"/>
          <w:spacing w:val="0"/>
          <w:kern w:val="2"/>
          <w:sz w:val="32"/>
          <w:szCs w:val="32"/>
          <w:lang w:val="en-US" w:eastAsia="zh-CN" w:bidi="ar-SA"/>
        </w:rPr>
        <w:t>一是支持全面推进乡村振兴战略。2024年，县财政部门下达各级财政衔接资金21789万元，用于支持巩固拓展脱贫攻坚成果及推进乡村振兴工作，其中用于产业类项目资金16275万元。二是切实扛稳粮食安全责任。拨付农业水利专项资金84040万元，全面落实惠农补贴政策，巩固提升粮食综合生产能力；其中拨付资金10901万元，用于耕地地力保护补贴，拨付资金1902万元用于移民个人补贴，拨付资金3384万元用于农机具购置补贴，拨付水利专项增发国债资金34510万元。三是加强农村综合改革项目建设。拨付农村综合改革项目资金2086万元，用于农村综合改革普惠性项目、重点村、红色美丽村庄试点项目等。</w:t>
      </w:r>
    </w:p>
    <w:p w14:paraId="627CC235">
      <w:pPr>
        <w:ind w:firstLine="640" w:firstLineChars="200"/>
        <w:rPr>
          <w:rFonts w:hint="eastAsia" w:ascii="仿宋_GB2312" w:hAnsi="宋体" w:eastAsia="仿宋_GB2312" w:cs="仿宋_GB2312"/>
          <w:spacing w:val="0"/>
          <w:kern w:val="2"/>
          <w:sz w:val="32"/>
          <w:szCs w:val="32"/>
          <w:lang w:val="en-US" w:eastAsia="zh-CN" w:bidi="ar-SA"/>
        </w:rPr>
      </w:pPr>
      <w:r>
        <w:rPr>
          <w:rFonts w:hint="eastAsia" w:ascii="黑体" w:hAnsi="黑体" w:eastAsia="黑体" w:cs="黑体"/>
          <w:spacing w:val="0"/>
          <w:kern w:val="2"/>
          <w:sz w:val="32"/>
          <w:szCs w:val="32"/>
          <w:lang w:val="en-US" w:eastAsia="zh-CN" w:bidi="ar-SA"/>
        </w:rPr>
        <w:t>七、统筹发展需求，贡献财政力量。</w:t>
      </w:r>
      <w:r>
        <w:rPr>
          <w:rFonts w:hint="eastAsia" w:ascii="仿宋_GB2312" w:hAnsi="宋体" w:eastAsia="仿宋_GB2312" w:cs="仿宋_GB2312"/>
          <w:spacing w:val="0"/>
          <w:kern w:val="2"/>
          <w:sz w:val="32"/>
          <w:szCs w:val="32"/>
          <w:lang w:val="en-US" w:eastAsia="zh-CN" w:bidi="ar-SA"/>
        </w:rPr>
        <w:t>一是加强法治宣传教育。深入开展法治宣传教育活动，组织干部职工学习财政法律法规，提高依法行政、依法理财水平。组织全局干部职工参加线上培训班、到县司法局参加司法考试等，增强干部职工的法治意识。二是参与社会治安综合治理。积极支持社会治安综合治理工作，安排资金396.77万元，用于支持社会治安防控体系建设、平安创建等工作。三是持续优化营商环境。全局组织66名首席服务员对包联120余家企业，入企宣讲绿色采购、担保、“政采贷”等优惠政策，协调金融机构帮助企业融资等，主动为企业排忧解难。2024年，全年新增担保业务39笔，新增担保金额5457万元，在保企业42家；通过“政采贷”优惠政策，完成政府采购合同融资215万元，惠及中小微企业4家；政府采购项目绿色采购25922万元。</w:t>
      </w:r>
    </w:p>
    <w:p w14:paraId="217718F3">
      <w:pPr>
        <w:ind w:firstLine="640" w:firstLineChars="200"/>
        <w:rPr>
          <w:rFonts w:hint="eastAsia" w:ascii="仿宋_GB2312" w:hAnsi="宋体" w:eastAsia="仿宋_GB2312" w:cs="仿宋_GB2312"/>
          <w:spacing w:val="0"/>
          <w:kern w:val="2"/>
          <w:sz w:val="32"/>
          <w:szCs w:val="32"/>
          <w:lang w:val="en-US" w:eastAsia="zh-CN" w:bidi="ar-SA"/>
        </w:rPr>
      </w:pPr>
      <w:r>
        <w:rPr>
          <w:rFonts w:hint="eastAsia" w:ascii="仿宋_GB2312" w:hAnsi="宋体" w:eastAsia="仿宋_GB2312" w:cs="仿宋_GB2312"/>
          <w:spacing w:val="0"/>
          <w:kern w:val="2"/>
          <w:sz w:val="32"/>
          <w:szCs w:val="32"/>
          <w:lang w:val="en-US" w:eastAsia="zh-CN" w:bidi="ar-SA"/>
        </w:rPr>
        <w:t>八、坚持正风肃纪严格监督执纪问责。一是开展“三资”管理专项整治。按照上级统一部署要求，在乡村振兴领域围绕“三资”管理使用不规范开展专项整治工作，按照检查面不低于30%的要求对148个自然村开展了专项检查，通过整改，补登固定资产8563.07万元，盘活闲置资金1707万元。二是加强财会监督检查。深入开展财会监督、重点领域监督和预算执行监督专项行动，对县委党校、残疾人联合会、县宝鑫发展投资有限责任公司等单位开展会计信息质量检查，查出并督促整改规范性问题22项；开展违规发放值班补助专项检查，收回违规发放值班补助资金259.12万元。三是坚持问题导向。开展“纠治庸懒散慢乱”专项整治活动，不定期监督检查干部职工上下班工作纪律及履职尽责情况，营造风清正气的干事创业环境。</w:t>
      </w:r>
    </w:p>
    <w:p w14:paraId="540D76E5">
      <w:pPr>
        <w:ind w:firstLine="640" w:firstLineChars="200"/>
        <w:rPr>
          <w:rFonts w:hint="eastAsia" w:ascii="仿宋_GB2312" w:hAnsi="宋体" w:eastAsia="仿宋_GB2312" w:cs="仿宋_GB2312"/>
          <w:spacing w:val="0"/>
          <w:kern w:val="2"/>
          <w:sz w:val="32"/>
          <w:szCs w:val="32"/>
          <w:lang w:val="en-US" w:eastAsia="zh-CN" w:bidi="ar-SA"/>
        </w:rPr>
      </w:pPr>
      <w:r>
        <w:rPr>
          <w:rFonts w:hint="eastAsia" w:ascii="仿宋_GB2312" w:hAnsi="宋体" w:eastAsia="仿宋_GB2312" w:cs="仿宋_GB2312"/>
          <w:spacing w:val="0"/>
          <w:kern w:val="2"/>
          <w:sz w:val="32"/>
          <w:szCs w:val="32"/>
          <w:lang w:val="en-US" w:eastAsia="zh-CN" w:bidi="ar-SA"/>
        </w:rPr>
        <w:t>在看到成绩的同时，我们也清醒地认识到，当前财政工作还面临一些问题和挑战：一是债务包袱沉重。每年到期债务应偿还额逐年加大，逐步进入还债高峰期。虽然每年到期的政府债券本金可通过申请再融资债券偿还，但政府每年承担的债券利息以及每年近2亿元的养老金缺口兜底进一步加剧国库资金支付风险和政府信用危机。二是财政管理有待加强。通过巡视、审计、财会监督检查发现，财政运行状况有待加强。绩效意识尚未树牢，绩效目标不全面、不准确、不细化，过“紧日子”观念还不够强，违规开支“三公”经费、花钱大手大脚等问题还不同程度存在。三是财政改革不够深入。零基预算改革推进缓慢，数字财政建设不够均衡，国资国企改革仍需加压见效。对此，我们将认真研究，积极采取有效措施切实加以解决。</w:t>
      </w:r>
    </w:p>
    <w:p w14:paraId="5AD194E2">
      <w:pPr>
        <w:ind w:firstLine="640" w:firstLineChars="200"/>
        <w:rPr>
          <w:rFonts w:ascii="仿宋_GB2312" w:eastAsia="仿宋_GB2312"/>
          <w:sz w:val="30"/>
          <w:szCs w:val="30"/>
        </w:rPr>
      </w:pPr>
      <w:r>
        <w:rPr>
          <w:rFonts w:hint="eastAsia" w:ascii="仿宋_GB2312" w:hAnsi="宋体" w:eastAsia="仿宋_GB2312" w:cs="仿宋_GB2312"/>
          <w:spacing w:val="0"/>
          <w:kern w:val="2"/>
          <w:sz w:val="32"/>
          <w:szCs w:val="32"/>
          <w:lang w:val="en-US" w:eastAsia="zh-CN" w:bidi="ar-SA"/>
        </w:rPr>
        <w:t>2025年，我们将在县委、县政府的坚强领导下，以“时时放心不下”的责任意识，锐意进取、主动作为，扎实做好财政改革发展各项工作，努力完成全年经济社会发展目标任务，为我县经济社会高质量发展作出新的更大的贡献！</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文星标宋">
    <w:panose1 w:val="0201060900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22110">
    <w:pPr>
      <w:pStyle w:val="6"/>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6BAA1189">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hmMzljMzljNGNhMzA1NTA3OGU5YzdhYzkyNTRmM2MifQ=="/>
  </w:docVars>
  <w:rsids>
    <w:rsidRoot w:val="00823C6D"/>
    <w:rsid w:val="00296505"/>
    <w:rsid w:val="003127F1"/>
    <w:rsid w:val="004E48D5"/>
    <w:rsid w:val="005E2023"/>
    <w:rsid w:val="00810C06"/>
    <w:rsid w:val="00823C6D"/>
    <w:rsid w:val="00BE293D"/>
    <w:rsid w:val="00CF00BF"/>
    <w:rsid w:val="00D66F71"/>
    <w:rsid w:val="00ED5863"/>
    <w:rsid w:val="0EB940E4"/>
    <w:rsid w:val="17465618"/>
    <w:rsid w:val="4A5C5080"/>
    <w:rsid w:val="55C4242F"/>
    <w:rsid w:val="594C6E2E"/>
    <w:rsid w:val="5F6330DC"/>
    <w:rsid w:val="5F897095"/>
    <w:rsid w:val="6FFF3A9E"/>
    <w:rsid w:val="72776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tabs>
        <w:tab w:val="left" w:pos="612"/>
      </w:tabs>
      <w:topLinePunct/>
      <w:autoSpaceDE w:val="0"/>
      <w:autoSpaceDN w:val="0"/>
      <w:adjustRightInd w:val="0"/>
      <w:snapToGrid w:val="0"/>
      <w:spacing w:before="75" w:beforeLines="0" w:line="400" w:lineRule="atLeast"/>
      <w:ind w:left="612" w:hanging="432"/>
      <w:jc w:val="left"/>
      <w:textAlignment w:val="baseline"/>
      <w:outlineLvl w:val="0"/>
    </w:pPr>
    <w:rPr>
      <w:rFonts w:ascii="Arial" w:hAnsi="Arial" w:eastAsia="黑体"/>
      <w:b/>
      <w:kern w:val="44"/>
      <w:sz w:val="30"/>
    </w:rPr>
  </w:style>
  <w:style w:type="paragraph" w:styleId="5">
    <w:name w:val="heading 2"/>
    <w:basedOn w:val="1"/>
    <w:next w:val="1"/>
    <w:link w:val="13"/>
    <w:semiHidden/>
    <w:unhideWhenUsed/>
    <w:qFormat/>
    <w:uiPriority w:val="0"/>
    <w:pPr>
      <w:jc w:val="left"/>
      <w:outlineLvl w:val="1"/>
    </w:pPr>
    <w:rPr>
      <w:rFonts w:hint="eastAsia" w:ascii="宋体" w:hAnsi="宋体" w:eastAsia="楷体" w:cs="Times New Roman"/>
      <w:kern w:val="0"/>
      <w:sz w:val="32"/>
      <w:szCs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pPr>
      <w:ind w:left="111"/>
    </w:pPr>
    <w:rPr>
      <w:rFonts w:ascii="宋体" w:hAnsi="宋体" w:eastAsia="宋体" w:cs="宋体"/>
      <w:sz w:val="32"/>
      <w:szCs w:val="32"/>
      <w:lang w:val="zh-CN" w:eastAsia="zh-CN" w:bidi="zh-CN"/>
    </w:rPr>
  </w:style>
  <w:style w:type="paragraph" w:customStyle="1" w:styleId="3">
    <w:name w:val="正文文本 21"/>
    <w:basedOn w:val="1"/>
    <w:qFormat/>
    <w:uiPriority w:val="99"/>
    <w:pPr>
      <w:spacing w:line="480" w:lineRule="auto"/>
    </w:pPr>
  </w:style>
  <w:style w:type="paragraph" w:styleId="6">
    <w:name w:val="footer"/>
    <w:basedOn w:val="1"/>
    <w:link w:val="12"/>
    <w:semiHidden/>
    <w:unhideWhenUsed/>
    <w:qFormat/>
    <w:uiPriority w:val="99"/>
    <w:pPr>
      <w:tabs>
        <w:tab w:val="center" w:pos="4153"/>
        <w:tab w:val="right" w:pos="8306"/>
      </w:tabs>
      <w:snapToGrid w:val="0"/>
      <w:jc w:val="left"/>
    </w:pPr>
    <w:rPr>
      <w:sz w:val="18"/>
      <w:szCs w:val="18"/>
    </w:rPr>
  </w:style>
  <w:style w:type="paragraph" w:styleId="7">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szCs w:val="24"/>
    </w:rPr>
  </w:style>
  <w:style w:type="character" w:customStyle="1" w:styleId="11">
    <w:name w:val="页眉 Char"/>
    <w:basedOn w:val="10"/>
    <w:link w:val="7"/>
    <w:semiHidden/>
    <w:qFormat/>
    <w:uiPriority w:val="99"/>
    <w:rPr>
      <w:sz w:val="18"/>
      <w:szCs w:val="18"/>
    </w:rPr>
  </w:style>
  <w:style w:type="character" w:customStyle="1" w:styleId="12">
    <w:name w:val="页脚 Char"/>
    <w:basedOn w:val="10"/>
    <w:link w:val="6"/>
    <w:semiHidden/>
    <w:qFormat/>
    <w:uiPriority w:val="99"/>
    <w:rPr>
      <w:sz w:val="18"/>
      <w:szCs w:val="18"/>
    </w:rPr>
  </w:style>
  <w:style w:type="character" w:customStyle="1" w:styleId="13">
    <w:name w:val="标题 2 Char"/>
    <w:basedOn w:val="10"/>
    <w:link w:val="5"/>
    <w:semiHidden/>
    <w:qFormat/>
    <w:uiPriority w:val="0"/>
    <w:rPr>
      <w:rFonts w:ascii="宋体" w:hAnsi="宋体" w:eastAsia="楷体" w:cs="Times New Roman"/>
      <w:kern w:val="0"/>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7</Pages>
  <Words>2571</Words>
  <Characters>2839</Characters>
  <Lines>22</Lines>
  <Paragraphs>6</Paragraphs>
  <TotalTime>25</TotalTime>
  <ScaleCrop>false</ScaleCrop>
  <LinksUpToDate>false</LinksUpToDate>
  <CharactersWithSpaces>2839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2021-06-10T08:39:00Z</dcterms:created>
  <dc:creator>Windows User</dc:creator>
  <cp:lastModifiedBy>和风细雨</cp:lastModifiedBy>
  <cp:lastPrinted>2022-10-14T01:42:00Z</cp:lastPrinted>
  <dcterms:modified xsi:type="dcterms:W3CDTF">2025-09-15T04:07:47Z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B989DC56D2A14244B6578A729C6BBC8A</vt:lpwstr>
  </property>
  <property fmtid="{D5CDD505-2E9C-101B-9397-08002B2CF9AE}" pid="4" name="KSOTemplateDocerSaveRecord">
    <vt:lpwstr>eyJoZGlkIjoiNjhmMzljMzljNGNhMzA1NTA3OGU5YzdhYzkyNTRmM2MiLCJ1c2VySWQiOiIxMjI5OTUyNjM4In0=</vt:lpwstr>
  </property>
</Properties>
</file>