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00" w:lineRule="exact"/>
        <w:ind w:firstLine="480"/>
        <w:jc w:val="center"/>
        <w:rPr>
          <w:rFonts w:ascii="Times New Roman" w:hAnsi="Times New Roman" w:cs="Times New Roman"/>
          <w:color w:val="000000" w:themeColor="text1"/>
          <w:kern w:val="0"/>
          <w:sz w:val="24"/>
          <w:szCs w:val="24"/>
          <w:highlight w:val="none"/>
          <w:lang w:val="zh-CN"/>
          <w14:textFill>
            <w14:solidFill>
              <w14:schemeClr w14:val="tx1"/>
            </w14:solidFill>
          </w14:textFill>
        </w:rPr>
      </w:pPr>
      <w:r>
        <w:rPr>
          <w:rFonts w:ascii="Times New Roman" w:hAnsi="Times New Roman" w:cs="Times New Roman"/>
          <w:color w:val="000000" w:themeColor="text1"/>
          <w:kern w:val="0"/>
          <w:sz w:val="24"/>
          <w:szCs w:val="24"/>
          <w:highlight w:val="none"/>
          <w:lang w:val="zh-CN"/>
          <w14:textFill>
            <w14:solidFill>
              <w14:schemeClr w14:val="tx1"/>
            </w14:solidFill>
          </w14:textFill>
        </w:rPr>
        <w:t>关于202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年</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w:t>
      </w:r>
      <w:r>
        <w:rPr>
          <w:rFonts w:ascii="Times New Roman" w:hAnsi="Times New Roman" w:cs="Times New Roman"/>
          <w:color w:val="000000" w:themeColor="text1"/>
          <w:kern w:val="0"/>
          <w:sz w:val="24"/>
          <w:szCs w:val="24"/>
          <w:highlight w:val="none"/>
          <w:lang w:val="zh-CN"/>
          <w14:textFill>
            <w14:solidFill>
              <w14:schemeClr w14:val="tx1"/>
            </w14:solidFill>
          </w14:textFill>
        </w:rPr>
        <w:t>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23</w:t>
      </w:r>
      <w:r>
        <w:rPr>
          <w:rFonts w:ascii="Times New Roman" w:hAnsi="Times New Roman" w:cs="Times New Roman"/>
          <w:color w:val="000000" w:themeColor="text1"/>
          <w:kern w:val="0"/>
          <w:sz w:val="24"/>
          <w:szCs w:val="24"/>
          <w:highlight w:val="none"/>
          <w:lang w:val="zh-CN"/>
          <w14:textFill>
            <w14:solidFill>
              <w14:schemeClr w14:val="tx1"/>
            </w14:solidFill>
          </w14:textFill>
        </w:rPr>
        <w:t>日做出环境影响评价文件拟审批意见的公示</w:t>
      </w:r>
    </w:p>
    <w:p>
      <w:pPr>
        <w:autoSpaceDE w:val="0"/>
        <w:autoSpaceDN w:val="0"/>
        <w:adjustRightInd w:val="0"/>
        <w:spacing w:line="400" w:lineRule="exact"/>
        <w:ind w:firstLine="480"/>
        <w:rPr>
          <w:rFonts w:ascii="Times New Roman" w:hAnsi="Times New Roman" w:cs="Times New Roman"/>
          <w:color w:val="000000" w:themeColor="text1"/>
          <w:kern w:val="0"/>
          <w:sz w:val="24"/>
          <w:szCs w:val="24"/>
          <w:highlight w:val="none"/>
          <w:lang w:val="zh-CN"/>
          <w14:textFill>
            <w14:solidFill>
              <w14:schemeClr w14:val="tx1"/>
            </w14:solidFill>
          </w14:textFill>
        </w:rPr>
      </w:pPr>
      <w:r>
        <w:rPr>
          <w:rFonts w:ascii="Times New Roman" w:hAnsi="Times New Roman" w:cs="Times New Roman"/>
          <w:color w:val="000000" w:themeColor="text1"/>
          <w:kern w:val="0"/>
          <w:sz w:val="24"/>
          <w:szCs w:val="24"/>
          <w:highlight w:val="none"/>
          <w:lang w:val="zh-CN"/>
          <w14:textFill>
            <w14:solidFill>
              <w14:schemeClr w14:val="tx1"/>
            </w14:solidFill>
          </w14:textFill>
        </w:rPr>
        <w:t>根据建设项目环境影响评价审批程序的有关规定，经审议，我局拟对</w:t>
      </w:r>
      <w:r>
        <w:rPr>
          <w:rFonts w:hint="eastAsia" w:ascii="Times New Roman" w:hAnsi="Times New Roman" w:cs="Times New Roman"/>
          <w:color w:val="000000" w:themeColor="text1"/>
          <w:kern w:val="0"/>
          <w:sz w:val="24"/>
          <w:szCs w:val="24"/>
          <w:highlight w:val="none"/>
          <w:lang w:val="zh-CN" w:eastAsia="zh-CN"/>
          <w14:textFill>
            <w14:solidFill>
              <w14:schemeClr w14:val="tx1"/>
            </w14:solidFill>
          </w14:textFill>
        </w:rPr>
        <w:t>信阳市德福鹏新材料有限公司年产1600吨六方氮化硼陶瓷烧结材料改扩建项目</w:t>
      </w:r>
      <w:r>
        <w:rPr>
          <w:rFonts w:ascii="Times New Roman" w:hAnsi="Times New Roman" w:cs="Times New Roman"/>
          <w:color w:val="000000" w:themeColor="text1"/>
          <w:kern w:val="0"/>
          <w:sz w:val="24"/>
          <w:szCs w:val="24"/>
          <w:highlight w:val="none"/>
          <w:lang w:val="zh-CN"/>
          <w14:textFill>
            <w14:solidFill>
              <w14:schemeClr w14:val="tx1"/>
            </w14:solidFill>
          </w14:textFill>
        </w:rPr>
        <w:t>环境影响报告</w:t>
      </w:r>
      <w:r>
        <w:rPr>
          <w:rFonts w:hint="eastAsia" w:ascii="Times New Roman" w:hAnsi="Times New Roman" w:cs="Times New Roman"/>
          <w:color w:val="000000" w:themeColor="text1"/>
          <w:kern w:val="0"/>
          <w:sz w:val="24"/>
          <w:szCs w:val="24"/>
          <w:highlight w:val="none"/>
          <w:lang w:val="zh-CN"/>
          <w14:textFill>
            <w14:solidFill>
              <w14:schemeClr w14:val="tx1"/>
            </w14:solidFill>
          </w14:textFill>
        </w:rPr>
        <w:t>表</w:t>
      </w:r>
      <w:r>
        <w:rPr>
          <w:rFonts w:ascii="Times New Roman" w:hAnsi="Times New Roman" w:cs="Times New Roman"/>
          <w:color w:val="000000" w:themeColor="text1"/>
          <w:kern w:val="0"/>
          <w:sz w:val="24"/>
          <w:szCs w:val="24"/>
          <w:highlight w:val="none"/>
          <w:lang w:val="zh-CN"/>
          <w14:textFill>
            <w14:solidFill>
              <w14:schemeClr w14:val="tx1"/>
            </w14:solidFill>
          </w14:textFill>
        </w:rPr>
        <w:t>做出审批意见。为保证审批意见的严肃性和公正性，现将拟做出审批意见的环境影响评价文件的基本情况予以公示。如有异议，请在公示期内反馈我局环评科。公示期为</w:t>
      </w:r>
      <w:r>
        <w:rPr>
          <w:rFonts w:hint="eastAsia" w:ascii="Times New Roman" w:hAnsi="Times New Roman" w:cs="Times New Roman"/>
          <w:color w:val="000000" w:themeColor="text1"/>
          <w:kern w:val="0"/>
          <w:sz w:val="24"/>
          <w:szCs w:val="24"/>
          <w:highlight w:val="none"/>
          <w14:textFill>
            <w14:solidFill>
              <w14:schemeClr w14:val="tx1"/>
            </w14:solidFill>
          </w14:textFill>
        </w:rPr>
        <w:t>3</w:t>
      </w:r>
      <w:r>
        <w:rPr>
          <w:rFonts w:ascii="Times New Roman" w:hAnsi="Times New Roman" w:cs="Times New Roman"/>
          <w:color w:val="000000" w:themeColor="text1"/>
          <w:kern w:val="0"/>
          <w:sz w:val="24"/>
          <w:szCs w:val="24"/>
          <w:highlight w:val="none"/>
          <w:lang w:val="zh-CN"/>
          <w14:textFill>
            <w14:solidFill>
              <w14:schemeClr w14:val="tx1"/>
            </w14:solidFill>
          </w14:textFill>
        </w:rPr>
        <w:t>个工作日，即公示期为202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年</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9</w:t>
      </w:r>
      <w:r>
        <w:rPr>
          <w:rFonts w:ascii="Times New Roman" w:hAnsi="Times New Roman" w:cs="Times New Roman"/>
          <w:color w:val="000000" w:themeColor="text1"/>
          <w:kern w:val="0"/>
          <w:sz w:val="24"/>
          <w:szCs w:val="24"/>
          <w:highlight w:val="none"/>
          <w:lang w:val="zh-CN"/>
          <w14:textFill>
            <w14:solidFill>
              <w14:schemeClr w14:val="tx1"/>
            </w14:solidFill>
          </w14:textFill>
        </w:rPr>
        <w:t>月</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23</w:t>
      </w:r>
      <w:r>
        <w:rPr>
          <w:rFonts w:ascii="Times New Roman" w:hAnsi="Times New Roman" w:cs="Times New Roman"/>
          <w:color w:val="000000" w:themeColor="text1"/>
          <w:kern w:val="0"/>
          <w:sz w:val="24"/>
          <w:szCs w:val="24"/>
          <w:highlight w:val="none"/>
          <w:lang w:val="zh-CN"/>
          <w14:textFill>
            <w14:solidFill>
              <w14:schemeClr w14:val="tx1"/>
            </w14:solidFill>
          </w14:textFill>
        </w:rPr>
        <w:t>日</w:t>
      </w:r>
      <w:r>
        <w:rPr>
          <w:rFonts w:hint="eastAsia" w:ascii="Times New Roman" w:hAnsi="Times New Roman" w:cs="Times New Roman"/>
          <w:color w:val="000000" w:themeColor="text1"/>
          <w:kern w:val="0"/>
          <w:sz w:val="24"/>
          <w:szCs w:val="24"/>
          <w:highlight w:val="none"/>
          <w:lang w:val="zh-CN"/>
          <w14:textFill>
            <w14:solidFill>
              <w14:schemeClr w14:val="tx1"/>
            </w14:solidFill>
          </w14:textFill>
        </w:rPr>
        <w:t>—</w:t>
      </w:r>
      <w:r>
        <w:rPr>
          <w:rFonts w:ascii="Times New Roman" w:hAnsi="Times New Roman" w:cs="Times New Roman"/>
          <w:color w:val="000000" w:themeColor="text1"/>
          <w:kern w:val="0"/>
          <w:sz w:val="24"/>
          <w:szCs w:val="24"/>
          <w:highlight w:val="none"/>
          <w:lang w:val="zh-CN"/>
          <w14:textFill>
            <w14:solidFill>
              <w14:schemeClr w14:val="tx1"/>
            </w14:solidFill>
          </w14:textFill>
        </w:rPr>
        <w:t>202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5</w:t>
      </w:r>
      <w:r>
        <w:rPr>
          <w:rFonts w:ascii="Times New Roman" w:hAnsi="Times New Roman" w:cs="Times New Roman"/>
          <w:color w:val="000000" w:themeColor="text1"/>
          <w:kern w:val="0"/>
          <w:sz w:val="24"/>
          <w:szCs w:val="24"/>
          <w:highlight w:val="none"/>
          <w:lang w:val="zh-CN"/>
          <w14:textFill>
            <w14:solidFill>
              <w14:schemeClr w14:val="tx1"/>
            </w14:solidFill>
          </w14:textFill>
        </w:rPr>
        <w:t>年</w:t>
      </w:r>
      <w:r>
        <w:rPr>
          <w:rFonts w:hint="eastAsia" w:ascii="Times New Roman" w:hAnsi="Times New Roman" w:cs="Times New Roman"/>
          <w:color w:val="000000" w:themeColor="text1"/>
          <w:kern w:val="0"/>
          <w:sz w:val="24"/>
          <w:szCs w:val="24"/>
          <w:highlight w:val="yellow"/>
          <w:lang w:val="en-US" w:eastAsia="zh-CN"/>
          <w14:textFill>
            <w14:solidFill>
              <w14:schemeClr w14:val="tx1"/>
            </w14:solidFill>
          </w14:textFill>
        </w:rPr>
        <w:t>9</w:t>
      </w:r>
      <w:r>
        <w:rPr>
          <w:rFonts w:ascii="Times New Roman" w:hAnsi="Times New Roman" w:cs="Times New Roman"/>
          <w:color w:val="000000" w:themeColor="text1"/>
          <w:kern w:val="0"/>
          <w:sz w:val="24"/>
          <w:szCs w:val="24"/>
          <w:highlight w:val="none"/>
          <w:lang w:val="zh-CN"/>
          <w14:textFill>
            <w14:solidFill>
              <w14:schemeClr w14:val="tx1"/>
            </w14:solidFill>
          </w14:textFill>
        </w:rPr>
        <w:t>月</w:t>
      </w:r>
      <w:r>
        <w:rPr>
          <w:rFonts w:hint="eastAsia" w:ascii="Times New Roman" w:hAnsi="Times New Roman" w:cs="Times New Roman"/>
          <w:color w:val="000000" w:themeColor="text1"/>
          <w:kern w:val="0"/>
          <w:sz w:val="24"/>
          <w:szCs w:val="24"/>
          <w:highlight w:val="yellow"/>
          <w:lang w:val="en-US" w:eastAsia="zh-CN"/>
          <w14:textFill>
            <w14:solidFill>
              <w14:schemeClr w14:val="tx1"/>
            </w14:solidFill>
          </w14:textFill>
        </w:rPr>
        <w:t>29</w:t>
      </w:r>
      <w:bookmarkStart w:id="0" w:name="_GoBack"/>
      <w:bookmarkEnd w:id="0"/>
      <w:r>
        <w:rPr>
          <w:rFonts w:ascii="Times New Roman" w:hAnsi="Times New Roman" w:cs="Times New Roman"/>
          <w:color w:val="000000" w:themeColor="text1"/>
          <w:kern w:val="0"/>
          <w:sz w:val="24"/>
          <w:szCs w:val="24"/>
          <w:highlight w:val="none"/>
          <w:lang w:val="zh-CN"/>
          <w14:textFill>
            <w14:solidFill>
              <w14:schemeClr w14:val="tx1"/>
            </w14:solidFill>
          </w14:textFill>
        </w:rPr>
        <w:t>日。</w:t>
      </w:r>
    </w:p>
    <w:p>
      <w:pPr>
        <w:autoSpaceDE w:val="0"/>
        <w:autoSpaceDN w:val="0"/>
        <w:adjustRightInd w:val="0"/>
        <w:spacing w:line="400" w:lineRule="exact"/>
        <w:ind w:firstLine="480"/>
        <w:rPr>
          <w:rFonts w:ascii="Times New Roman" w:hAnsi="Times New Roman" w:cs="Times New Roman"/>
          <w:color w:val="000000" w:themeColor="text1"/>
          <w:kern w:val="0"/>
          <w:sz w:val="24"/>
          <w:szCs w:val="24"/>
          <w:lang w:val="zh-CN"/>
          <w14:textFill>
            <w14:solidFill>
              <w14:schemeClr w14:val="tx1"/>
            </w14:solidFill>
          </w14:textFill>
        </w:rPr>
      </w:pPr>
      <w:r>
        <w:rPr>
          <w:rFonts w:ascii="Times New Roman" w:hAnsi="Times New Roman" w:cs="Times New Roman"/>
          <w:color w:val="000000" w:themeColor="text1"/>
          <w:kern w:val="0"/>
          <w:sz w:val="24"/>
          <w:szCs w:val="24"/>
          <w:highlight w:val="none"/>
          <w:lang w:val="zh-CN"/>
          <w14:textFill>
            <w14:solidFill>
              <w14:schemeClr w14:val="tx1"/>
            </w14:solidFill>
          </w14:textFill>
        </w:rPr>
        <w:t>听证告知：依据《中华人民共和国行政许可法》，自公示起五日内申请人、有重大利益关系的利害关系人可对以</w:t>
      </w:r>
      <w:r>
        <w:rPr>
          <w:rFonts w:ascii="Times New Roman" w:hAnsi="Times New Roman" w:cs="Times New Roman"/>
          <w:color w:val="000000" w:themeColor="text1"/>
          <w:kern w:val="0"/>
          <w:sz w:val="24"/>
          <w:szCs w:val="24"/>
          <w:lang w:val="zh-CN"/>
          <w14:textFill>
            <w14:solidFill>
              <w14:schemeClr w14:val="tx1"/>
            </w14:solidFill>
          </w14:textFill>
        </w:rPr>
        <w:t>下拟作出的建设项目环境影响评价文件批复决定要求听证。</w:t>
      </w:r>
    </w:p>
    <w:p>
      <w:pPr>
        <w:autoSpaceDE w:val="0"/>
        <w:autoSpaceDN w:val="0"/>
        <w:adjustRightInd w:val="0"/>
        <w:spacing w:line="400" w:lineRule="exact"/>
        <w:ind w:left="345" w:leftChars="50" w:hanging="240" w:hangingChars="100"/>
        <w:rPr>
          <w:rFonts w:ascii="Times New Roman" w:hAnsi="Times New Roman" w:cs="Times New Roman"/>
          <w:kern w:val="0"/>
          <w:sz w:val="24"/>
          <w:szCs w:val="24"/>
          <w:lang w:val="zh-CN"/>
        </w:rPr>
      </w:pPr>
      <w:r>
        <w:rPr>
          <w:rFonts w:ascii="Times New Roman" w:hAnsi="Times New Roman" w:cs="Times New Roman"/>
          <w:kern w:val="0"/>
          <w:sz w:val="24"/>
          <w:szCs w:val="24"/>
          <w:lang w:val="zh-CN"/>
        </w:rPr>
        <w:t>联系方式：电话0376-653</w:t>
      </w:r>
      <w:r>
        <w:rPr>
          <w:rFonts w:hint="eastAsia" w:ascii="Times New Roman" w:hAnsi="Times New Roman" w:cs="Times New Roman"/>
          <w:kern w:val="0"/>
          <w:sz w:val="24"/>
          <w:szCs w:val="24"/>
          <w:lang w:val="en-US" w:eastAsia="zh-CN"/>
        </w:rPr>
        <w:t>5887</w:t>
      </w:r>
      <w:r>
        <w:rPr>
          <w:rFonts w:ascii="Times New Roman" w:hAnsi="Times New Roman" w:cs="Times New Roman"/>
          <w:kern w:val="0"/>
          <w:sz w:val="24"/>
          <w:szCs w:val="24"/>
          <w:lang w:val="zh-CN"/>
        </w:rPr>
        <w:t>、6369727（行政服务中心），传真：0376-6530003通讯地址：信阳市新十六大街（原老残联）（邮编464000）</w:t>
      </w:r>
    </w:p>
    <w:p>
      <w:pPr>
        <w:autoSpaceDE w:val="0"/>
        <w:autoSpaceDN w:val="0"/>
        <w:adjustRightInd w:val="0"/>
        <w:spacing w:line="400" w:lineRule="exact"/>
        <w:ind w:left="345" w:leftChars="50" w:hanging="240" w:hangingChars="100"/>
        <w:jc w:val="center"/>
        <w:rPr>
          <w:rFonts w:ascii="Times New Roman" w:hAnsi="Times New Roman" w:cs="Times New Roman"/>
          <w:kern w:val="0"/>
          <w:sz w:val="24"/>
          <w:szCs w:val="24"/>
          <w:lang w:val="zh-CN"/>
        </w:rPr>
      </w:pPr>
      <w:r>
        <w:rPr>
          <w:rFonts w:ascii="Times New Roman" w:hAnsi="Times New Roman" w:cs="Times New Roman"/>
          <w:kern w:val="0"/>
          <w:sz w:val="24"/>
          <w:szCs w:val="24"/>
          <w:lang w:val="zh-CN"/>
        </w:rPr>
        <w:t>拟审批的建设项目环境影响报告书（表）</w:t>
      </w:r>
    </w:p>
    <w:tbl>
      <w:tblPr>
        <w:tblStyle w:val="9"/>
        <w:tblW w:w="14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938"/>
        <w:gridCol w:w="789"/>
        <w:gridCol w:w="789"/>
        <w:gridCol w:w="944"/>
        <w:gridCol w:w="1309"/>
        <w:gridCol w:w="8303"/>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72" w:type="dxa"/>
            <w:vAlign w:val="center"/>
          </w:tcPr>
          <w:p>
            <w:pPr>
              <w:jc w:val="center"/>
              <w:rPr>
                <w:rFonts w:ascii="Times New Roman" w:hAnsi="Times New Roman" w:cs="Times New Roman"/>
              </w:rPr>
            </w:pPr>
            <w:r>
              <w:rPr>
                <w:rFonts w:ascii="Times New Roman" w:hAnsi="Times New Roman" w:cs="Times New Roman"/>
              </w:rPr>
              <w:t>序号</w:t>
            </w:r>
          </w:p>
        </w:tc>
        <w:tc>
          <w:tcPr>
            <w:tcW w:w="938" w:type="dxa"/>
            <w:vAlign w:val="center"/>
          </w:tcPr>
          <w:p>
            <w:pPr>
              <w:jc w:val="center"/>
              <w:rPr>
                <w:rFonts w:ascii="Times New Roman" w:hAnsi="Times New Roman" w:cs="Times New Roman"/>
              </w:rPr>
            </w:pPr>
            <w:r>
              <w:rPr>
                <w:rFonts w:ascii="Times New Roman" w:hAnsi="Times New Roman" w:cs="Times New Roman"/>
              </w:rPr>
              <w:t>项目</w:t>
            </w:r>
          </w:p>
          <w:p>
            <w:pPr>
              <w:jc w:val="center"/>
              <w:rPr>
                <w:rFonts w:ascii="Times New Roman" w:hAnsi="Times New Roman" w:cs="Times New Roman"/>
              </w:rPr>
            </w:pPr>
            <w:r>
              <w:rPr>
                <w:rFonts w:ascii="Times New Roman" w:hAnsi="Times New Roman" w:cs="Times New Roman"/>
              </w:rPr>
              <w:t>名称</w:t>
            </w:r>
          </w:p>
        </w:tc>
        <w:tc>
          <w:tcPr>
            <w:tcW w:w="789" w:type="dxa"/>
            <w:vAlign w:val="center"/>
          </w:tcPr>
          <w:p>
            <w:pPr>
              <w:jc w:val="center"/>
              <w:rPr>
                <w:rFonts w:ascii="Times New Roman" w:hAnsi="Times New Roman" w:cs="Times New Roman"/>
              </w:rPr>
            </w:pPr>
            <w:r>
              <w:rPr>
                <w:rFonts w:ascii="Times New Roman" w:hAnsi="Times New Roman" w:cs="Times New Roman"/>
              </w:rPr>
              <w:t>建设地点</w:t>
            </w:r>
          </w:p>
        </w:tc>
        <w:tc>
          <w:tcPr>
            <w:tcW w:w="789" w:type="dxa"/>
            <w:vAlign w:val="center"/>
          </w:tcPr>
          <w:p>
            <w:pPr>
              <w:jc w:val="center"/>
              <w:rPr>
                <w:rFonts w:ascii="Times New Roman" w:hAnsi="Times New Roman" w:cs="Times New Roman"/>
              </w:rPr>
            </w:pPr>
            <w:r>
              <w:rPr>
                <w:rFonts w:ascii="Times New Roman" w:hAnsi="Times New Roman" w:cs="Times New Roman"/>
              </w:rPr>
              <w:t>建设单位</w:t>
            </w:r>
          </w:p>
        </w:tc>
        <w:tc>
          <w:tcPr>
            <w:tcW w:w="944" w:type="dxa"/>
            <w:vAlign w:val="center"/>
          </w:tcPr>
          <w:p>
            <w:pPr>
              <w:jc w:val="center"/>
              <w:rPr>
                <w:rFonts w:ascii="Times New Roman" w:hAnsi="Times New Roman" w:cs="Times New Roman"/>
              </w:rPr>
            </w:pPr>
            <w:r>
              <w:rPr>
                <w:rFonts w:ascii="Times New Roman" w:hAnsi="Times New Roman" w:cs="Times New Roman"/>
              </w:rPr>
              <w:t>环境影响评价机构</w:t>
            </w:r>
          </w:p>
        </w:tc>
        <w:tc>
          <w:tcPr>
            <w:tcW w:w="1309" w:type="dxa"/>
            <w:vAlign w:val="center"/>
          </w:tcPr>
          <w:p>
            <w:pPr>
              <w:jc w:val="center"/>
              <w:rPr>
                <w:rFonts w:ascii="Times New Roman" w:hAnsi="Times New Roman" w:cs="Times New Roman"/>
              </w:rPr>
            </w:pPr>
            <w:r>
              <w:rPr>
                <w:rFonts w:ascii="Times New Roman" w:hAnsi="Times New Roman" w:cs="Times New Roman"/>
              </w:rPr>
              <w:t>建设项目</w:t>
            </w:r>
          </w:p>
          <w:p>
            <w:pPr>
              <w:jc w:val="center"/>
              <w:rPr>
                <w:rFonts w:ascii="Times New Roman" w:hAnsi="Times New Roman" w:cs="Times New Roman"/>
              </w:rPr>
            </w:pPr>
            <w:r>
              <w:rPr>
                <w:rFonts w:ascii="Times New Roman" w:hAnsi="Times New Roman" w:cs="Times New Roman"/>
              </w:rPr>
              <w:t>概况</w:t>
            </w:r>
          </w:p>
        </w:tc>
        <w:tc>
          <w:tcPr>
            <w:tcW w:w="8303" w:type="dxa"/>
            <w:vAlign w:val="center"/>
          </w:tcPr>
          <w:p>
            <w:pPr>
              <w:jc w:val="center"/>
              <w:rPr>
                <w:rFonts w:ascii="Times New Roman" w:hAnsi="Times New Roman" w:cs="Times New Roman"/>
              </w:rPr>
            </w:pPr>
            <w:r>
              <w:rPr>
                <w:rFonts w:ascii="Times New Roman" w:hAnsi="Times New Roman" w:cs="Times New Roman"/>
              </w:rPr>
              <w:t>主要环境影响及预防或减轻不良环境影响的对策和措施</w:t>
            </w:r>
          </w:p>
        </w:tc>
        <w:tc>
          <w:tcPr>
            <w:tcW w:w="846" w:type="dxa"/>
            <w:vAlign w:val="center"/>
          </w:tcPr>
          <w:p>
            <w:pPr>
              <w:jc w:val="center"/>
              <w:rPr>
                <w:rFonts w:ascii="Times New Roman" w:hAnsi="Times New Roman" w:cs="Times New Roman"/>
              </w:rPr>
            </w:pPr>
            <w:r>
              <w:rPr>
                <w:rFonts w:ascii="Times New Roman" w:hAnsi="Times New Roman" w:cs="Times New Roman"/>
              </w:rPr>
              <w:t>公共参与情况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2" w:hRule="atLeast"/>
        </w:trPr>
        <w:tc>
          <w:tcPr>
            <w:tcW w:w="472" w:type="dxa"/>
            <w:vAlign w:val="center"/>
          </w:tcPr>
          <w:p>
            <w:pPr>
              <w:jc w:val="center"/>
              <w:rPr>
                <w:rFonts w:ascii="Times New Roman" w:hAnsi="Times New Roman" w:cs="Times New Roman"/>
              </w:rPr>
            </w:pPr>
            <w:r>
              <w:rPr>
                <w:rFonts w:ascii="Times New Roman" w:hAnsi="Times New Roman" w:cs="Times New Roman"/>
              </w:rPr>
              <w:t>1</w:t>
            </w:r>
          </w:p>
        </w:tc>
        <w:tc>
          <w:tcPr>
            <w:tcW w:w="938" w:type="dxa"/>
            <w:vAlign w:val="center"/>
          </w:tcPr>
          <w:p>
            <w:pPr>
              <w:pStyle w:val="14"/>
              <w:spacing w:line="240" w:lineRule="auto"/>
              <w:ind w:firstLine="0" w:firstLineChars="0"/>
              <w:jc w:val="center"/>
              <w:rPr>
                <w:rFonts w:hint="eastAsia" w:asciiTheme="minorEastAsia" w:hAnsiTheme="minorEastAsia" w:eastAsiaTheme="minorEastAsia" w:cstheme="minorEastAsia"/>
                <w:sz w:val="18"/>
                <w:szCs w:val="20"/>
              </w:rPr>
            </w:pPr>
            <w:r>
              <w:rPr>
                <w:rFonts w:hint="eastAsia" w:asciiTheme="minorEastAsia" w:hAnsiTheme="minorEastAsia" w:cstheme="minorEastAsia"/>
                <w:sz w:val="18"/>
                <w:szCs w:val="20"/>
                <w:lang w:val="en-US" w:eastAsia="zh-CN"/>
              </w:rPr>
              <w:t>信阳市德福鹏新材料有限公司年产1600吨六方氮化硼陶瓷烧结材料改扩建项目</w:t>
            </w:r>
          </w:p>
        </w:tc>
        <w:tc>
          <w:tcPr>
            <w:tcW w:w="789" w:type="dxa"/>
            <w:vAlign w:val="center"/>
          </w:tcPr>
          <w:p>
            <w:pPr>
              <w:spacing w:line="240" w:lineRule="auto"/>
              <w:jc w:val="center"/>
              <w:rPr>
                <w:rFonts w:hint="eastAsia" w:asciiTheme="minorEastAsia" w:hAnsiTheme="minorEastAsia" w:eastAsiaTheme="minorEastAsia" w:cstheme="minorEastAsia"/>
                <w:kern w:val="2"/>
                <w:sz w:val="18"/>
                <w:szCs w:val="20"/>
                <w:lang w:val="en-US" w:eastAsia="zh-CN" w:bidi="ar-SA"/>
              </w:rPr>
            </w:pPr>
            <w:r>
              <w:rPr>
                <w:rFonts w:hint="eastAsia" w:asciiTheme="minorEastAsia" w:hAnsiTheme="minorEastAsia" w:cstheme="minorEastAsia"/>
                <w:kern w:val="2"/>
                <w:sz w:val="18"/>
                <w:szCs w:val="20"/>
                <w:lang w:val="en-US" w:eastAsia="zh-CN" w:bidi="ar-SA"/>
              </w:rPr>
              <w:t>信阳市信阳高新技术产业开发区工五路与工十四路交叉口往北300米路东</w:t>
            </w:r>
          </w:p>
        </w:tc>
        <w:tc>
          <w:tcPr>
            <w:tcW w:w="789" w:type="dxa"/>
            <w:vAlign w:val="center"/>
          </w:tcPr>
          <w:p>
            <w:pPr>
              <w:spacing w:line="240" w:lineRule="auto"/>
              <w:jc w:val="center"/>
              <w:rPr>
                <w:rFonts w:hint="eastAsia" w:asciiTheme="minorEastAsia" w:hAnsiTheme="minorEastAsia" w:eastAsiaTheme="minorEastAsia" w:cstheme="minorEastAsia"/>
                <w:kern w:val="2"/>
                <w:sz w:val="18"/>
                <w:szCs w:val="20"/>
                <w:lang w:val="en-US" w:eastAsia="zh-CN" w:bidi="ar-SA"/>
              </w:rPr>
            </w:pPr>
            <w:r>
              <w:rPr>
                <w:rFonts w:hint="eastAsia" w:asciiTheme="minorEastAsia" w:hAnsiTheme="minorEastAsia" w:cstheme="minorEastAsia"/>
                <w:sz w:val="18"/>
                <w:szCs w:val="20"/>
                <w:lang w:val="en-US" w:eastAsia="zh-CN"/>
              </w:rPr>
              <w:t>信阳市德福鹏新材料有限公司</w:t>
            </w:r>
          </w:p>
        </w:tc>
        <w:tc>
          <w:tcPr>
            <w:tcW w:w="944" w:type="dxa"/>
            <w:vAlign w:val="center"/>
          </w:tcPr>
          <w:p>
            <w:pPr>
              <w:spacing w:line="240" w:lineRule="auto"/>
              <w:jc w:val="center"/>
              <w:rPr>
                <w:rFonts w:hint="default" w:asciiTheme="minorEastAsia" w:hAnsiTheme="minorEastAsia" w:eastAsiaTheme="minorEastAsia" w:cstheme="minorEastAsia"/>
                <w:kern w:val="2"/>
                <w:sz w:val="18"/>
                <w:szCs w:val="20"/>
                <w:lang w:val="en-US" w:eastAsia="zh-CN" w:bidi="ar-SA"/>
              </w:rPr>
            </w:pPr>
            <w:r>
              <w:rPr>
                <w:rFonts w:hint="eastAsia" w:asciiTheme="minorEastAsia" w:hAnsiTheme="minorEastAsia" w:cstheme="minorEastAsia"/>
                <w:kern w:val="2"/>
                <w:sz w:val="18"/>
                <w:szCs w:val="20"/>
                <w:lang w:val="en-US" w:eastAsia="zh-CN" w:bidi="ar-SA"/>
              </w:rPr>
              <w:t>河南省增绿护蓝环保科技有限公司</w:t>
            </w:r>
          </w:p>
        </w:tc>
        <w:tc>
          <w:tcPr>
            <w:tcW w:w="1309" w:type="dxa"/>
            <w:vAlign w:val="center"/>
          </w:tcPr>
          <w:p>
            <w:pPr>
              <w:autoSpaceDE w:val="0"/>
              <w:autoSpaceDN w:val="0"/>
              <w:adjustRightInd w:val="0"/>
              <w:spacing w:line="240" w:lineRule="auto"/>
              <w:jc w:val="center"/>
              <w:rPr>
                <w:rFonts w:hint="eastAsia" w:asciiTheme="minorEastAsia" w:hAnsiTheme="minorEastAsia" w:eastAsiaTheme="minorEastAsia" w:cstheme="minorEastAsia"/>
                <w:kern w:val="2"/>
                <w:sz w:val="18"/>
                <w:szCs w:val="20"/>
                <w:lang w:val="en-US" w:eastAsia="zh-CN" w:bidi="ar-SA"/>
              </w:rPr>
            </w:pPr>
            <w:r>
              <w:rPr>
                <w:rFonts w:hint="eastAsia" w:asciiTheme="minorEastAsia" w:hAnsiTheme="minorEastAsia" w:cstheme="minorEastAsia"/>
                <w:kern w:val="2"/>
                <w:sz w:val="18"/>
                <w:szCs w:val="20"/>
                <w:lang w:val="en-US" w:eastAsia="zh-CN" w:bidi="ar-SA"/>
              </w:rPr>
              <w:t>拟投资4000万元在现有工程基础上进行扩建，对现有设备进行更新换代，项目拟淘汰原有的中频井式感应炉4套，引进目前最先进的连续隧道炉20台，并配套其他生产及辅助设备，建成后实现年产1600吨六方氮化硼陶瓷烧结材料。项目分两期完成：一期安装10台连续隧道炉及其他配套生产设备；二期安装10台连续隧道炉及其他配套生产设备。</w:t>
            </w:r>
          </w:p>
        </w:tc>
        <w:tc>
          <w:tcPr>
            <w:tcW w:w="8303" w:type="dxa"/>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eastAsia" w:ascii="Times New Roman" w:hAnsi="Times New Roman" w:eastAsia="宋体" w:cs="Times New Roman"/>
                <w:color w:val="auto"/>
                <w:sz w:val="18"/>
                <w:szCs w:val="18"/>
                <w:u w:val="none"/>
                <w:lang w:val="en-US" w:eastAsia="zh-CN"/>
              </w:rPr>
            </w:pPr>
            <w:r>
              <w:rPr>
                <w:rFonts w:hint="eastAsia" w:asciiTheme="minorEastAsia" w:hAnsiTheme="minorEastAsia" w:eastAsiaTheme="minorEastAsia" w:cstheme="minorEastAsia"/>
                <w:kern w:val="2"/>
                <w:sz w:val="18"/>
                <w:szCs w:val="20"/>
                <w:lang w:val="en-US" w:eastAsia="zh-CN" w:bidi="ar-SA"/>
              </w:rPr>
              <w:t>1、落实废水污染防治措施。本项目生活污水依托信阳市德隆超硬材料有限公司化粪池预处理后通过信阳市德隆超硬材料有限公司厂区废水总排口排入市政污水管网进入信阳市第一污水处理厂处理后达标排放，冷却水循环使用不外排。氨气处理水喷淋塔加酸中和反应后最终形成含硫酸铵废液，含硫酸铵废液根据《固体废物鉴别标准 通则》（GB34330-2017）进行鉴定，鉴定结果出具之前，要求含硫酸铵废液按危废管理，暂存于危废间，定期委托有资质单位处置。</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eastAsia" w:ascii="Times New Roman" w:hAnsi="Times New Roman" w:eastAsia="宋体" w:cs="Times New Roman"/>
                <w:color w:val="auto"/>
                <w:sz w:val="18"/>
                <w:szCs w:val="18"/>
                <w:u w:val="none"/>
                <w:lang w:val="en-US" w:eastAsia="zh-CN"/>
              </w:rPr>
            </w:pPr>
            <w:r>
              <w:rPr>
                <w:rFonts w:hint="eastAsia" w:ascii="Times New Roman" w:hAnsi="Times New Roman" w:eastAsia="宋体" w:cs="Times New Roman"/>
                <w:color w:val="auto"/>
                <w:sz w:val="18"/>
                <w:szCs w:val="18"/>
                <w:u w:val="none"/>
                <w:lang w:val="en-US" w:eastAsia="zh-CN"/>
              </w:rPr>
              <w:t>2、落实废气污染防治措施。项目一期、二期原料混料机投料落料及分装机下料粉尘、预烧料破碎粉尘及落料粉尘、原料压块上料粉尘经密闭间负压收集后进入1套袋式除尘器（TA001）处理，上述废气处理后尾气通过1根20m高排气筒DA001排放，一期六方氮化硼块粉碎粉尘及落料粉尘经集气管道收集后进入2套袋式除尘器（TA005、TA006）和2套滤筒除尘器（TA007、TA008）处理，二期六方氮化硼块粉碎粉尘及落料粉尘经集气管道收集后进入2套袋式除尘器（TA012、TA013）和1套滤筒除尘器（TA014）处理，一期、二期六方氮化硼压块上料粉尘经密闭间负压收集后进入1套袋式除尘器（TA009）处理，上述废气处理后尾气通过1根20m高排气筒DA004排放，有组织废气排放满足《大气污染物综合排放标准》（GB16297-1996）表2二级标准、《河南省重污染天气通用行业应急减排措施制定技术指南（2024年修订版）》（豫环办〔2024〕72号）通用涉PM企业绩效引领性指标排放限值。</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eastAsia" w:ascii="Times New Roman" w:hAnsi="Times New Roman" w:eastAsia="宋体" w:cs="Times New Roman"/>
                <w:color w:val="auto"/>
                <w:sz w:val="18"/>
                <w:szCs w:val="18"/>
                <w:u w:val="none"/>
                <w:lang w:val="en-US" w:eastAsia="zh-CN"/>
              </w:rPr>
            </w:pPr>
            <w:r>
              <w:rPr>
                <w:rFonts w:hint="eastAsia" w:ascii="Times New Roman" w:hAnsi="Times New Roman" w:eastAsia="宋体" w:cs="Times New Roman"/>
                <w:color w:val="auto"/>
                <w:sz w:val="18"/>
                <w:szCs w:val="18"/>
                <w:u w:val="none"/>
                <w:lang w:val="en-US" w:eastAsia="zh-CN"/>
              </w:rPr>
              <w:t>一期、二期原料烘箱烘干废气经集气管道收集后进入1套“袋式除尘器+水喷淋塔”（TA002）处理，处理后尾气通过1根20m高排气筒DA002排放，一期原料块煅烧废气经集气管道收集后进入2套“袋式除尘器+水喷淋塔”（TA003、TA004）处理，处理后尾气通过1根20m高排气筒DA003排放，二期原料块煅烧废气经集气管道收集后进入1套“袋式除尘器+水喷淋塔”（TA010、TA011）处理，处理后尾气通过1根20m高排气筒DA005排放，有组织废气排放满足河南省地方标准《工业炉窑大气污染物排放标准》（DB41/1066-2020）表1其他炉窑、《河南省重污染天气通用行业应急减排措施制定技术指南（2024年修订版）》（豫环办〔2024〕72号）通用涉炉窑企业绩效分级指标A级企业排放限值（电窑）、《恶臭污染物排放标准》（GB14554-93）表2标准值。</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Times New Roman" w:hAnsi="Times New Roman" w:eastAsia="宋体" w:cs="Times New Roman"/>
                <w:color w:val="auto"/>
                <w:sz w:val="18"/>
                <w:szCs w:val="18"/>
                <w:u w:val="none"/>
                <w:lang w:val="en-US" w:eastAsia="zh-CN"/>
              </w:rPr>
            </w:pPr>
            <w:r>
              <w:rPr>
                <w:rFonts w:hint="eastAsia" w:ascii="Times New Roman" w:hAnsi="Times New Roman" w:eastAsia="宋体" w:cs="Times New Roman"/>
                <w:color w:val="auto"/>
                <w:sz w:val="18"/>
                <w:szCs w:val="18"/>
                <w:u w:val="none"/>
                <w:lang w:val="en-US" w:eastAsia="zh-CN"/>
              </w:rPr>
              <w:t>厂界无组织颗粒物车间密闭，加强管理，排放满足《大气污染物综合排放标准》（GB16297-1996）表2颗粒物无组织排放浓度限值。</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eastAsia" w:ascii="Times New Roman" w:hAnsi="Times New Roman" w:eastAsia="宋体" w:cs="Times New Roman"/>
                <w:color w:val="auto"/>
                <w:sz w:val="18"/>
                <w:szCs w:val="18"/>
                <w:u w:val="none"/>
                <w:lang w:val="en-US" w:eastAsia="zh-CN"/>
              </w:rPr>
            </w:pPr>
            <w:r>
              <w:rPr>
                <w:rFonts w:hint="eastAsia" w:ascii="Times New Roman" w:hAnsi="Times New Roman" w:eastAsia="宋体" w:cs="Times New Roman"/>
                <w:color w:val="auto"/>
                <w:sz w:val="18"/>
                <w:szCs w:val="18"/>
                <w:u w:val="none"/>
                <w:lang w:val="en-US" w:eastAsia="zh-CN"/>
              </w:rPr>
              <w:t>3、落实噪声污染防治措施。项目主要噪声源为隧道炉、混料机、烘箱、粉碎机和风机等，经采取厂房隔声、基础减振等治理措施后，四周厂界噪声满足《工业企业厂界环境噪声排放标准》(GB12348-2008)3类标准要求。</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eastAsia" w:ascii="Times New Roman" w:hAnsi="Times New Roman" w:eastAsia="宋体" w:cs="Times New Roman"/>
                <w:color w:val="auto"/>
                <w:sz w:val="18"/>
                <w:szCs w:val="18"/>
                <w:u w:val="none"/>
                <w:lang w:val="en-US" w:eastAsia="zh-CN"/>
              </w:rPr>
            </w:pPr>
            <w:r>
              <w:rPr>
                <w:rFonts w:hint="eastAsia" w:ascii="Times New Roman" w:hAnsi="Times New Roman" w:eastAsia="宋体" w:cs="Times New Roman"/>
                <w:color w:val="auto"/>
                <w:sz w:val="18"/>
                <w:szCs w:val="18"/>
                <w:u w:val="none"/>
                <w:lang w:val="en-US" w:eastAsia="zh-CN"/>
              </w:rPr>
              <w:t>4、落实固体废物污染防治措施。严格落实《报告表》提出的固体废物污染防治措施。落实危险废物厂内暂存措施和最终处理措施。</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eastAsia" w:asciiTheme="minorEastAsia" w:hAnsiTheme="minorEastAsia" w:eastAsiaTheme="minorEastAsia" w:cstheme="minorEastAsia"/>
                <w:kern w:val="2"/>
                <w:sz w:val="18"/>
                <w:szCs w:val="20"/>
                <w:lang w:val="en-US" w:eastAsia="zh-CN" w:bidi="ar-SA"/>
              </w:rPr>
            </w:pPr>
            <w:r>
              <w:rPr>
                <w:rFonts w:hint="eastAsia" w:ascii="Times New Roman" w:hAnsi="Times New Roman" w:eastAsia="宋体" w:cs="Times New Roman"/>
                <w:color w:val="auto"/>
                <w:sz w:val="18"/>
                <w:szCs w:val="18"/>
                <w:u w:val="none"/>
                <w:lang w:val="en-US" w:eastAsia="zh-CN"/>
              </w:rPr>
              <w:t>5、地下水、土壤污染防治措施：按照“源头控制，分区防控，污染监控，应急响应”相结合的原则，从污染物的产生、入渗、扩散和应急响应等全方位进行控制。</w:t>
            </w:r>
          </w:p>
        </w:tc>
        <w:tc>
          <w:tcPr>
            <w:tcW w:w="846" w:type="dxa"/>
            <w:vAlign w:val="center"/>
          </w:tcPr>
          <w:p>
            <w:pPr>
              <w:jc w:val="center"/>
              <w:rPr>
                <w:rFonts w:ascii="Times New Roman" w:hAnsi="Times New Roman" w:cs="Times New Roman"/>
              </w:rPr>
            </w:pPr>
            <w:r>
              <w:rPr>
                <w:rFonts w:hint="eastAsia" w:ascii="Times New Roman" w:hAnsi="Times New Roman" w:cs="Times New Roman"/>
              </w:rPr>
              <w:t>/</w:t>
            </w:r>
          </w:p>
        </w:tc>
      </w:tr>
    </w:tbl>
    <w:p/>
    <w:sectPr>
      <w:pgSz w:w="15840" w:h="12240" w:orient="landscape"/>
      <w:pgMar w:top="720" w:right="720" w:bottom="720" w:left="72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QzOWNhY2ZlMGU5ZDNhMjgxODQ0M2Y3OTQzYmE2NzgifQ=="/>
  </w:docVars>
  <w:rsids>
    <w:rsidRoot w:val="00E45464"/>
    <w:rsid w:val="00083FD6"/>
    <w:rsid w:val="000A70CF"/>
    <w:rsid w:val="000B3180"/>
    <w:rsid w:val="000E52F8"/>
    <w:rsid w:val="00175827"/>
    <w:rsid w:val="002606A5"/>
    <w:rsid w:val="00285E7F"/>
    <w:rsid w:val="002D4F24"/>
    <w:rsid w:val="002D5822"/>
    <w:rsid w:val="002F3ADF"/>
    <w:rsid w:val="003105F1"/>
    <w:rsid w:val="00324D38"/>
    <w:rsid w:val="00360E24"/>
    <w:rsid w:val="00442C52"/>
    <w:rsid w:val="00505D7C"/>
    <w:rsid w:val="005D07DA"/>
    <w:rsid w:val="005D2520"/>
    <w:rsid w:val="00624E4E"/>
    <w:rsid w:val="006635B5"/>
    <w:rsid w:val="006A11D5"/>
    <w:rsid w:val="00703107"/>
    <w:rsid w:val="00703B1B"/>
    <w:rsid w:val="007E4F96"/>
    <w:rsid w:val="00821E19"/>
    <w:rsid w:val="00906330"/>
    <w:rsid w:val="009A1D0A"/>
    <w:rsid w:val="00A263B0"/>
    <w:rsid w:val="00B04EE1"/>
    <w:rsid w:val="00BF0BC8"/>
    <w:rsid w:val="00C24A4B"/>
    <w:rsid w:val="00C24E7F"/>
    <w:rsid w:val="00C4708F"/>
    <w:rsid w:val="00C86CC6"/>
    <w:rsid w:val="00D728D1"/>
    <w:rsid w:val="00E17D32"/>
    <w:rsid w:val="00E33299"/>
    <w:rsid w:val="00E37AA1"/>
    <w:rsid w:val="00E45464"/>
    <w:rsid w:val="00E9216F"/>
    <w:rsid w:val="00EF58F2"/>
    <w:rsid w:val="00F42A80"/>
    <w:rsid w:val="00FE3CFD"/>
    <w:rsid w:val="00FE482C"/>
    <w:rsid w:val="03001E2D"/>
    <w:rsid w:val="04A42BE0"/>
    <w:rsid w:val="05E74815"/>
    <w:rsid w:val="08472EB8"/>
    <w:rsid w:val="0B291CB1"/>
    <w:rsid w:val="0C730594"/>
    <w:rsid w:val="0E1635CC"/>
    <w:rsid w:val="13405DEA"/>
    <w:rsid w:val="13BF0DDC"/>
    <w:rsid w:val="14CA3CE2"/>
    <w:rsid w:val="15AC3C0A"/>
    <w:rsid w:val="16F07B27"/>
    <w:rsid w:val="19D10A14"/>
    <w:rsid w:val="1C3F1570"/>
    <w:rsid w:val="1F957D9C"/>
    <w:rsid w:val="22CA3CFF"/>
    <w:rsid w:val="25894C90"/>
    <w:rsid w:val="264D79F5"/>
    <w:rsid w:val="28962913"/>
    <w:rsid w:val="31965FF6"/>
    <w:rsid w:val="38AB582B"/>
    <w:rsid w:val="3C790192"/>
    <w:rsid w:val="43CB236F"/>
    <w:rsid w:val="47FA6D04"/>
    <w:rsid w:val="4AD81E57"/>
    <w:rsid w:val="4B64776A"/>
    <w:rsid w:val="4B8820FC"/>
    <w:rsid w:val="4E467412"/>
    <w:rsid w:val="524776C7"/>
    <w:rsid w:val="534A3B3F"/>
    <w:rsid w:val="53787C8C"/>
    <w:rsid w:val="53D46808"/>
    <w:rsid w:val="5AAB1367"/>
    <w:rsid w:val="5AEF3D93"/>
    <w:rsid w:val="5C426370"/>
    <w:rsid w:val="61F41738"/>
    <w:rsid w:val="61FB637A"/>
    <w:rsid w:val="62671FAC"/>
    <w:rsid w:val="66DB14FC"/>
    <w:rsid w:val="6D3D60D3"/>
    <w:rsid w:val="6F077F38"/>
    <w:rsid w:val="6F0B4673"/>
    <w:rsid w:val="7082493A"/>
    <w:rsid w:val="7197229A"/>
    <w:rsid w:val="720E0702"/>
    <w:rsid w:val="727D26AA"/>
    <w:rsid w:val="72D059B7"/>
    <w:rsid w:val="74996FAB"/>
    <w:rsid w:val="79DB78AA"/>
    <w:rsid w:val="7BA24A56"/>
    <w:rsid w:val="7C922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character" w:default="1" w:styleId="7">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20"/>
    </w:rPr>
  </w:style>
  <w:style w:type="paragraph" w:styleId="4">
    <w:name w:val="Body Text Indent"/>
    <w:basedOn w:val="1"/>
    <w:next w:val="3"/>
    <w:qFormat/>
    <w:uiPriority w:val="0"/>
    <w:pPr>
      <w:spacing w:after="120"/>
      <w:ind w:left="420" w:leftChars="200"/>
    </w:pPr>
    <w:rPr>
      <w:kern w:val="0"/>
      <w:sz w:val="24"/>
      <w:szCs w:val="20"/>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0"/>
    <w:basedOn w:val="1"/>
    <w:qFormat/>
    <w:uiPriority w:val="0"/>
    <w:pPr>
      <w:spacing w:line="460" w:lineRule="exact"/>
      <w:ind w:firstLine="480" w:firstLineChars="200"/>
    </w:pPr>
    <w:rPr>
      <w:kern w:val="0"/>
      <w:sz w:val="24"/>
      <w:szCs w:val="20"/>
    </w:rPr>
  </w:style>
  <w:style w:type="character" w:customStyle="1" w:styleId="11">
    <w:name w:val="页眉 字符"/>
    <w:basedOn w:val="7"/>
    <w:link w:val="6"/>
    <w:qFormat/>
    <w:uiPriority w:val="99"/>
    <w:rPr>
      <w:sz w:val="18"/>
      <w:szCs w:val="18"/>
    </w:rPr>
  </w:style>
  <w:style w:type="character" w:customStyle="1" w:styleId="12">
    <w:name w:val="页脚 字符"/>
    <w:basedOn w:val="7"/>
    <w:link w:val="5"/>
    <w:qFormat/>
    <w:uiPriority w:val="99"/>
    <w:rPr>
      <w:sz w:val="18"/>
      <w:szCs w:val="18"/>
    </w:rPr>
  </w:style>
  <w:style w:type="paragraph" w:customStyle="1" w:styleId="13">
    <w:name w:val="表格文字"/>
    <w:basedOn w:val="1"/>
    <w:qFormat/>
    <w:uiPriority w:val="0"/>
    <w:pPr>
      <w:spacing w:line="360" w:lineRule="auto"/>
      <w:jc w:val="center"/>
    </w:pPr>
    <w:rPr>
      <w:rFonts w:ascii="Calibri" w:hAnsi="Calibri"/>
      <w:color w:val="000000"/>
    </w:rPr>
  </w:style>
  <w:style w:type="paragraph" w:customStyle="1" w:styleId="14">
    <w:name w:val="Body Text First Indent 2"/>
    <w:basedOn w:val="1"/>
    <w:next w:val="1"/>
    <w:qFormat/>
    <w:uiPriority w:val="0"/>
    <w:pPr>
      <w:ind w:firstLine="420" w:firstLineChars="200"/>
    </w:pPr>
    <w:rPr>
      <w:kern w:val="2"/>
      <w:sz w:val="21"/>
    </w:rPr>
  </w:style>
  <w:style w:type="character" w:customStyle="1" w:styleId="15">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1122</Words>
  <Characters>1220</Characters>
  <Lines>7</Lines>
  <Paragraphs>2</Paragraphs>
  <TotalTime>0</TotalTime>
  <ScaleCrop>false</ScaleCrop>
  <LinksUpToDate>false</LinksUpToDate>
  <CharactersWithSpaces>1220</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2021-02-05T09:38:00Z</dcterms:created>
  <dc:creator>Administrator</dc:creator>
  <cp:lastModifiedBy>吴光琳</cp:lastModifiedBy>
  <dcterms:modified xsi:type="dcterms:W3CDTF">2025-09-24T02:15:32Z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AEB0907B1AEE4D45BD82FE0F96C88442_13</vt:lpwstr>
  </property>
  <property fmtid="{D5CDD505-2E9C-101B-9397-08002B2CF9AE}" pid="4" name="KSOTemplateDocerSaveRecord">
    <vt:lpwstr>eyJoZGlkIjoiMDljYzUzMWQ4OWI0YzBkYjYzMDRhZTY5ZjZkYmFmYTgiLCJ1c2VySWQiOiI2NDExMTM0MjEifQ==</vt:lpwstr>
  </property>
</Properties>
</file>