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2B3EC">
      <w:pPr>
        <w:spacing w:before="239" w:line="221" w:lineRule="auto"/>
        <w:ind w:left="1029"/>
        <w:jc w:val="both"/>
        <w:rPr>
          <w:rFonts w:hint="eastAsia" w:ascii="黑体" w:hAnsi="黑体" w:eastAsia="黑体" w:cs="黑体"/>
          <w:b/>
          <w:bCs/>
          <w:snapToGrid w:val="0"/>
          <w:color w:val="000000"/>
          <w:spacing w:val="-6"/>
          <w:kern w:val="0"/>
          <w:sz w:val="26"/>
          <w:szCs w:val="26"/>
          <w:lang w:val="en-US" w:eastAsia="zh-CN" w:bidi="ar-SA"/>
        </w:rPr>
      </w:pPr>
      <w:r>
        <w:rPr>
          <w:rFonts w:hint="eastAsia" w:ascii="黑体" w:hAnsi="黑体" w:eastAsia="黑体" w:cs="黑体"/>
          <w:b/>
          <w:bCs/>
          <w:spacing w:val="-6"/>
          <w:sz w:val="26"/>
          <w:szCs w:val="26"/>
          <w:lang w:eastAsia="zh-CN"/>
        </w:rPr>
        <w:t>信阳市平桥区应急管理局</w:t>
      </w:r>
      <w:r>
        <w:rPr>
          <w:rFonts w:ascii="黑体" w:hAnsi="黑体" w:eastAsia="黑体" w:cs="黑体"/>
          <w:b/>
          <w:bCs/>
          <w:spacing w:val="-6"/>
          <w:sz w:val="26"/>
          <w:szCs w:val="26"/>
        </w:rPr>
        <w:t>涉企行政检查公示专栏</w:t>
      </w:r>
      <w:r>
        <w:rPr>
          <w:rFonts w:hint="eastAsia" w:ascii="黑体" w:hAnsi="黑体" w:eastAsia="黑体" w:cs="黑体"/>
          <w:b/>
          <w:bCs/>
          <w:snapToGrid w:val="0"/>
          <w:color w:val="000000"/>
          <w:spacing w:val="-6"/>
          <w:kern w:val="0"/>
          <w:sz w:val="26"/>
          <w:szCs w:val="26"/>
          <w:lang w:val="en-US" w:eastAsia="zh-CN" w:bidi="ar-SA"/>
        </w:rPr>
        <w:t>检查标准</w:t>
      </w:r>
    </w:p>
    <w:p w14:paraId="07F6539D">
      <w:pPr>
        <w:spacing w:line="185" w:lineRule="exact"/>
      </w:pPr>
    </w:p>
    <w:tbl>
      <w:tblPr>
        <w:tblStyle w:val="4"/>
        <w:tblW w:w="7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1627"/>
        <w:gridCol w:w="4990"/>
      </w:tblGrid>
      <w:tr w14:paraId="5012F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683" w:type="dxa"/>
            <w:vAlign w:val="center"/>
          </w:tcPr>
          <w:p w14:paraId="0A617CBA">
            <w:pPr>
              <w:pStyle w:val="5"/>
              <w:spacing w:before="133" w:line="221" w:lineRule="auto"/>
              <w:ind w:left="155"/>
              <w:jc w:val="center"/>
              <w:rPr>
                <w:rFonts w:hint="eastAsia" w:ascii="仿宋" w:hAnsi="仿宋" w:eastAsia="仿宋" w:cs="仿宋"/>
                <w:sz w:val="28"/>
                <w:szCs w:val="28"/>
              </w:rPr>
            </w:pPr>
            <w:r>
              <w:rPr>
                <w:rFonts w:hint="eastAsia" w:ascii="仿宋" w:hAnsi="仿宋" w:eastAsia="仿宋" w:cs="仿宋"/>
                <w:spacing w:val="-2"/>
                <w:sz w:val="28"/>
                <w:szCs w:val="28"/>
              </w:rPr>
              <w:t>序号</w:t>
            </w:r>
          </w:p>
        </w:tc>
        <w:tc>
          <w:tcPr>
            <w:tcW w:w="1627" w:type="dxa"/>
            <w:vAlign w:val="center"/>
          </w:tcPr>
          <w:p w14:paraId="111C8015">
            <w:pPr>
              <w:pStyle w:val="5"/>
              <w:spacing w:before="11" w:line="211" w:lineRule="auto"/>
              <w:ind w:left="421" w:right="53" w:hanging="360"/>
              <w:jc w:val="left"/>
              <w:rPr>
                <w:rFonts w:hint="eastAsia" w:ascii="仿宋" w:hAnsi="仿宋" w:eastAsia="仿宋" w:cs="仿宋"/>
                <w:sz w:val="28"/>
                <w:szCs w:val="28"/>
              </w:rPr>
            </w:pPr>
            <w:r>
              <w:rPr>
                <w:rFonts w:hint="eastAsia" w:ascii="仿宋" w:hAnsi="仿宋" w:eastAsia="仿宋" w:cs="仿宋"/>
                <w:spacing w:val="1"/>
                <w:sz w:val="28"/>
                <w:szCs w:val="28"/>
              </w:rPr>
              <w:t>行政检查事项</w:t>
            </w:r>
            <w:r>
              <w:rPr>
                <w:rFonts w:hint="eastAsia" w:ascii="仿宋" w:hAnsi="仿宋" w:eastAsia="仿宋" w:cs="仿宋"/>
                <w:spacing w:val="-3"/>
                <w:sz w:val="28"/>
                <w:szCs w:val="28"/>
              </w:rPr>
              <w:t>名称</w:t>
            </w:r>
          </w:p>
        </w:tc>
        <w:tc>
          <w:tcPr>
            <w:tcW w:w="4990" w:type="dxa"/>
            <w:vAlign w:val="center"/>
          </w:tcPr>
          <w:p w14:paraId="6C9EC0C7">
            <w:pPr>
              <w:pStyle w:val="5"/>
              <w:spacing w:before="132" w:line="219" w:lineRule="auto"/>
              <w:ind w:left="715"/>
              <w:jc w:val="center"/>
              <w:rPr>
                <w:rFonts w:hint="eastAsia" w:ascii="仿宋" w:hAnsi="仿宋" w:eastAsia="仿宋" w:cs="仿宋"/>
                <w:sz w:val="28"/>
                <w:szCs w:val="28"/>
              </w:rPr>
            </w:pPr>
            <w:r>
              <w:rPr>
                <w:rFonts w:hint="eastAsia" w:ascii="仿宋" w:hAnsi="仿宋" w:eastAsia="仿宋" w:cs="仿宋"/>
                <w:spacing w:val="-2"/>
                <w:sz w:val="28"/>
                <w:szCs w:val="28"/>
              </w:rPr>
              <w:t>检查标准</w:t>
            </w:r>
          </w:p>
        </w:tc>
      </w:tr>
      <w:tr w14:paraId="1964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83" w:type="dxa"/>
            <w:vAlign w:val="center"/>
          </w:tcPr>
          <w:p w14:paraId="65E7964F">
            <w:pPr>
              <w:pStyle w:val="5"/>
              <w:spacing w:before="197" w:line="205" w:lineRule="auto"/>
              <w:ind w:left="245"/>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627" w:type="dxa"/>
            <w:vAlign w:val="center"/>
          </w:tcPr>
          <w:p w14:paraId="14F07D0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对危险化学品生产企业登记危险化学品有关情况的监督检查</w:t>
            </w:r>
          </w:p>
        </w:tc>
        <w:tc>
          <w:tcPr>
            <w:tcW w:w="4990" w:type="dxa"/>
            <w:vAlign w:val="top"/>
          </w:tcPr>
          <w:p w14:paraId="27D570E6">
            <w:pPr>
              <w:keepNext w:val="0"/>
              <w:keepLines w:val="0"/>
              <w:widowControl/>
              <w:suppressLineNumbers w:val="0"/>
              <w:jc w:val="both"/>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危险化学品安全管理条例(2013)》第六十七条第一款 危险化学品生产企业、进口企业，应当向国务院安全生产监督管理部门负责危险化学品登记的机构（以下简称危险化学品登记机构）办理危险化学品登记。</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《危险化学品安全管理条例(2013)》第六十七条第二款第一项 危险化学品登记包括下列内容：（一）分类和标签信息；</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《危险化学品安全管理条例(2013)》第六十七条第二款第二项 危险化学品登记包括下列内容：（二）物理、化学性质；</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《危险化学品安全管理条例(2013)》第六十七条第二款第三项 危险化学品登记包括下列内容：（三）主要用途；</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《危险化学品安全管理条例(2013)》第六十七条第二款第四项 危险化学品登记包括下列内容：（四）危险特性；</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《危险化学品安全管理条例(2013)》第六十七条第二款第五项 危险化学品登记包括下列内容：（五）储存、使用、运输的安全要求；</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《危险化学品安全管理条例(2013)》第六十七条第二款第六项 危险化学品登记包括下列内容：（六）出现危险情况的应急处置措施。</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《危险化学品安全管理条例(2013)》第六十七条第三款 对同一企业生产、进口的同一品种的危险化学品，不进行重复登记。危险化学品生产企业、进口企业发现其生产、进口的危险化学品有新的危险特性的，应当及时向危险化学品登记机构办理登记内容变更手续。</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《危险化学品安全管理条例(2013)》第六十七条第四款 危险化学品登记的具体办法由国务院安全生产监督管理部门制定。</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《危险化学品登记管理办法(2012)》第四条第一款 国家安全生产监督管理总局负责全国危险化学品登记的监督管理工作。</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《危险化学品登记管理办法(2012)》第四条第二款 县级以上地方各级人民政府安全生产监督管理部门负责本行政区域内危险化学品登记的监督管理工作。</w:t>
            </w:r>
          </w:p>
        </w:tc>
      </w:tr>
      <w:tr w14:paraId="6360E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683" w:type="dxa"/>
            <w:vAlign w:val="center"/>
          </w:tcPr>
          <w:p w14:paraId="094278C8">
            <w:pPr>
              <w:pStyle w:val="5"/>
              <w:spacing w:before="210" w:line="173" w:lineRule="exact"/>
              <w:ind w:left="275"/>
              <w:jc w:val="center"/>
              <w:rPr>
                <w:rFonts w:hint="eastAsia" w:ascii="仿宋" w:hAnsi="仿宋" w:eastAsia="仿宋" w:cs="仿宋"/>
                <w:sz w:val="28"/>
                <w:szCs w:val="28"/>
                <w:lang w:eastAsia="zh-CN"/>
              </w:rPr>
            </w:pPr>
            <w:r>
              <w:rPr>
                <w:rFonts w:hint="eastAsia" w:ascii="仿宋" w:hAnsi="仿宋" w:eastAsia="仿宋" w:cs="仿宋"/>
                <w:position w:val="1"/>
                <w:sz w:val="28"/>
                <w:szCs w:val="28"/>
                <w:lang w:val="en-US" w:eastAsia="zh-CN"/>
              </w:rPr>
              <w:t>2</w:t>
            </w:r>
          </w:p>
        </w:tc>
        <w:tc>
          <w:tcPr>
            <w:tcW w:w="1627" w:type="dxa"/>
            <w:vAlign w:val="center"/>
          </w:tcPr>
          <w:p w14:paraId="267734E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对危险化学品生产企业、进口企业未按规定向用户提供应急咨询服务的行政处罚</w:t>
            </w:r>
          </w:p>
        </w:tc>
        <w:tc>
          <w:tcPr>
            <w:tcW w:w="4990" w:type="dxa"/>
            <w:vAlign w:val="top"/>
          </w:tcPr>
          <w:p w14:paraId="2E8B4C7E">
            <w:pPr>
              <w:keepNext w:val="0"/>
              <w:keepLines w:val="0"/>
              <w:widowControl/>
              <w:suppressLineNumbers w:val="0"/>
              <w:jc w:val="both"/>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危险化学品登记管理办法(2012)》第二十二条第一款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《危险化学品登记管理办法(2012)》第二十二条第二款 危险化学品生产企业不能提供前款规定应急咨询服务的，应当委托登记机构代理应急咨询服务。</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《危险化学品登记管理办法(2012)》第二十二条第三款 危险化学品进口企业应当自行或者委托进口代理商、登记机构提供符合本条第一款要求的应急咨询服务，并在其进口的危险化学品安全标签上标明应急咨询服务电话号码。</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《危险化学品登记管理办法(2012)》第二十二条第四款 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罚则依据</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依据条款 依据内容</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《危险化学品登记管理办法(2012)》第三十条第一项 登记企业有下列行为之一的，责令改正，可以处3万元以下的罚款:（一）未向用户提供应急咨询服务或者应急咨询服务不符合本办法第二十二条规定的；</w:t>
            </w:r>
          </w:p>
        </w:tc>
      </w:tr>
      <w:tr w14:paraId="4631F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83" w:type="dxa"/>
            <w:vAlign w:val="center"/>
          </w:tcPr>
          <w:p w14:paraId="264BBE73">
            <w:pPr>
              <w:pStyle w:val="5"/>
              <w:spacing w:before="202" w:line="173" w:lineRule="exact"/>
              <w:ind w:left="275"/>
              <w:jc w:val="center"/>
              <w:rPr>
                <w:rFonts w:hint="eastAsia" w:ascii="仿宋" w:hAnsi="仿宋" w:eastAsia="仿宋" w:cs="仿宋"/>
                <w:sz w:val="28"/>
                <w:szCs w:val="28"/>
                <w:lang w:eastAsia="zh-CN"/>
              </w:rPr>
            </w:pPr>
            <w:r>
              <w:rPr>
                <w:rFonts w:hint="eastAsia" w:ascii="仿宋" w:hAnsi="仿宋" w:eastAsia="仿宋" w:cs="仿宋"/>
                <w:position w:val="1"/>
                <w:sz w:val="28"/>
                <w:szCs w:val="28"/>
                <w:lang w:val="en-US" w:eastAsia="zh-CN"/>
              </w:rPr>
              <w:t>3</w:t>
            </w:r>
          </w:p>
        </w:tc>
        <w:tc>
          <w:tcPr>
            <w:tcW w:w="1627" w:type="dxa"/>
            <w:vAlign w:val="center"/>
          </w:tcPr>
          <w:p w14:paraId="70BE4943">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对化学品单位有未按规定对化学品进行物理危险性鉴定或者分类等行为的行政处罚</w:t>
            </w:r>
          </w:p>
        </w:tc>
        <w:tc>
          <w:tcPr>
            <w:tcW w:w="4990" w:type="dxa"/>
            <w:vAlign w:val="top"/>
          </w:tcPr>
          <w:p w14:paraId="23394DB5">
            <w:pPr>
              <w:keepNext w:val="0"/>
              <w:keepLines w:val="0"/>
              <w:widowControl/>
              <w:suppressLineNumbers w:val="0"/>
              <w:jc w:val="both"/>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化学品物理危险性鉴定与分类管理办法(2013)》第十九条第一项 化学品单位有下列情形之一的，由安全生产监督管理部门责令限期改正，可以处1万元以下的罚款；拒不改正的，处1万元以上3万元以下的罚款:（一）未按照本办法规定对化学品进行物理危险性鉴定或者分类的；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《化学品物理危险性鉴定与分类管理办法(2013)》第十九条第二项 化学品单位有下列情形之一的，由安全生产监督管理部门责令限期改正，可以处1万元以下的罚款；拒不改正的，处1万元以上3万元以下的罚款:（二）未按照本办法规定建立化学品物理危险性鉴定与分类管理档案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《化学品物理危险性鉴定与分类管理办法(2013)》第十九条第三项 化学品单位有下列情形之一的，由安全生产监督管理部门责令限期改正，可以处1万元以下的罚款；拒不改正的，处1万元以上3万元以下的罚款:（三）在办理化学品物理危险性的鉴定过程中，隐瞒化学品的危险性成分、含量等相关信息或者提供虚假材料的。</w:t>
            </w:r>
          </w:p>
        </w:tc>
      </w:tr>
      <w:tr w14:paraId="66ED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83" w:type="dxa"/>
            <w:vAlign w:val="center"/>
          </w:tcPr>
          <w:p w14:paraId="5CFB9513">
            <w:pPr>
              <w:pStyle w:val="5"/>
              <w:spacing w:before="202" w:line="173" w:lineRule="exact"/>
              <w:ind w:left="275"/>
              <w:jc w:val="center"/>
              <w:rPr>
                <w:rFonts w:hint="eastAsia" w:ascii="仿宋" w:hAnsi="仿宋" w:eastAsia="仿宋" w:cs="仿宋"/>
                <w:position w:val="1"/>
                <w:sz w:val="28"/>
                <w:szCs w:val="28"/>
                <w:lang w:val="en-US" w:eastAsia="zh-CN"/>
              </w:rPr>
            </w:pPr>
            <w:r>
              <w:rPr>
                <w:rFonts w:hint="eastAsia" w:ascii="仿宋" w:hAnsi="仿宋" w:eastAsia="仿宋" w:cs="仿宋"/>
                <w:position w:val="1"/>
                <w:sz w:val="28"/>
                <w:szCs w:val="28"/>
                <w:lang w:val="en-US" w:eastAsia="zh-CN"/>
              </w:rPr>
              <w:t>4</w:t>
            </w:r>
          </w:p>
        </w:tc>
        <w:tc>
          <w:tcPr>
            <w:tcW w:w="1627" w:type="dxa"/>
            <w:vAlign w:val="center"/>
          </w:tcPr>
          <w:p w14:paraId="1C6899A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对生产经营单位有在应急预案编制前未按照规定开展风险辨识、评估和应急资源调查等行为的行政处罚</w:t>
            </w:r>
          </w:p>
        </w:tc>
        <w:tc>
          <w:tcPr>
            <w:tcW w:w="4990" w:type="dxa"/>
            <w:vAlign w:val="top"/>
          </w:tcPr>
          <w:p w14:paraId="1605841E">
            <w:pPr>
              <w:keepNext w:val="0"/>
              <w:keepLines w:val="0"/>
              <w:widowControl/>
              <w:suppressLineNumbers w:val="0"/>
              <w:jc w:val="both"/>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《生产安全事故应急预案管理办法(2019)》第四十五条第一款第一项 生产经营单位有下列情形之一的，由县级以上人民政府应急管理部门责令限期改正，可以处1万元以上3万元以下的罚款：（一）在应急预案编制前未按照规定开展风险辨识、评估和应急资源调查的；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《生产安全事故应急预案管理办法(2019)》第四十五条第一款第二项 生产经营单位有下列情形之一的，由县级以上人民政府应急管理部门责令限期改正，可以处1万元以上3万元以下的罚款：（二）未按照规定开展应急预案评审的；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《生产安全事故应急预案管理办法(2019)》第四十五条第一款第三项 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《生产安全事故应急预案管理办法(2019)》第四十五条第一款第四项 生产经营单位有下列情形之一的，由县级以上人民政府应急管理部门责令限期改正，可以处1万元以上3万元以下的罚款：（四）未按照规定开展应急预案评估的；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《生产安全事故应急预案管理办法(2019)》第四十五条第一款第五项 生产经营单位有下列情形之一的，由县级以上人民政府应急管理部门责令限期改正，可以处1万元以上3万元以下的罚款：（五）未按照规定进行应急预案修订的；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《生产安全事故应急预案管理办法(2019)》第四十五条第一款第六项 生产经营单位有下列情形之一的，由县级以上人民政府应急管理部门责令限期改正，可以处1万元以上3万元以下的罚款：（六）未落实应急预案规定的应急物资及装备的。</w:t>
            </w:r>
          </w:p>
        </w:tc>
      </w:tr>
      <w:tr w14:paraId="472D3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83" w:type="dxa"/>
            <w:vAlign w:val="center"/>
          </w:tcPr>
          <w:p w14:paraId="18C8D5C6">
            <w:pPr>
              <w:pStyle w:val="5"/>
              <w:spacing w:before="202" w:line="173" w:lineRule="exact"/>
              <w:ind w:left="275"/>
              <w:jc w:val="center"/>
              <w:rPr>
                <w:rFonts w:hint="eastAsia" w:ascii="仿宋" w:hAnsi="仿宋" w:eastAsia="仿宋" w:cs="仿宋"/>
                <w:position w:val="1"/>
                <w:sz w:val="28"/>
                <w:szCs w:val="28"/>
                <w:lang w:val="en-US" w:eastAsia="zh-CN"/>
              </w:rPr>
            </w:pPr>
            <w:r>
              <w:rPr>
                <w:rFonts w:hint="eastAsia" w:ascii="仿宋" w:hAnsi="仿宋" w:eastAsia="仿宋" w:cs="仿宋"/>
                <w:position w:val="1"/>
                <w:sz w:val="28"/>
                <w:szCs w:val="28"/>
                <w:lang w:val="en-US" w:eastAsia="zh-CN"/>
              </w:rPr>
              <w:t>5</w:t>
            </w:r>
          </w:p>
        </w:tc>
        <w:tc>
          <w:tcPr>
            <w:tcW w:w="1627" w:type="dxa"/>
            <w:vAlign w:val="center"/>
          </w:tcPr>
          <w:p w14:paraId="208D280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对事故发生单位及其有关人员有转移、隐匿资金、财产，或者销毁有关证据、资料等行为的行政处罚</w:t>
            </w:r>
          </w:p>
        </w:tc>
        <w:tc>
          <w:tcPr>
            <w:tcW w:w="4990" w:type="dxa"/>
            <w:vAlign w:val="top"/>
          </w:tcPr>
          <w:p w14:paraId="0D9E5E77">
            <w:pPr>
              <w:keepNext w:val="0"/>
              <w:keepLines w:val="0"/>
              <w:widowControl/>
              <w:suppressLineNumbers w:val="0"/>
              <w:jc w:val="both"/>
              <w:textAlignment w:val="center"/>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生产安全事故报告和调查处理条例(2007)》第三十六条第三项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《生产安全事故报告和调查处理条例(2007)》第三十六条第四项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四）拒绝接受调查或者拒绝提供有关情况和资料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《生产安全事故报告和调查处理条例(2007)》第三十六条第五项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五）在事故调查中作伪证或者指使他人作伪证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《生产安全事故报告和调查处理条例(2007)》第三十六条第六项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六）事故发生后逃匿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《生产安全事故报告和调查处理条例(2007)》第四十三条第一款 本条例规定的罚款的行政处罚，由安全生产监督管理部门决定。</w:t>
            </w:r>
          </w:p>
        </w:tc>
      </w:tr>
      <w:tr w14:paraId="17F9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83" w:type="dxa"/>
            <w:vAlign w:val="center"/>
          </w:tcPr>
          <w:p w14:paraId="09E5F01C">
            <w:pPr>
              <w:pStyle w:val="5"/>
              <w:spacing w:before="202" w:line="173" w:lineRule="exact"/>
              <w:ind w:left="275"/>
              <w:jc w:val="center"/>
              <w:rPr>
                <w:rFonts w:hint="default" w:ascii="仿宋" w:hAnsi="仿宋" w:eastAsia="仿宋" w:cs="仿宋"/>
                <w:position w:val="1"/>
                <w:sz w:val="28"/>
                <w:szCs w:val="28"/>
                <w:lang w:val="en-US" w:eastAsia="zh-CN"/>
              </w:rPr>
            </w:pPr>
            <w:r>
              <w:rPr>
                <w:rFonts w:hint="eastAsia" w:ascii="仿宋" w:hAnsi="仿宋" w:eastAsia="仿宋" w:cs="仿宋"/>
                <w:position w:val="1"/>
                <w:sz w:val="28"/>
                <w:szCs w:val="28"/>
                <w:lang w:val="en-US" w:eastAsia="zh-CN"/>
              </w:rPr>
              <w:t>6</w:t>
            </w:r>
          </w:p>
        </w:tc>
        <w:tc>
          <w:tcPr>
            <w:tcW w:w="1627" w:type="dxa"/>
            <w:vAlign w:val="center"/>
          </w:tcPr>
          <w:p w14:paraId="687211D0">
            <w:pPr>
              <w:keepNext w:val="0"/>
              <w:keepLines w:val="0"/>
              <w:widowControl/>
              <w:suppressLineNumbers w:val="0"/>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对事故发生单位主要负责人漏报生产安全事故的行政处罚</w:t>
            </w:r>
          </w:p>
        </w:tc>
        <w:tc>
          <w:tcPr>
            <w:tcW w:w="4990" w:type="dxa"/>
            <w:vAlign w:val="center"/>
          </w:tcPr>
          <w:p w14:paraId="5ADA8CAC">
            <w:pPr>
              <w:keepNext w:val="0"/>
              <w:keepLines w:val="0"/>
              <w:widowControl/>
              <w:suppressLineNumbers w:val="0"/>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《生产安全事故报告和调查处理条例(2007)》第三十五条第二项 事故发生单位主要负责人有下列行为之一的，处上一年年收入40%至80%的罚款；属于国家工作人员的，并依法给予处分；构成犯罪的，依法追究刑事责任：（二）迟报或者漏报事故的；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w:t>
            </w:r>
            <w:bookmarkStart w:id="0" w:name="_GoBack"/>
            <w:bookmarkEnd w:id="0"/>
            <w:r>
              <w:rPr>
                <w:rFonts w:hint="eastAsia" w:ascii="仿宋" w:hAnsi="仿宋" w:eastAsia="仿宋" w:cs="仿宋"/>
                <w:i w:val="0"/>
                <w:iCs w:val="0"/>
                <w:snapToGrid w:val="0"/>
                <w:color w:val="000000"/>
                <w:kern w:val="0"/>
                <w:sz w:val="28"/>
                <w:szCs w:val="28"/>
                <w:u w:val="none"/>
                <w:lang w:val="en-US" w:eastAsia="zh-CN" w:bidi="ar"/>
              </w:rPr>
              <w:t>调查处理条例(2007)》第四十三条第一款 本条例规定的罚款的行政处罚，由安全生产监督管理部门决定。</w:t>
            </w:r>
          </w:p>
        </w:tc>
      </w:tr>
    </w:tbl>
    <w:p w14:paraId="5BFC8E66">
      <w:pPr>
        <w:ind w:firstLine="1072" w:firstLineChars="400"/>
      </w:pPr>
      <w:r>
        <w:rPr>
          <w:spacing w:val="4"/>
          <w:sz w:val="26"/>
          <w:szCs w:val="26"/>
        </w:rPr>
        <w:t>或者上传规定检查标准的文件。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E5D84"/>
    <w:rsid w:val="1B1659D6"/>
    <w:rsid w:val="284846EE"/>
    <w:rsid w:val="393D5608"/>
    <w:rsid w:val="48475B4A"/>
    <w:rsid w:val="5DF7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 w:type="character" w:customStyle="1" w:styleId="6">
    <w:name w:val="font21"/>
    <w:basedOn w:val="3"/>
    <w:uiPriority w:val="0"/>
    <w:rPr>
      <w:rFonts w:hint="eastAsia" w:ascii="宋体" w:hAnsi="宋体" w:eastAsia="宋体" w:cs="宋体"/>
      <w:color w:val="000000"/>
      <w:sz w:val="20"/>
      <w:szCs w:val="20"/>
      <w:u w:val="none"/>
    </w:rPr>
  </w:style>
  <w:style w:type="character" w:customStyle="1" w:styleId="7">
    <w:name w:val="font31"/>
    <w:basedOn w:val="3"/>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3338</Words>
  <Characters>3526</Characters>
  <Lines>0</Lines>
  <Paragraphs>0</Paragraphs>
  <TotalTime>0</TotalTime>
  <ScaleCrop>false</ScaleCrop>
  <LinksUpToDate>false</LinksUpToDate>
  <CharactersWithSpaces>3557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Administrator</dc:creator>
  <cp:lastModifiedBy>勇</cp:lastModifiedBy>
  <dcterms:modified xsi:type="dcterms:W3CDTF">2025-07-24T02:38:09Z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eyJoZGlkIjoiZjIzNzBjYzlkZDhlY2MxYjI5YTZmNWRhMTdiYzkwZWEiLCJ1c2VySWQiOiI2MTMxMjU5NDgifQ==</vt:lpwstr>
  </property>
  <property fmtid="{D5CDD505-2E9C-101B-9397-08002B2CF9AE}" pid="4" name="ICV">
    <vt:lpwstr>1D5602A42005489E8133D8A4838C8F55_13</vt:lpwstr>
  </property>
</Properties>
</file>