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71F65">
      <w:pPr>
        <w:spacing w:before="259" w:line="221" w:lineRule="auto"/>
        <w:ind w:left="1024"/>
        <w:jc w:val="center"/>
        <w:rPr>
          <w:rFonts w:ascii="Times New Roman" w:hAnsi="Times New Roman" w:eastAsia="Times New Roman" w:cs="Times New Roman"/>
          <w:b/>
          <w:bCs/>
          <w:spacing w:val="-6"/>
          <w:sz w:val="26"/>
          <w:szCs w:val="26"/>
        </w:rPr>
      </w:pPr>
    </w:p>
    <w:p w14:paraId="62B30DA2">
      <w:pPr>
        <w:spacing w:before="259" w:line="221" w:lineRule="auto"/>
        <w:ind w:left="1024"/>
        <w:jc w:val="center"/>
        <w:rPr>
          <w:rFonts w:ascii="Times New Roman" w:hAnsi="Times New Roman" w:eastAsia="Times New Roman" w:cs="Times New Roman"/>
          <w:b/>
          <w:bCs/>
          <w:spacing w:val="-6"/>
          <w:sz w:val="26"/>
          <w:szCs w:val="26"/>
        </w:rPr>
      </w:pPr>
    </w:p>
    <w:p w14:paraId="1ED45EAA">
      <w:pPr>
        <w:spacing w:before="259" w:line="221" w:lineRule="auto"/>
        <w:ind w:left="1024"/>
        <w:jc w:val="center"/>
        <w:rPr>
          <w:rFonts w:ascii="黑体" w:hAnsi="黑体" w:eastAsia="黑体" w:cs="黑体"/>
          <w:sz w:val="26"/>
          <w:szCs w:val="26"/>
        </w:rPr>
      </w:pPr>
      <w:r>
        <w:rPr>
          <w:rFonts w:hint="eastAsia" w:ascii="黑体" w:hAnsi="黑体" w:eastAsia="黑体" w:cs="黑体"/>
          <w:b/>
          <w:bCs/>
          <w:spacing w:val="-6"/>
          <w:sz w:val="26"/>
          <w:szCs w:val="26"/>
          <w:lang w:eastAsia="zh-CN"/>
        </w:rPr>
        <w:t>信阳市平桥区应急管理局</w:t>
      </w:r>
      <w:r>
        <w:rPr>
          <w:rFonts w:ascii="黑体" w:hAnsi="黑体" w:eastAsia="黑体" w:cs="黑体"/>
          <w:b/>
          <w:bCs/>
          <w:spacing w:val="-6"/>
          <w:sz w:val="26"/>
          <w:szCs w:val="26"/>
        </w:rPr>
        <w:t>涉企行政检查公示专栏</w:t>
      </w:r>
    </w:p>
    <w:p w14:paraId="49663550">
      <w:pPr>
        <w:pStyle w:val="5"/>
        <w:spacing w:before="223" w:line="219" w:lineRule="auto"/>
        <w:jc w:val="center"/>
        <w:rPr>
          <w:sz w:val="26"/>
          <w:szCs w:val="26"/>
        </w:rPr>
      </w:pPr>
      <w:r>
        <w:rPr>
          <w:spacing w:val="5"/>
          <w:sz w:val="26"/>
          <w:szCs w:val="26"/>
        </w:rPr>
        <w:t>检查事项和依据</w:t>
      </w:r>
    </w:p>
    <w:p w14:paraId="4A1F679A">
      <w:pPr>
        <w:spacing w:line="177" w:lineRule="exact"/>
      </w:pPr>
    </w:p>
    <w:tbl>
      <w:tblPr>
        <w:tblStyle w:val="4"/>
        <w:tblW w:w="7957" w:type="dxa"/>
        <w:tblInd w:w="6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3"/>
        <w:gridCol w:w="1532"/>
        <w:gridCol w:w="5742"/>
      </w:tblGrid>
      <w:tr w14:paraId="0422D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683" w:type="dxa"/>
            <w:vAlign w:val="top"/>
          </w:tcPr>
          <w:p w14:paraId="24C01309">
            <w:pPr>
              <w:pStyle w:val="5"/>
              <w:spacing w:before="133" w:line="221" w:lineRule="auto"/>
              <w:ind w:left="154"/>
              <w:rPr>
                <w:sz w:val="18"/>
                <w:szCs w:val="18"/>
              </w:rPr>
            </w:pPr>
            <w:r>
              <w:rPr>
                <w:spacing w:val="-2"/>
                <w:sz w:val="18"/>
                <w:szCs w:val="18"/>
              </w:rPr>
              <w:t>序号</w:t>
            </w:r>
          </w:p>
        </w:tc>
        <w:tc>
          <w:tcPr>
            <w:tcW w:w="1532" w:type="dxa"/>
            <w:vAlign w:val="top"/>
          </w:tcPr>
          <w:p w14:paraId="28E23CE0">
            <w:pPr>
              <w:pStyle w:val="5"/>
              <w:spacing w:before="11" w:line="218" w:lineRule="auto"/>
              <w:ind w:left="51"/>
              <w:rPr>
                <w:sz w:val="18"/>
                <w:szCs w:val="18"/>
              </w:rPr>
            </w:pPr>
            <w:r>
              <w:rPr>
                <w:spacing w:val="1"/>
                <w:sz w:val="18"/>
                <w:szCs w:val="18"/>
              </w:rPr>
              <w:t>行政检查事项</w:t>
            </w:r>
          </w:p>
          <w:p w14:paraId="7BECE009">
            <w:pPr>
              <w:pStyle w:val="5"/>
              <w:spacing w:line="202" w:lineRule="auto"/>
              <w:ind w:left="421"/>
              <w:rPr>
                <w:sz w:val="18"/>
                <w:szCs w:val="18"/>
              </w:rPr>
            </w:pPr>
            <w:r>
              <w:rPr>
                <w:spacing w:val="-3"/>
                <w:sz w:val="18"/>
                <w:szCs w:val="18"/>
              </w:rPr>
              <w:t>名称</w:t>
            </w:r>
          </w:p>
        </w:tc>
        <w:tc>
          <w:tcPr>
            <w:tcW w:w="5742" w:type="dxa"/>
            <w:vAlign w:val="top"/>
          </w:tcPr>
          <w:p w14:paraId="067BB61E">
            <w:pPr>
              <w:pStyle w:val="5"/>
              <w:spacing w:before="131" w:line="219" w:lineRule="auto"/>
              <w:ind w:left="894"/>
              <w:rPr>
                <w:sz w:val="18"/>
                <w:szCs w:val="18"/>
              </w:rPr>
            </w:pPr>
            <w:r>
              <w:rPr>
                <w:spacing w:val="-3"/>
                <w:sz w:val="18"/>
                <w:szCs w:val="18"/>
              </w:rPr>
              <w:t>依据</w:t>
            </w:r>
          </w:p>
        </w:tc>
      </w:tr>
      <w:tr w14:paraId="7517D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trPr>
        <w:tc>
          <w:tcPr>
            <w:tcW w:w="683" w:type="dxa"/>
            <w:vAlign w:val="center"/>
          </w:tcPr>
          <w:p w14:paraId="21FD443F">
            <w:pPr>
              <w:pStyle w:val="5"/>
              <w:spacing w:before="197" w:line="205" w:lineRule="auto"/>
              <w:ind w:left="245" w:leftChars="0"/>
              <w:jc w:val="center"/>
              <w:rPr>
                <w:spacing w:val="-2"/>
                <w:sz w:val="18"/>
                <w:szCs w:val="18"/>
              </w:rPr>
            </w:pPr>
            <w:r>
              <w:rPr>
                <w:rFonts w:hint="eastAsia" w:ascii="仿宋" w:hAnsi="仿宋" w:eastAsia="仿宋" w:cs="仿宋"/>
                <w:sz w:val="28"/>
                <w:szCs w:val="28"/>
                <w:lang w:val="en-US" w:eastAsia="zh-CN"/>
              </w:rPr>
              <w:t>1</w:t>
            </w:r>
          </w:p>
        </w:tc>
        <w:tc>
          <w:tcPr>
            <w:tcW w:w="1532" w:type="dxa"/>
            <w:vAlign w:val="center"/>
          </w:tcPr>
          <w:p w14:paraId="30E6C916">
            <w:pPr>
              <w:keepNext w:val="0"/>
              <w:keepLines w:val="0"/>
              <w:widowControl/>
              <w:suppressLineNumbers w:val="0"/>
              <w:jc w:val="center"/>
              <w:textAlignment w:val="center"/>
              <w:rPr>
                <w:spacing w:val="-3"/>
                <w:sz w:val="18"/>
                <w:szCs w:val="18"/>
              </w:rPr>
            </w:pPr>
            <w:r>
              <w:rPr>
                <w:rFonts w:hint="eastAsia" w:ascii="仿宋" w:hAnsi="仿宋" w:eastAsia="仿宋" w:cs="仿宋"/>
                <w:i w:val="0"/>
                <w:iCs w:val="0"/>
                <w:snapToGrid w:val="0"/>
                <w:color w:val="000000"/>
                <w:kern w:val="0"/>
                <w:sz w:val="28"/>
                <w:szCs w:val="28"/>
                <w:u w:val="none"/>
                <w:lang w:val="en-US" w:eastAsia="zh-CN" w:bidi="ar"/>
              </w:rPr>
              <w:t>对危险化学品生产企业登记危险化学品有关情况的监督检查</w:t>
            </w:r>
          </w:p>
        </w:tc>
        <w:tc>
          <w:tcPr>
            <w:tcW w:w="5742" w:type="dxa"/>
            <w:vAlign w:val="top"/>
          </w:tcPr>
          <w:p w14:paraId="4B7F7711">
            <w:pPr>
              <w:keepNext w:val="0"/>
              <w:keepLines w:val="0"/>
              <w:widowControl/>
              <w:suppressLineNumbers w:val="0"/>
              <w:jc w:val="both"/>
              <w:textAlignment w:val="center"/>
              <w:rPr>
                <w:spacing w:val="-3"/>
                <w:sz w:val="18"/>
                <w:szCs w:val="18"/>
              </w:rPr>
            </w:pP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危险化学品安全管理条例(2013)》第六十七条第一款 危险化学品生产企业、进口企业，应当向国务院安全生产监督管理部门负责危险化学品登记的机构（以下简称危险化学品登记机构）办理危险化学品登记。</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《危险化学品安全管理条例(2013)》第六十七条第二款第一项 危险化学品登记包括下列内容：（一）分类和标签信息；</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《危险化学品安全管理条例(2013)》第六十七条第二款第二项 危险化学品登记包括下列内容：（二）物理、化学性质；</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《危险化学品安全管理条例(2013)》第六十七条第二款第三项 危险化学品登记包括下列内容：（三）主要用途；</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《危险化学品安全管理条例(2013)》第六十七条第二款第四项 危险化学品登记包括下列内容：（四）危险特性；</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《危险化学品安全管理条例(2013)》第六十七条第二款第五项 危险化学品登记包括下列内容：（五）储存、使用、运输的安全要求；</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《危险化学品安全管理条例(2013)》第六十七条第二款第六项 危险化学品登记包括下列内容：（六）出现危险情况的应急处置措施。</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《危险化学品安全管理条例(2013)》第六十七条第三款 对同一企业生产、进口的同一品种的危险化学品，不进行重复登记。危险化学品生产企业、进口企业发现其生产、进口的危险化学品有新的危险特性的，应当及时向危险化学品登记机构办理登记内容变更手续。</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《危险化学品安全管理条例(2013)》第六十七条第四款 危险化学品登记的具体办法由国务院安全生产监督管理部门制定。</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《危险化学品登记管理办法(2012)》第四条第一款 国家安全生产监督管理总局负责全国危险化学品登记的监督管理工作。</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《危险化学品登记管理办法(2012)》第四条第二款 县级以上地方各级人民政府安全生产监督管理部门负责本行政区域内危险化学品登记的监督管理工作。</w:t>
            </w:r>
          </w:p>
        </w:tc>
      </w:tr>
      <w:tr w14:paraId="2024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683" w:type="dxa"/>
            <w:vAlign w:val="center"/>
          </w:tcPr>
          <w:p w14:paraId="4AC7BAE1">
            <w:pPr>
              <w:pStyle w:val="5"/>
              <w:spacing w:before="210" w:line="173" w:lineRule="exact"/>
              <w:ind w:left="275" w:leftChars="0"/>
              <w:jc w:val="center"/>
            </w:pPr>
            <w:r>
              <w:rPr>
                <w:rFonts w:hint="eastAsia" w:ascii="仿宋" w:hAnsi="仿宋" w:eastAsia="仿宋" w:cs="仿宋"/>
                <w:position w:val="1"/>
                <w:sz w:val="28"/>
                <w:szCs w:val="28"/>
                <w:lang w:val="en-US" w:eastAsia="zh-CN"/>
              </w:rPr>
              <w:t>2</w:t>
            </w:r>
          </w:p>
        </w:tc>
        <w:tc>
          <w:tcPr>
            <w:tcW w:w="1532" w:type="dxa"/>
            <w:vAlign w:val="center"/>
          </w:tcPr>
          <w:p w14:paraId="2C50F08A">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对危险化学品生产企业、进口企业未按规定向用户提供应急咨询服务的行政处罚</w:t>
            </w:r>
          </w:p>
        </w:tc>
        <w:tc>
          <w:tcPr>
            <w:tcW w:w="5742" w:type="dxa"/>
            <w:vAlign w:val="top"/>
          </w:tcPr>
          <w:p w14:paraId="57F7F0DA">
            <w:pPr>
              <w:keepNext w:val="0"/>
              <w:keepLines w:val="0"/>
              <w:widowControl/>
              <w:suppressLineNumbers w:val="0"/>
              <w:jc w:val="both"/>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危险化学品登记管理办法(2012)》第二十二条第一款 危险化学品生产企业应当设立由专职人员24小时值守的国内固定服务电话，针对本办法第十二条规定的内容向用户提供危险化学品事故应急咨询服务，为危险化学品事故应急救援提供技术指导和必要的协助。专职值守人员应当熟悉本企业危险化学品的危险特性和应急处置技术，准确回答有关咨询问题。</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《危险化学品登记管理办法(2012)》第二十二条第二款 危险化学品生产企业不能提供前款规定应急咨询服务的，应当委托登记机构代理应急咨询服务。</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《危险化学品登记管理办法(2012)》第二十二条第三款 危险化学品进口企业应当自行或者委托进口代理商、登记机构提供符合本条第一款要求的应急咨询服务，并在其进口的危险化学品安全标签上标明应急咨询服务电话号码。</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《危险化学品登记管理办法(2012)》第二十二条第四款 从事代理应急咨询服务的登记机构，应当设立由专职人员24小时值守的国内固定服务电话，建有完善的化学品应急救援数据库，配备在线数字录音设备和8名以上专业人员，能够同时受理3起以上应急咨询，准确提供化学品泄漏、火灾、爆炸、中毒等事故应急处置有关信息和建议。</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罚则依据</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依据条款 依据内容</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《危险化学品登记管理办法(2012)》第三十条第一项 登记企业有下列行为之一的，责令改正，可以处3万元以下的罚款:（一）未向用户提供应急咨询服务或者应急咨询服务不符合本办法第二十二条规定的；</w:t>
            </w:r>
          </w:p>
        </w:tc>
      </w:tr>
      <w:tr w14:paraId="6AB6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59709E42">
            <w:pPr>
              <w:pStyle w:val="5"/>
              <w:spacing w:before="202" w:line="173" w:lineRule="exact"/>
              <w:ind w:left="275" w:leftChars="0"/>
              <w:jc w:val="center"/>
              <w:rPr>
                <w:sz w:val="18"/>
                <w:szCs w:val="18"/>
              </w:rPr>
            </w:pPr>
            <w:r>
              <w:rPr>
                <w:rFonts w:hint="eastAsia" w:ascii="仿宋" w:hAnsi="仿宋" w:eastAsia="仿宋" w:cs="仿宋"/>
                <w:position w:val="1"/>
                <w:sz w:val="28"/>
                <w:szCs w:val="28"/>
                <w:lang w:val="en-US" w:eastAsia="zh-CN"/>
              </w:rPr>
              <w:t>3</w:t>
            </w:r>
          </w:p>
        </w:tc>
        <w:tc>
          <w:tcPr>
            <w:tcW w:w="1532" w:type="dxa"/>
            <w:vAlign w:val="center"/>
          </w:tcPr>
          <w:p w14:paraId="193C60A4">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对化学品单位有未按规定对化学品进行物理危险性鉴定或者分类等行为的行政处罚</w:t>
            </w:r>
          </w:p>
        </w:tc>
        <w:tc>
          <w:tcPr>
            <w:tcW w:w="5742" w:type="dxa"/>
            <w:vAlign w:val="top"/>
          </w:tcPr>
          <w:p w14:paraId="121A90F9">
            <w:pPr>
              <w:keepNext w:val="0"/>
              <w:keepLines w:val="0"/>
              <w:widowControl/>
              <w:suppressLineNumbers w:val="0"/>
              <w:jc w:val="both"/>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化学品物理危险性鉴定与分类管理办法(2013)》第十九条第一项 化学品单位有下列情形之一的，由安全生产监督管理部门责令限期改正，可以处1万元以下的罚款；拒不改正的，处1万元以上3万元以下的罚款:（一）未按照本办法规定对化学品进行物理危险性鉴定或者分类的；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《化学品物理危险性鉴定与分类管理办法(2013)》第十九条第二项 化学品单位有下列情形之一的，由安全生产监督管理部门责令限期改正，可以处1万元以下的罚款；拒不改正的，处1万元以上3万元以下的罚款:（二）未按照本办法规定建立化学品物理危险性鉴定与分类管理档案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《化学品物理危险性鉴定与分类管理办法(2013)》第十九条第三项 化学品单位有下列情形之一的，由安全生产监督管理部门责令限期改正，可以处1万元以下的罚款；拒不改正的，处1万元以上3万元以下的罚款:（三）在办理化学品物理危险性的鉴定过程中，隐瞒化学品的危险性成分、含量等相关信息或者提供虚假材料的。</w:t>
            </w:r>
          </w:p>
        </w:tc>
      </w:tr>
      <w:tr w14:paraId="1CC2C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59008E1B">
            <w:pPr>
              <w:pStyle w:val="5"/>
              <w:spacing w:before="202" w:line="173" w:lineRule="exact"/>
              <w:ind w:left="275" w:leftChars="0"/>
              <w:jc w:val="center"/>
              <w:rPr>
                <w:sz w:val="18"/>
                <w:szCs w:val="18"/>
              </w:rPr>
            </w:pPr>
            <w:r>
              <w:rPr>
                <w:rFonts w:hint="eastAsia" w:ascii="仿宋" w:hAnsi="仿宋" w:eastAsia="仿宋" w:cs="仿宋"/>
                <w:position w:val="1"/>
                <w:sz w:val="28"/>
                <w:szCs w:val="28"/>
                <w:lang w:val="en-US" w:eastAsia="zh-CN"/>
              </w:rPr>
              <w:t>4</w:t>
            </w:r>
          </w:p>
        </w:tc>
        <w:tc>
          <w:tcPr>
            <w:tcW w:w="1532" w:type="dxa"/>
            <w:vAlign w:val="center"/>
          </w:tcPr>
          <w:p w14:paraId="183D91DB">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对生产经营单位有在应急预案编制前未按照规定开展风险辨识、评估和应急资源调查等行为的行政处罚</w:t>
            </w:r>
          </w:p>
        </w:tc>
        <w:tc>
          <w:tcPr>
            <w:tcW w:w="5742" w:type="dxa"/>
            <w:vAlign w:val="top"/>
          </w:tcPr>
          <w:p w14:paraId="236F6CE2">
            <w:pPr>
              <w:keepNext w:val="0"/>
              <w:keepLines w:val="0"/>
              <w:widowControl/>
              <w:suppressLineNumbers w:val="0"/>
              <w:jc w:val="both"/>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《生产安全事故应急预案管理办法(2019)》第四十五条第一款第一项 生产经营单位有下列情形之一的，由县级以上人民政府应急管理部门责令限期改正，可以处1万元以上3万元以下的罚款：（一）在应急预案编制前未按照规定开展风险辨识、评估和应急资源调查的；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《生产安全事故应急预案管理办法(2019)》第四十五条第一款第二项 生产经营单位有下列情形之一的，由县级以上人民政府应急管理部门责令限期改正，可以处1万元以上3万元以下的罚款：（二）未按照规定开展应急预案评审的；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《生产安全事故应急预案管理办法(2019)》第四十五条第一款第三项 生产经营单位有下列情形之一的，由县级以上人民政府应急管理部门责令限期改正，可以处1万元以上3万元以下的罚款：（三）事故风险可能影响周边单位、人员的，未将事故风险的性质、影响范围和应急防范措施告知周边单位和人员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《生产安全事故应急预案管理办法(2019)》第四十五条第一款第四项 生产经营单位有下列情形之一的，由县级以上人民政府应急管理部门责令限期改正，可以处1万元以上3万元以下的罚款：（四）未按照规定开展应急预案评估的；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《生产安全事故应急预案管理办法(2019)》第四十五条第一款第五项 生产经营单位有下列情形之一的，由县级以上人民政府应急管理部门责令限期改正，可以处1万元以上3万元以下的罚款：（五）未按照规定进行应急预案修订的；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《生产安全事故应急预案管理办法(2019)》第四十五条第一款第六项 生产经营单位有下列情形之一的，由县级以上人民政府应急管理部门责令限期改正，可以处1万元以上3万元以下的罚款：（六）未落实应急预案规定的应急物资及装备的。</w:t>
            </w:r>
          </w:p>
        </w:tc>
      </w:tr>
      <w:tr w14:paraId="1BAEE4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6D4AF936">
            <w:pPr>
              <w:pStyle w:val="5"/>
              <w:spacing w:before="202" w:line="173" w:lineRule="exact"/>
              <w:ind w:left="275" w:leftChars="0"/>
              <w:jc w:val="center"/>
              <w:rPr>
                <w:sz w:val="18"/>
                <w:szCs w:val="18"/>
              </w:rPr>
            </w:pPr>
            <w:r>
              <w:rPr>
                <w:rFonts w:hint="eastAsia" w:ascii="仿宋" w:hAnsi="仿宋" w:eastAsia="仿宋" w:cs="仿宋"/>
                <w:position w:val="1"/>
                <w:sz w:val="28"/>
                <w:szCs w:val="28"/>
                <w:lang w:val="en-US" w:eastAsia="zh-CN"/>
              </w:rPr>
              <w:t>5</w:t>
            </w:r>
          </w:p>
        </w:tc>
        <w:tc>
          <w:tcPr>
            <w:tcW w:w="1532" w:type="dxa"/>
            <w:vAlign w:val="center"/>
          </w:tcPr>
          <w:p w14:paraId="4B20FF9F">
            <w:pPr>
              <w:keepNext w:val="0"/>
              <w:keepLines w:val="0"/>
              <w:widowControl/>
              <w:suppressLineNumbers w:val="0"/>
              <w:jc w:val="center"/>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对事故发生单位及其有关人员有转移、隐匿资金、财产，或者销毁有关证据、资料等行为的行政处罚</w:t>
            </w:r>
          </w:p>
        </w:tc>
        <w:tc>
          <w:tcPr>
            <w:tcW w:w="5742" w:type="dxa"/>
            <w:vAlign w:val="top"/>
          </w:tcPr>
          <w:p w14:paraId="0B3B91A5">
            <w:pPr>
              <w:keepNext w:val="0"/>
              <w:keepLines w:val="0"/>
              <w:widowControl/>
              <w:suppressLineNumbers w:val="0"/>
              <w:jc w:val="both"/>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生产安全事故报告和调查处理条例(2007)》第三十六条第三项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三）转移、隐匿资金、财产，或者销毁有关证据、资料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《生产安全事故报告和调查处理条例(2007)》第三十六条第四项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四）拒绝接受调查或者拒绝提供有关情况和资料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《生产安全事故报告和调查处理条例(2007)》第三十六条第五项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五）在事故调查中作伪证或者指使他人作伪证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《生产安全事故报告和调查处理条例(2007)》第三十六条第六项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六）事故发生后逃匿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《生产安全事故报告和调查处理条例(2007)》第四十三条第一款 本条例规定的罚款的行政处罚，由安全生产监督管理部门决定。</w:t>
            </w:r>
          </w:p>
        </w:tc>
      </w:tr>
      <w:tr w14:paraId="302AB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8" w:hRule="atLeast"/>
        </w:trPr>
        <w:tc>
          <w:tcPr>
            <w:tcW w:w="683" w:type="dxa"/>
            <w:vAlign w:val="center"/>
          </w:tcPr>
          <w:p w14:paraId="57C12DCF">
            <w:pPr>
              <w:pStyle w:val="5"/>
              <w:spacing w:before="202" w:line="173" w:lineRule="exact"/>
              <w:ind w:left="275" w:leftChars="0"/>
              <w:jc w:val="center"/>
              <w:rPr>
                <w:sz w:val="18"/>
                <w:szCs w:val="18"/>
              </w:rPr>
            </w:pPr>
            <w:r>
              <w:rPr>
                <w:rFonts w:hint="eastAsia" w:ascii="仿宋" w:hAnsi="仿宋" w:eastAsia="仿宋" w:cs="仿宋"/>
                <w:position w:val="1"/>
                <w:sz w:val="28"/>
                <w:szCs w:val="28"/>
                <w:lang w:val="en-US" w:eastAsia="zh-CN"/>
              </w:rPr>
              <w:t>6</w:t>
            </w:r>
          </w:p>
        </w:tc>
        <w:tc>
          <w:tcPr>
            <w:tcW w:w="1532" w:type="dxa"/>
            <w:vAlign w:val="center"/>
          </w:tcPr>
          <w:p w14:paraId="4765F7B3">
            <w:pPr>
              <w:keepNext w:val="0"/>
              <w:keepLines w:val="0"/>
              <w:widowControl/>
              <w:suppressLineNumbers w:val="0"/>
              <w:jc w:val="both"/>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对事故发生单位主要负责人漏报生产安全事故的行政处罚</w:t>
            </w:r>
          </w:p>
        </w:tc>
        <w:tc>
          <w:tcPr>
            <w:tcW w:w="5742" w:type="dxa"/>
            <w:vAlign w:val="center"/>
          </w:tcPr>
          <w:p w14:paraId="4C9D4E38">
            <w:pPr>
              <w:keepNext w:val="0"/>
              <w:keepLines w:val="0"/>
              <w:widowControl/>
              <w:suppressLineNumbers w:val="0"/>
              <w:jc w:val="both"/>
              <w:textAlignment w:val="center"/>
              <w:rPr>
                <w:sz w:val="18"/>
                <w:szCs w:val="18"/>
              </w:rPr>
            </w:pP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《生产安全事故报告和调查处理条例(2007)》第三十五条第二项 事故发生单位主要负责人有下列行为之一的，处上一年年收入40%至80%的罚款；属于国家工作人员的，并依法给予处分；构成犯罪的，依法追究刑事责任：（二）迟报或者漏报事故的；</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《生产安全事故报告和调查处理条例(2007)》第四十三条第一款 本条例规定的罚款的行政处罚，由安全生产监督管理部门决定。</w:t>
            </w:r>
          </w:p>
        </w:tc>
      </w:tr>
    </w:tbl>
    <w:p w14:paraId="7DA235E9">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5264C"/>
    <w:rsid w:val="75603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32</Words>
  <Characters>33</Characters>
  <Lines>0</Lines>
  <Paragraphs>0</Paragraphs>
  <TotalTime>0</TotalTime>
  <ScaleCrop>false</ScaleCrop>
  <LinksUpToDate>false</LinksUpToDate>
  <CharactersWithSpaces>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2025-07-24T01:37:00Z</dcterms:created>
  <dc:creator>Administrator</dc:creator>
  <cp:lastModifiedBy>勇</cp:lastModifiedBy>
  <dcterms:modified xsi:type="dcterms:W3CDTF">2025-07-24T02:41:35Z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eyJoZGlkIjoiZjIzNzBjYzlkZDhlY2MxYjI5YTZmNWRhMTdiYzkwZWEiLCJ1c2VySWQiOiI2MTMxMjU5NDgifQ==</vt:lpwstr>
  </property>
  <property fmtid="{D5CDD505-2E9C-101B-9397-08002B2CF9AE}" pid="4" name="ICV">
    <vt:lpwstr>1A9372F956C34CB1A17DF715FA9FC5AC_13</vt:lpwstr>
  </property>
</Properties>
</file>