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CBE943">
      <w:pPr>
        <w:keepNext w:val="0"/>
        <w:keepLines w:val="0"/>
        <w:pageBreakBefore w:val="0"/>
        <w:widowControl w:val="0"/>
        <w:kinsoku/>
        <w:wordWrap/>
        <w:overflowPunct/>
        <w:topLinePunct w:val="0"/>
        <w:autoSpaceDE w:val="0"/>
        <w:autoSpaceDN w:val="0"/>
        <w:bidi w:val="0"/>
        <w:adjustRightInd w:val="0"/>
        <w:snapToGrid w:val="0"/>
        <w:spacing w:line="700" w:lineRule="exact"/>
        <w:ind w:left="0" w:right="0" w:firstLine="0"/>
        <w:jc w:val="left"/>
        <w:textAlignment w:val="baseline"/>
        <w:outlineLvl w:val="0"/>
        <w:rPr>
          <w:rFonts w:hint="eastAsia" w:ascii="黑体" w:hAnsi="黑体" w:eastAsia="黑体" w:cs="黑体"/>
          <w:b w:val="0"/>
          <w:bCs w:val="0"/>
          <w:color w:val="auto"/>
          <w:spacing w:val="0"/>
          <w:w w:val="100"/>
          <w:sz w:val="32"/>
          <w:szCs w:val="32"/>
          <w:highlight w:val="none"/>
          <w:lang w:eastAsia="zh-CN"/>
        </w:rPr>
      </w:pPr>
      <w:r>
        <w:rPr>
          <w:rFonts w:hint="eastAsia" w:ascii="黑体" w:hAnsi="黑体" w:eastAsia="黑体" w:cs="黑体"/>
          <w:b w:val="0"/>
          <w:bCs w:val="0"/>
          <w:color w:val="auto"/>
          <w:spacing w:val="0"/>
          <w:w w:val="100"/>
          <w:sz w:val="32"/>
          <w:szCs w:val="32"/>
          <w:highlight w:val="none"/>
          <w:lang w:eastAsia="zh-CN"/>
        </w:rPr>
        <w:t>附件</w:t>
      </w:r>
    </w:p>
    <w:p w14:paraId="566FA095">
      <w:pPr>
        <w:pStyle w:val="2"/>
        <w:keepNext w:val="0"/>
        <w:keepLines w:val="0"/>
        <w:pageBreakBefore w:val="0"/>
        <w:widowControl w:val="0"/>
        <w:kinsoku/>
        <w:wordWrap/>
        <w:overflowPunct/>
        <w:topLinePunct w:val="0"/>
        <w:bidi w:val="0"/>
        <w:rPr>
          <w:rFonts w:hint="eastAsia"/>
          <w:lang w:eastAsia="zh-CN"/>
        </w:rPr>
      </w:pPr>
    </w:p>
    <w:p w14:paraId="1AD32B19">
      <w:pPr>
        <w:keepNext w:val="0"/>
        <w:keepLines w:val="0"/>
        <w:pageBreakBefore w:val="0"/>
        <w:widowControl w:val="0"/>
        <w:kinsoku/>
        <w:wordWrap/>
        <w:overflowPunct/>
        <w:topLinePunct w:val="0"/>
        <w:autoSpaceDE w:val="0"/>
        <w:autoSpaceDN w:val="0"/>
        <w:bidi w:val="0"/>
        <w:adjustRightInd w:val="0"/>
        <w:snapToGrid w:val="0"/>
        <w:spacing w:line="700" w:lineRule="exact"/>
        <w:ind w:left="0" w:right="0" w:firstLine="0"/>
        <w:jc w:val="center"/>
        <w:textAlignment w:val="baseline"/>
        <w:outlineLvl w:val="0"/>
        <w:rPr>
          <w:rFonts w:hint="eastAsia" w:ascii="方正小标宋简体" w:hAnsi="方正小标宋简体" w:eastAsia="方正小标宋简体" w:cs="方正小标宋简体"/>
          <w:b w:val="0"/>
          <w:bCs w:val="0"/>
          <w:color w:val="auto"/>
          <w:spacing w:val="0"/>
          <w:w w:val="100"/>
          <w:sz w:val="44"/>
          <w:szCs w:val="44"/>
          <w:highlight w:val="none"/>
          <w:lang w:eastAsia="zh-CN"/>
        </w:rPr>
      </w:pPr>
      <w:r>
        <w:rPr>
          <w:rFonts w:hint="eastAsia" w:ascii="方正小标宋简体" w:hAnsi="方正小标宋简体" w:eastAsia="方正小标宋简体" w:cs="方正小标宋简体"/>
          <w:b w:val="0"/>
          <w:bCs w:val="0"/>
          <w:color w:val="auto"/>
          <w:spacing w:val="0"/>
          <w:w w:val="100"/>
          <w:sz w:val="44"/>
          <w:szCs w:val="44"/>
          <w:highlight w:val="none"/>
          <w:lang w:eastAsia="zh-CN"/>
        </w:rPr>
        <w:t>信阳市</w:t>
      </w:r>
      <w:r>
        <w:rPr>
          <w:rFonts w:hint="eastAsia" w:ascii="方正小标宋简体" w:hAnsi="方正小标宋简体" w:eastAsia="方正小标宋简体" w:cs="方正小标宋简体"/>
          <w:b w:val="0"/>
          <w:bCs w:val="0"/>
          <w:color w:val="auto"/>
          <w:spacing w:val="0"/>
          <w:w w:val="100"/>
          <w:sz w:val="44"/>
          <w:szCs w:val="44"/>
          <w:highlight w:val="none"/>
        </w:rPr>
        <w:t>促进民营经济高质量发展</w:t>
      </w:r>
      <w:r>
        <w:rPr>
          <w:rFonts w:hint="eastAsia" w:ascii="方正小标宋简体" w:hAnsi="方正小标宋简体" w:eastAsia="方正小标宋简体" w:cs="方正小标宋简体"/>
          <w:b w:val="0"/>
          <w:bCs w:val="0"/>
          <w:color w:val="auto"/>
          <w:spacing w:val="0"/>
          <w:w w:val="100"/>
          <w:sz w:val="44"/>
          <w:szCs w:val="44"/>
          <w:highlight w:val="none"/>
          <w:lang w:eastAsia="zh-CN"/>
        </w:rPr>
        <w:t>实施方案</w:t>
      </w:r>
    </w:p>
    <w:p w14:paraId="35CB39E3">
      <w:pPr>
        <w:keepNext w:val="0"/>
        <w:keepLines w:val="0"/>
        <w:pageBreakBefore w:val="0"/>
        <w:widowControl w:val="0"/>
        <w:kinsoku/>
        <w:wordWrap/>
        <w:overflowPunct/>
        <w:topLinePunct w:val="0"/>
        <w:autoSpaceDE w:val="0"/>
        <w:autoSpaceDN w:val="0"/>
        <w:bidi w:val="0"/>
        <w:adjustRightInd w:val="0"/>
        <w:snapToGrid w:val="0"/>
        <w:spacing w:line="700" w:lineRule="exact"/>
        <w:ind w:left="0" w:right="0" w:firstLine="0"/>
        <w:jc w:val="center"/>
        <w:textAlignment w:val="baseline"/>
        <w:rPr>
          <w:rFonts w:hint="eastAsia" w:ascii="楷体_GB2312" w:hAnsi="楷体_GB2312" w:eastAsia="楷体_GB2312" w:cs="楷体_GB2312"/>
          <w:color w:val="auto"/>
          <w:spacing w:val="0"/>
          <w:w w:val="100"/>
          <w:sz w:val="32"/>
          <w:szCs w:val="32"/>
          <w:highlight w:val="none"/>
          <w:lang w:eastAsia="zh-CN"/>
        </w:rPr>
      </w:pPr>
      <w:r>
        <w:rPr>
          <w:rFonts w:hint="eastAsia" w:ascii="楷体_GB2312" w:hAnsi="楷体_GB2312" w:eastAsia="楷体_GB2312" w:cs="楷体_GB2312"/>
          <w:color w:val="auto"/>
          <w:spacing w:val="0"/>
          <w:w w:val="100"/>
          <w:sz w:val="32"/>
          <w:szCs w:val="32"/>
          <w:highlight w:val="none"/>
          <w:lang w:eastAsia="zh-CN"/>
        </w:rPr>
        <w:t>（征求意见</w:t>
      </w:r>
      <w:r>
        <w:rPr>
          <w:rFonts w:hint="eastAsia" w:ascii="楷体_GB2312" w:hAnsi="楷体_GB2312" w:eastAsia="楷体_GB2312" w:cs="楷体_GB2312"/>
          <w:color w:val="auto"/>
          <w:spacing w:val="0"/>
          <w:w w:val="100"/>
          <w:sz w:val="32"/>
          <w:szCs w:val="32"/>
          <w:highlight w:val="none"/>
        </w:rPr>
        <w:t>稿</w:t>
      </w:r>
      <w:r>
        <w:rPr>
          <w:rFonts w:hint="eastAsia" w:ascii="楷体_GB2312" w:hAnsi="楷体_GB2312" w:eastAsia="楷体_GB2312" w:cs="楷体_GB2312"/>
          <w:color w:val="auto"/>
          <w:spacing w:val="0"/>
          <w:w w:val="100"/>
          <w:sz w:val="32"/>
          <w:szCs w:val="32"/>
          <w:highlight w:val="none"/>
          <w:lang w:eastAsia="zh-CN"/>
        </w:rPr>
        <w:t>）</w:t>
      </w:r>
    </w:p>
    <w:p w14:paraId="538B4AB5">
      <w:pPr>
        <w:pStyle w:val="2"/>
        <w:keepNext w:val="0"/>
        <w:keepLines w:val="0"/>
        <w:pageBreakBefore w:val="0"/>
        <w:widowControl w:val="0"/>
        <w:kinsoku/>
        <w:wordWrap/>
        <w:overflowPunct/>
        <w:topLinePunct w:val="0"/>
        <w:bidi w:val="0"/>
        <w:rPr>
          <w:rFonts w:hint="eastAsia"/>
          <w:lang w:val="en-US" w:eastAsia="zh-CN"/>
        </w:rPr>
      </w:pPr>
    </w:p>
    <w:p w14:paraId="53A35DBA">
      <w:pPr>
        <w:pStyle w:val="2"/>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40" w:firstLineChars="200"/>
        <w:jc w:val="both"/>
        <w:textAlignment w:val="baseline"/>
        <w:rPr>
          <w:rFonts w:hint="default" w:ascii="Times New Roman" w:hAnsi="Times New Roman" w:eastAsia="仿宋_GB2312" w:cs="Times New Roman"/>
          <w:b w:val="0"/>
          <w:bCs w:val="0"/>
          <w:color w:val="auto"/>
          <w:spacing w:val="0"/>
          <w:w w:val="100"/>
          <w:sz w:val="32"/>
          <w:szCs w:val="32"/>
          <w:highlight w:val="none"/>
        </w:rPr>
      </w:pPr>
      <w:r>
        <w:rPr>
          <w:rFonts w:hint="default" w:ascii="Times New Roman" w:hAnsi="Times New Roman" w:eastAsia="仿宋_GB2312" w:cs="Times New Roman"/>
          <w:b w:val="0"/>
          <w:bCs w:val="0"/>
          <w:color w:val="auto"/>
          <w:spacing w:val="0"/>
          <w:w w:val="100"/>
          <w:sz w:val="32"/>
          <w:szCs w:val="32"/>
          <w:highlight w:val="none"/>
        </w:rPr>
        <w:t>为深入贯彻落实习近平总书记在民营企业座谈会上的重要讲话精神和</w:t>
      </w:r>
      <w:r>
        <w:rPr>
          <w:rFonts w:hint="default" w:ascii="Times New Roman" w:hAnsi="Times New Roman" w:eastAsia="仿宋_GB2312" w:cs="Times New Roman"/>
          <w:b w:val="0"/>
          <w:bCs w:val="0"/>
          <w:color w:val="auto"/>
          <w:spacing w:val="0"/>
          <w:w w:val="100"/>
          <w:sz w:val="32"/>
          <w:szCs w:val="32"/>
          <w:highlight w:val="none"/>
          <w:lang w:val="en-US" w:eastAsia="zh-CN"/>
        </w:rPr>
        <w:t>党中央、国务院关于促进民营经济发展壮大的决策部署</w:t>
      </w:r>
      <w:r>
        <w:rPr>
          <w:rFonts w:hint="default" w:ascii="Times New Roman" w:hAnsi="Times New Roman" w:eastAsia="仿宋_GB2312" w:cs="Times New Roman"/>
          <w:b w:val="0"/>
          <w:bCs w:val="0"/>
          <w:color w:val="auto"/>
          <w:spacing w:val="0"/>
          <w:w w:val="100"/>
          <w:sz w:val="32"/>
          <w:szCs w:val="32"/>
          <w:highlight w:val="none"/>
        </w:rPr>
        <w:t>，</w:t>
      </w:r>
      <w:r>
        <w:rPr>
          <w:rFonts w:hint="default" w:ascii="Times New Roman" w:hAnsi="Times New Roman" w:eastAsia="仿宋_GB2312" w:cs="Times New Roman"/>
          <w:b w:val="0"/>
          <w:bCs w:val="0"/>
          <w:color w:val="auto"/>
          <w:spacing w:val="0"/>
          <w:w w:val="100"/>
          <w:sz w:val="32"/>
          <w:szCs w:val="32"/>
          <w:highlight w:val="none"/>
          <w:lang w:val="en-US" w:eastAsia="zh-CN"/>
        </w:rPr>
        <w:t>加快推动我市民营经济高质量发展</w:t>
      </w:r>
      <w:r>
        <w:rPr>
          <w:rFonts w:hint="default" w:ascii="Times New Roman" w:hAnsi="Times New Roman" w:eastAsia="仿宋_GB2312" w:cs="Times New Roman"/>
          <w:b w:val="0"/>
          <w:bCs w:val="0"/>
          <w:color w:val="auto"/>
          <w:spacing w:val="0"/>
          <w:w w:val="100"/>
          <w:sz w:val="32"/>
          <w:szCs w:val="32"/>
          <w:highlight w:val="none"/>
        </w:rPr>
        <w:t>，</w:t>
      </w:r>
      <w:r>
        <w:rPr>
          <w:rFonts w:hint="default" w:ascii="Times New Roman" w:hAnsi="Times New Roman" w:eastAsia="仿宋_GB2312" w:cs="Times New Roman"/>
          <w:b w:val="0"/>
          <w:bCs w:val="0"/>
          <w:color w:val="auto"/>
          <w:spacing w:val="0"/>
          <w:w w:val="100"/>
          <w:sz w:val="32"/>
          <w:szCs w:val="32"/>
          <w:highlight w:val="none"/>
          <w:lang w:val="en-US" w:eastAsia="zh-CN"/>
        </w:rPr>
        <w:t>根据《中共河南省委办公厅、河南省人民政府办公厅关于印发〈河南省促进民营经济高质量发展行动计划〉的通知》（豫办〔2025〕8号）精神，</w:t>
      </w:r>
      <w:r>
        <w:rPr>
          <w:rFonts w:hint="default" w:ascii="Times New Roman" w:hAnsi="Times New Roman" w:eastAsia="仿宋_GB2312" w:cs="Times New Roman"/>
          <w:b w:val="0"/>
          <w:bCs w:val="0"/>
          <w:color w:val="auto"/>
          <w:spacing w:val="0"/>
          <w:w w:val="100"/>
          <w:sz w:val="32"/>
          <w:szCs w:val="32"/>
          <w:highlight w:val="none"/>
        </w:rPr>
        <w:t>结合</w:t>
      </w:r>
      <w:r>
        <w:rPr>
          <w:rFonts w:hint="default" w:ascii="Times New Roman" w:hAnsi="Times New Roman" w:eastAsia="仿宋_GB2312" w:cs="Times New Roman"/>
          <w:b w:val="0"/>
          <w:bCs w:val="0"/>
          <w:color w:val="auto"/>
          <w:spacing w:val="0"/>
          <w:w w:val="100"/>
          <w:sz w:val="32"/>
          <w:szCs w:val="32"/>
          <w:highlight w:val="none"/>
          <w:lang w:val="en-US" w:eastAsia="zh-CN"/>
        </w:rPr>
        <w:t>我市</w:t>
      </w:r>
      <w:r>
        <w:rPr>
          <w:rFonts w:hint="default" w:ascii="Times New Roman" w:hAnsi="Times New Roman" w:eastAsia="仿宋_GB2312" w:cs="Times New Roman"/>
          <w:b w:val="0"/>
          <w:bCs w:val="0"/>
          <w:color w:val="auto"/>
          <w:spacing w:val="0"/>
          <w:w w:val="100"/>
          <w:sz w:val="32"/>
          <w:szCs w:val="32"/>
          <w:highlight w:val="none"/>
        </w:rPr>
        <w:t>实际，制定本</w:t>
      </w:r>
      <w:r>
        <w:rPr>
          <w:rFonts w:hint="default" w:ascii="Times New Roman" w:hAnsi="Times New Roman" w:eastAsia="仿宋_GB2312" w:cs="Times New Roman"/>
          <w:b w:val="0"/>
          <w:bCs w:val="0"/>
          <w:color w:val="auto"/>
          <w:spacing w:val="0"/>
          <w:w w:val="100"/>
          <w:sz w:val="32"/>
          <w:szCs w:val="32"/>
          <w:highlight w:val="none"/>
          <w:lang w:eastAsia="zh-CN"/>
        </w:rPr>
        <w:t>实施方案</w:t>
      </w:r>
      <w:r>
        <w:rPr>
          <w:rFonts w:hint="default" w:ascii="Times New Roman" w:hAnsi="Times New Roman" w:eastAsia="仿宋_GB2312" w:cs="Times New Roman"/>
          <w:b w:val="0"/>
          <w:bCs w:val="0"/>
          <w:color w:val="auto"/>
          <w:spacing w:val="0"/>
          <w:w w:val="100"/>
          <w:sz w:val="32"/>
          <w:szCs w:val="32"/>
          <w:highlight w:val="none"/>
        </w:rPr>
        <w:t>。</w:t>
      </w:r>
      <w:bookmarkStart w:id="0" w:name="_GoBack"/>
      <w:bookmarkEnd w:id="0"/>
    </w:p>
    <w:p w14:paraId="35B26C0E">
      <w:pPr>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40" w:firstLineChars="200"/>
        <w:jc w:val="both"/>
        <w:textAlignment w:val="baseline"/>
        <w:outlineLvl w:val="1"/>
        <w:rPr>
          <w:rFonts w:hint="default" w:ascii="Times New Roman" w:hAnsi="Times New Roman" w:eastAsia="黑体" w:cs="Times New Roman"/>
          <w:b w:val="0"/>
          <w:bCs w:val="0"/>
          <w:color w:val="auto"/>
          <w:spacing w:val="0"/>
          <w:w w:val="100"/>
          <w:sz w:val="32"/>
          <w:szCs w:val="32"/>
          <w:highlight w:val="none"/>
        </w:rPr>
      </w:pPr>
      <w:r>
        <w:rPr>
          <w:rFonts w:hint="default" w:ascii="Times New Roman" w:hAnsi="Times New Roman" w:eastAsia="黑体" w:cs="Times New Roman"/>
          <w:b w:val="0"/>
          <w:bCs w:val="0"/>
          <w:color w:val="auto"/>
          <w:spacing w:val="0"/>
          <w:w w:val="100"/>
          <w:sz w:val="32"/>
          <w:szCs w:val="32"/>
          <w:highlight w:val="none"/>
        </w:rPr>
        <w:t>一、总体要求</w:t>
      </w:r>
    </w:p>
    <w:p w14:paraId="2CECE22A">
      <w:pPr>
        <w:pStyle w:val="2"/>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43" w:firstLineChars="200"/>
        <w:jc w:val="both"/>
        <w:textAlignment w:val="baseline"/>
        <w:rPr>
          <w:rFonts w:hint="default" w:ascii="Times New Roman" w:hAnsi="Times New Roman" w:eastAsia="仿宋_GB2312" w:cs="Times New Roman"/>
          <w:b w:val="0"/>
          <w:bCs w:val="0"/>
          <w:color w:val="auto"/>
          <w:spacing w:val="0"/>
          <w:w w:val="100"/>
          <w:sz w:val="32"/>
          <w:szCs w:val="32"/>
          <w:highlight w:val="none"/>
        </w:rPr>
      </w:pPr>
      <w:r>
        <w:rPr>
          <w:rFonts w:hint="default" w:ascii="Times New Roman" w:hAnsi="Times New Roman" w:eastAsia="方正楷体_GB2312" w:cs="Times New Roman"/>
          <w:b/>
          <w:bCs/>
          <w:color w:val="auto"/>
          <w:spacing w:val="0"/>
          <w:w w:val="100"/>
          <w:sz w:val="32"/>
          <w:szCs w:val="32"/>
          <w:highlight w:val="none"/>
          <w:lang w:eastAsia="zh-CN"/>
        </w:rPr>
        <w:t>（</w:t>
      </w:r>
      <w:r>
        <w:rPr>
          <w:rFonts w:hint="default" w:ascii="Times New Roman" w:hAnsi="Times New Roman" w:eastAsia="方正楷体_GB2312" w:cs="Times New Roman"/>
          <w:b/>
          <w:bCs/>
          <w:color w:val="auto"/>
          <w:spacing w:val="0"/>
          <w:w w:val="100"/>
          <w:sz w:val="32"/>
          <w:szCs w:val="32"/>
          <w:highlight w:val="none"/>
          <w:lang w:val="en-US" w:eastAsia="zh-CN"/>
        </w:rPr>
        <w:t>一</w:t>
      </w:r>
      <w:r>
        <w:rPr>
          <w:rFonts w:hint="default" w:ascii="Times New Roman" w:hAnsi="Times New Roman" w:eastAsia="方正楷体_GB2312" w:cs="Times New Roman"/>
          <w:b/>
          <w:bCs/>
          <w:color w:val="auto"/>
          <w:spacing w:val="0"/>
          <w:w w:val="100"/>
          <w:sz w:val="32"/>
          <w:szCs w:val="32"/>
          <w:highlight w:val="none"/>
          <w:lang w:eastAsia="zh-CN"/>
        </w:rPr>
        <w:t>）</w:t>
      </w:r>
      <w:r>
        <w:rPr>
          <w:rFonts w:hint="default" w:ascii="Times New Roman" w:hAnsi="Times New Roman" w:eastAsia="方正楷体_GB2312" w:cs="Times New Roman"/>
          <w:b/>
          <w:bCs/>
          <w:color w:val="auto"/>
          <w:spacing w:val="0"/>
          <w:w w:val="100"/>
          <w:sz w:val="32"/>
          <w:szCs w:val="32"/>
          <w:highlight w:val="none"/>
          <w:lang w:val="en-US" w:eastAsia="zh-CN"/>
        </w:rPr>
        <w:t>指导思想。</w:t>
      </w:r>
      <w:r>
        <w:rPr>
          <w:rFonts w:hint="default" w:ascii="Times New Roman" w:hAnsi="Times New Roman" w:eastAsia="仿宋_GB2312" w:cs="Times New Roman"/>
          <w:b w:val="0"/>
          <w:bCs w:val="0"/>
          <w:color w:val="auto"/>
          <w:spacing w:val="0"/>
          <w:w w:val="100"/>
          <w:sz w:val="32"/>
          <w:szCs w:val="32"/>
          <w:highlight w:val="none"/>
        </w:rPr>
        <w:t>坚持以习近平新时代中国特色社会主义思想为指导，坚定不移推进高质量发展工作布局</w:t>
      </w:r>
      <w:r>
        <w:rPr>
          <w:rFonts w:hint="default" w:ascii="Times New Roman" w:hAnsi="Times New Roman" w:eastAsia="仿宋_GB2312" w:cs="Times New Roman"/>
          <w:b w:val="0"/>
          <w:bCs w:val="0"/>
          <w:color w:val="auto"/>
          <w:spacing w:val="0"/>
          <w:w w:val="100"/>
          <w:sz w:val="32"/>
          <w:szCs w:val="32"/>
          <w:highlight w:val="none"/>
          <w:lang w:eastAsia="zh-CN"/>
        </w:rPr>
        <w:t>，</w:t>
      </w:r>
      <w:r>
        <w:rPr>
          <w:rFonts w:hint="default" w:ascii="Times New Roman" w:hAnsi="Times New Roman" w:eastAsia="仿宋_GB2312" w:cs="Times New Roman"/>
          <w:b w:val="0"/>
          <w:bCs w:val="0"/>
          <w:color w:val="auto"/>
          <w:spacing w:val="0"/>
          <w:w w:val="100"/>
          <w:sz w:val="32"/>
          <w:szCs w:val="32"/>
          <w:highlight w:val="none"/>
          <w:lang w:val="en-US" w:eastAsia="zh-CN"/>
        </w:rPr>
        <w:t>始终坚持</w:t>
      </w:r>
      <w:r>
        <w:rPr>
          <w:rFonts w:hint="default" w:ascii="Times New Roman" w:hAnsi="Times New Roman" w:eastAsia="仿宋_GB2312" w:cs="Times New Roman"/>
          <w:b w:val="0"/>
          <w:bCs w:val="0"/>
          <w:color w:val="auto"/>
          <w:spacing w:val="0"/>
          <w:w w:val="100"/>
          <w:sz w:val="32"/>
          <w:szCs w:val="32"/>
          <w:highlight w:val="none"/>
          <w:lang w:eastAsia="zh-CN"/>
        </w:rPr>
        <w:t>“</w:t>
      </w:r>
      <w:r>
        <w:rPr>
          <w:rFonts w:hint="default" w:ascii="Times New Roman" w:hAnsi="Times New Roman" w:eastAsia="仿宋_GB2312" w:cs="Times New Roman"/>
          <w:b w:val="0"/>
          <w:bCs w:val="0"/>
          <w:color w:val="auto"/>
          <w:spacing w:val="0"/>
          <w:w w:val="100"/>
          <w:sz w:val="32"/>
          <w:szCs w:val="32"/>
          <w:highlight w:val="none"/>
        </w:rPr>
        <w:t>两个毫不动摇</w:t>
      </w:r>
      <w:r>
        <w:rPr>
          <w:rFonts w:hint="default" w:ascii="Times New Roman" w:hAnsi="Times New Roman" w:eastAsia="仿宋_GB2312" w:cs="Times New Roman"/>
          <w:b w:val="0"/>
          <w:bCs w:val="0"/>
          <w:color w:val="auto"/>
          <w:spacing w:val="0"/>
          <w:w w:val="100"/>
          <w:sz w:val="32"/>
          <w:szCs w:val="32"/>
          <w:highlight w:val="none"/>
          <w:lang w:eastAsia="zh-CN"/>
        </w:rPr>
        <w:t>”“</w:t>
      </w:r>
      <w:r>
        <w:rPr>
          <w:rFonts w:hint="default" w:ascii="Times New Roman" w:hAnsi="Times New Roman" w:eastAsia="仿宋_GB2312" w:cs="Times New Roman"/>
          <w:b w:val="0"/>
          <w:bCs w:val="0"/>
          <w:color w:val="auto"/>
          <w:spacing w:val="0"/>
          <w:w w:val="100"/>
          <w:sz w:val="32"/>
          <w:szCs w:val="32"/>
          <w:highlight w:val="none"/>
          <w:lang w:val="en-US" w:eastAsia="zh-CN"/>
        </w:rPr>
        <w:t>三个没有变</w:t>
      </w:r>
      <w:r>
        <w:rPr>
          <w:rFonts w:hint="default" w:ascii="Times New Roman" w:hAnsi="Times New Roman" w:eastAsia="仿宋_GB2312" w:cs="Times New Roman"/>
          <w:b w:val="0"/>
          <w:bCs w:val="0"/>
          <w:color w:val="auto"/>
          <w:spacing w:val="0"/>
          <w:w w:val="100"/>
          <w:sz w:val="32"/>
          <w:szCs w:val="32"/>
          <w:highlight w:val="none"/>
          <w:lang w:eastAsia="zh-CN"/>
        </w:rPr>
        <w:t>”，</w:t>
      </w:r>
      <w:r>
        <w:rPr>
          <w:rFonts w:hint="default" w:ascii="Times New Roman" w:hAnsi="Times New Roman" w:eastAsia="仿宋_GB2312" w:cs="Times New Roman"/>
          <w:b w:val="0"/>
          <w:bCs w:val="0"/>
          <w:color w:val="auto"/>
          <w:spacing w:val="0"/>
          <w:w w:val="100"/>
          <w:sz w:val="32"/>
          <w:szCs w:val="32"/>
          <w:highlight w:val="none"/>
        </w:rPr>
        <w:t>聚焦</w:t>
      </w:r>
      <w:r>
        <w:rPr>
          <w:rFonts w:hint="default" w:ascii="Times New Roman" w:hAnsi="Times New Roman" w:eastAsia="仿宋_GB2312" w:cs="Times New Roman"/>
          <w:b w:val="0"/>
          <w:bCs w:val="0"/>
          <w:color w:val="auto"/>
          <w:spacing w:val="0"/>
          <w:w w:val="100"/>
          <w:sz w:val="32"/>
          <w:szCs w:val="32"/>
          <w:highlight w:val="none"/>
          <w:lang w:eastAsia="zh-CN"/>
        </w:rPr>
        <w:t>“两</w:t>
      </w:r>
      <w:r>
        <w:rPr>
          <w:rFonts w:hint="default" w:ascii="Times New Roman" w:hAnsi="Times New Roman" w:eastAsia="仿宋_GB2312" w:cs="Times New Roman"/>
          <w:b w:val="0"/>
          <w:bCs w:val="0"/>
          <w:color w:val="auto"/>
          <w:spacing w:val="0"/>
          <w:w w:val="100"/>
          <w:sz w:val="32"/>
          <w:szCs w:val="32"/>
          <w:highlight w:val="none"/>
        </w:rPr>
        <w:t>高四</w:t>
      </w:r>
      <w:r>
        <w:rPr>
          <w:rFonts w:hint="default" w:ascii="Times New Roman" w:hAnsi="Times New Roman" w:eastAsia="仿宋_GB2312" w:cs="Times New Roman"/>
          <w:b w:val="0"/>
          <w:bCs w:val="0"/>
          <w:color w:val="auto"/>
          <w:spacing w:val="0"/>
          <w:w w:val="100"/>
          <w:sz w:val="32"/>
          <w:szCs w:val="32"/>
          <w:highlight w:val="none"/>
          <w:lang w:eastAsia="zh-CN"/>
        </w:rPr>
        <w:t>着力”</w:t>
      </w:r>
      <w:r>
        <w:rPr>
          <w:rFonts w:hint="default" w:ascii="Times New Roman" w:hAnsi="Times New Roman" w:eastAsia="仿宋_GB2312" w:cs="Times New Roman"/>
          <w:b w:val="0"/>
          <w:bCs w:val="0"/>
          <w:color w:val="auto"/>
          <w:spacing w:val="0"/>
          <w:w w:val="100"/>
          <w:sz w:val="32"/>
          <w:szCs w:val="32"/>
          <w:highlight w:val="none"/>
        </w:rPr>
        <w:t>部署，以“1+2+4+N”目标任务体系为主线，积极融入服务全国统一大市场，以</w:t>
      </w:r>
      <w:r>
        <w:rPr>
          <w:rFonts w:hint="default" w:ascii="Times New Roman" w:hAnsi="Times New Roman" w:eastAsia="仿宋_GB2312" w:cs="Times New Roman"/>
          <w:b w:val="0"/>
          <w:bCs w:val="0"/>
          <w:color w:val="auto"/>
          <w:spacing w:val="0"/>
          <w:w w:val="100"/>
          <w:sz w:val="32"/>
          <w:szCs w:val="32"/>
          <w:highlight w:val="none"/>
          <w:lang w:eastAsia="zh-CN"/>
        </w:rPr>
        <w:t>保证民营经济组织</w:t>
      </w:r>
      <w:r>
        <w:rPr>
          <w:rFonts w:hint="default" w:ascii="Times New Roman" w:hAnsi="Times New Roman" w:eastAsia="仿宋_GB2312" w:cs="Times New Roman"/>
          <w:b w:val="0"/>
          <w:bCs w:val="0"/>
          <w:color w:val="auto"/>
          <w:spacing w:val="0"/>
          <w:w w:val="100"/>
          <w:sz w:val="32"/>
          <w:szCs w:val="32"/>
          <w:highlight w:val="none"/>
        </w:rPr>
        <w:t>依法平等使用</w:t>
      </w:r>
      <w:r>
        <w:rPr>
          <w:rFonts w:hint="default" w:ascii="Times New Roman" w:hAnsi="Times New Roman" w:eastAsia="仿宋_GB2312" w:cs="Times New Roman"/>
          <w:b w:val="0"/>
          <w:bCs w:val="0"/>
          <w:color w:val="auto"/>
          <w:spacing w:val="0"/>
          <w:w w:val="100"/>
          <w:sz w:val="32"/>
          <w:szCs w:val="32"/>
          <w:highlight w:val="none"/>
          <w:lang w:eastAsia="zh-CN"/>
        </w:rPr>
        <w:t>各类</w:t>
      </w:r>
      <w:r>
        <w:rPr>
          <w:rFonts w:hint="default" w:ascii="Times New Roman" w:hAnsi="Times New Roman" w:eastAsia="仿宋_GB2312" w:cs="Times New Roman"/>
          <w:b w:val="0"/>
          <w:bCs w:val="0"/>
          <w:color w:val="auto"/>
          <w:spacing w:val="0"/>
          <w:w w:val="100"/>
          <w:sz w:val="32"/>
          <w:szCs w:val="32"/>
          <w:highlight w:val="none"/>
        </w:rPr>
        <w:t>生产要素、公平参与市场竞争、同等受到法律保护为核心，围绕民营经济发展堵点、难点</w:t>
      </w:r>
      <w:r>
        <w:rPr>
          <w:rFonts w:hint="default" w:ascii="Times New Roman" w:hAnsi="Times New Roman" w:eastAsia="仿宋_GB2312" w:cs="Times New Roman"/>
          <w:b w:val="0"/>
          <w:bCs w:val="0"/>
          <w:color w:val="auto"/>
          <w:spacing w:val="0"/>
          <w:w w:val="100"/>
          <w:sz w:val="32"/>
          <w:szCs w:val="32"/>
          <w:highlight w:val="none"/>
          <w:lang w:eastAsia="zh-CN"/>
        </w:rPr>
        <w:t>、</w:t>
      </w:r>
      <w:r>
        <w:rPr>
          <w:rFonts w:hint="default" w:ascii="Times New Roman" w:hAnsi="Times New Roman" w:eastAsia="仿宋_GB2312" w:cs="Times New Roman"/>
          <w:b w:val="0"/>
          <w:bCs w:val="0"/>
          <w:color w:val="auto"/>
          <w:spacing w:val="0"/>
          <w:w w:val="100"/>
          <w:sz w:val="32"/>
          <w:szCs w:val="32"/>
          <w:highlight w:val="none"/>
        </w:rPr>
        <w:t>痛点，针对性实施</w:t>
      </w:r>
      <w:r>
        <w:rPr>
          <w:rFonts w:hint="default" w:ascii="Times New Roman" w:hAnsi="Times New Roman" w:eastAsia="仿宋_GB2312" w:cs="Times New Roman"/>
          <w:b w:val="0"/>
          <w:bCs w:val="0"/>
          <w:color w:val="auto"/>
          <w:spacing w:val="0"/>
          <w:w w:val="100"/>
          <w:sz w:val="32"/>
          <w:szCs w:val="32"/>
          <w:highlight w:val="none"/>
          <w:lang w:eastAsia="zh-CN"/>
        </w:rPr>
        <w:t>完成一批重点任务</w:t>
      </w:r>
      <w:r>
        <w:rPr>
          <w:rFonts w:hint="default" w:ascii="Times New Roman" w:hAnsi="Times New Roman" w:eastAsia="仿宋_GB2312" w:cs="Times New Roman"/>
          <w:b w:val="0"/>
          <w:bCs w:val="0"/>
          <w:color w:val="auto"/>
          <w:spacing w:val="0"/>
          <w:w w:val="100"/>
          <w:sz w:val="32"/>
          <w:szCs w:val="32"/>
          <w:highlight w:val="none"/>
        </w:rPr>
        <w:t>，</w:t>
      </w:r>
      <w:r>
        <w:rPr>
          <w:rFonts w:hint="default" w:ascii="Times New Roman" w:hAnsi="Times New Roman" w:eastAsia="仿宋_GB2312" w:cs="Times New Roman"/>
          <w:b w:val="0"/>
          <w:bCs w:val="0"/>
          <w:color w:val="auto"/>
          <w:spacing w:val="0"/>
          <w:w w:val="100"/>
          <w:sz w:val="32"/>
          <w:szCs w:val="32"/>
          <w:highlight w:val="none"/>
          <w:lang w:eastAsia="zh-CN"/>
        </w:rPr>
        <w:t>全力</w:t>
      </w:r>
      <w:r>
        <w:rPr>
          <w:rFonts w:hint="default" w:ascii="Times New Roman" w:hAnsi="Times New Roman" w:eastAsia="仿宋_GB2312" w:cs="Times New Roman"/>
          <w:b w:val="0"/>
          <w:bCs w:val="0"/>
          <w:color w:val="auto"/>
          <w:spacing w:val="0"/>
          <w:w w:val="100"/>
          <w:sz w:val="32"/>
          <w:szCs w:val="32"/>
          <w:highlight w:val="none"/>
        </w:rPr>
        <w:t>破壁垒</w:t>
      </w:r>
      <w:r>
        <w:rPr>
          <w:rFonts w:hint="default" w:ascii="Times New Roman" w:hAnsi="Times New Roman" w:eastAsia="仿宋_GB2312" w:cs="Times New Roman"/>
          <w:b w:val="0"/>
          <w:bCs w:val="0"/>
          <w:color w:val="auto"/>
          <w:spacing w:val="0"/>
          <w:w w:val="100"/>
          <w:sz w:val="32"/>
          <w:szCs w:val="32"/>
          <w:highlight w:val="none"/>
          <w:lang w:eastAsia="zh-CN"/>
        </w:rPr>
        <w:t>、</w:t>
      </w:r>
      <w:r>
        <w:rPr>
          <w:rFonts w:hint="default" w:ascii="Times New Roman" w:hAnsi="Times New Roman" w:eastAsia="仿宋_GB2312" w:cs="Times New Roman"/>
          <w:b w:val="0"/>
          <w:bCs w:val="0"/>
          <w:color w:val="auto"/>
          <w:spacing w:val="0"/>
          <w:w w:val="100"/>
          <w:sz w:val="32"/>
          <w:szCs w:val="32"/>
          <w:highlight w:val="none"/>
        </w:rPr>
        <w:t>强服务</w:t>
      </w:r>
      <w:r>
        <w:rPr>
          <w:rFonts w:hint="default" w:ascii="Times New Roman" w:hAnsi="Times New Roman" w:eastAsia="仿宋_GB2312" w:cs="Times New Roman"/>
          <w:b w:val="0"/>
          <w:bCs w:val="0"/>
          <w:color w:val="auto"/>
          <w:spacing w:val="0"/>
          <w:w w:val="100"/>
          <w:sz w:val="32"/>
          <w:szCs w:val="32"/>
          <w:highlight w:val="none"/>
          <w:lang w:eastAsia="zh-CN"/>
        </w:rPr>
        <w:t>、</w:t>
      </w:r>
      <w:r>
        <w:rPr>
          <w:rFonts w:hint="default" w:ascii="Times New Roman" w:hAnsi="Times New Roman" w:eastAsia="仿宋_GB2312" w:cs="Times New Roman"/>
          <w:b w:val="0"/>
          <w:bCs w:val="0"/>
          <w:color w:val="auto"/>
          <w:spacing w:val="0"/>
          <w:w w:val="100"/>
          <w:sz w:val="32"/>
          <w:szCs w:val="32"/>
          <w:highlight w:val="none"/>
        </w:rPr>
        <w:t>解难题</w:t>
      </w:r>
      <w:r>
        <w:rPr>
          <w:rFonts w:hint="default" w:ascii="Times New Roman" w:hAnsi="Times New Roman" w:eastAsia="仿宋_GB2312" w:cs="Times New Roman"/>
          <w:b w:val="0"/>
          <w:bCs w:val="0"/>
          <w:color w:val="auto"/>
          <w:spacing w:val="0"/>
          <w:w w:val="100"/>
          <w:sz w:val="32"/>
          <w:szCs w:val="32"/>
          <w:highlight w:val="none"/>
          <w:lang w:eastAsia="zh-CN"/>
        </w:rPr>
        <w:t>、</w:t>
      </w:r>
      <w:r>
        <w:rPr>
          <w:rFonts w:hint="default" w:ascii="Times New Roman" w:hAnsi="Times New Roman" w:eastAsia="仿宋_GB2312" w:cs="Times New Roman"/>
          <w:b w:val="0"/>
          <w:bCs w:val="0"/>
          <w:color w:val="auto"/>
          <w:spacing w:val="0"/>
          <w:w w:val="100"/>
          <w:sz w:val="32"/>
          <w:szCs w:val="32"/>
          <w:highlight w:val="none"/>
        </w:rPr>
        <w:t>疏堵点</w:t>
      </w:r>
      <w:r>
        <w:rPr>
          <w:rFonts w:hint="default" w:ascii="Times New Roman" w:hAnsi="Times New Roman" w:eastAsia="仿宋_GB2312" w:cs="Times New Roman"/>
          <w:b w:val="0"/>
          <w:bCs w:val="0"/>
          <w:color w:val="auto"/>
          <w:spacing w:val="0"/>
          <w:w w:val="100"/>
          <w:sz w:val="32"/>
          <w:szCs w:val="32"/>
          <w:highlight w:val="none"/>
          <w:lang w:eastAsia="zh-CN"/>
        </w:rPr>
        <w:t>、</w:t>
      </w:r>
      <w:r>
        <w:rPr>
          <w:rFonts w:hint="default" w:ascii="Times New Roman" w:hAnsi="Times New Roman" w:eastAsia="仿宋_GB2312" w:cs="Times New Roman"/>
          <w:b w:val="0"/>
          <w:bCs w:val="0"/>
          <w:color w:val="auto"/>
          <w:spacing w:val="0"/>
          <w:w w:val="100"/>
          <w:sz w:val="32"/>
          <w:szCs w:val="32"/>
          <w:highlight w:val="none"/>
        </w:rPr>
        <w:t>优环境</w:t>
      </w:r>
      <w:r>
        <w:rPr>
          <w:rFonts w:hint="default" w:ascii="Times New Roman" w:hAnsi="Times New Roman" w:eastAsia="仿宋_GB2312" w:cs="Times New Roman"/>
          <w:b w:val="0"/>
          <w:bCs w:val="0"/>
          <w:color w:val="auto"/>
          <w:spacing w:val="0"/>
          <w:w w:val="100"/>
          <w:sz w:val="32"/>
          <w:szCs w:val="32"/>
          <w:highlight w:val="none"/>
          <w:lang w:eastAsia="zh-CN"/>
        </w:rPr>
        <w:t>，</w:t>
      </w:r>
      <w:r>
        <w:rPr>
          <w:rFonts w:hint="default" w:ascii="Times New Roman" w:hAnsi="Times New Roman" w:eastAsia="仿宋_GB2312" w:cs="Times New Roman"/>
          <w:b w:val="0"/>
          <w:bCs w:val="0"/>
          <w:color w:val="auto"/>
          <w:spacing w:val="0"/>
          <w:w w:val="100"/>
          <w:sz w:val="32"/>
          <w:szCs w:val="32"/>
          <w:highlight w:val="none"/>
        </w:rPr>
        <w:t>进一步激发和提振民营企业发展的信心决心，</w:t>
      </w:r>
      <w:r>
        <w:rPr>
          <w:rFonts w:hint="default" w:ascii="Times New Roman" w:hAnsi="Times New Roman" w:eastAsia="仿宋_GB2312" w:cs="Times New Roman"/>
          <w:b w:val="0"/>
          <w:bCs w:val="0"/>
          <w:color w:val="auto"/>
          <w:spacing w:val="0"/>
          <w:w w:val="100"/>
          <w:sz w:val="32"/>
          <w:szCs w:val="32"/>
          <w:highlight w:val="none"/>
          <w:lang w:eastAsia="zh-CN"/>
        </w:rPr>
        <w:t>推动经济持续向好</w:t>
      </w:r>
      <w:r>
        <w:rPr>
          <w:rFonts w:hint="default" w:ascii="Times New Roman" w:hAnsi="Times New Roman" w:eastAsia="仿宋_GB2312" w:cs="Times New Roman"/>
          <w:b w:val="0"/>
          <w:bCs w:val="0"/>
          <w:color w:val="auto"/>
          <w:spacing w:val="0"/>
          <w:w w:val="100"/>
          <w:sz w:val="32"/>
          <w:szCs w:val="32"/>
          <w:highlight w:val="none"/>
        </w:rPr>
        <w:t>，</w:t>
      </w:r>
      <w:r>
        <w:rPr>
          <w:rFonts w:hint="default" w:ascii="Times New Roman" w:hAnsi="Times New Roman" w:eastAsia="仿宋_GB2312" w:cs="Times New Roman"/>
          <w:b w:val="0"/>
          <w:bCs w:val="0"/>
          <w:color w:val="auto"/>
          <w:spacing w:val="0"/>
          <w:w w:val="100"/>
          <w:sz w:val="32"/>
          <w:szCs w:val="32"/>
          <w:highlight w:val="none"/>
          <w:lang w:eastAsia="zh-CN"/>
        </w:rPr>
        <w:t>为加快老区振兴发展、奋力实现“两个更好”提供坚实支撑</w:t>
      </w:r>
      <w:r>
        <w:rPr>
          <w:rFonts w:hint="default" w:ascii="Times New Roman" w:hAnsi="Times New Roman" w:eastAsia="仿宋_GB2312" w:cs="Times New Roman"/>
          <w:b w:val="0"/>
          <w:bCs w:val="0"/>
          <w:color w:val="auto"/>
          <w:spacing w:val="0"/>
          <w:w w:val="100"/>
          <w:sz w:val="32"/>
          <w:szCs w:val="32"/>
          <w:highlight w:val="none"/>
        </w:rPr>
        <w:t>。</w:t>
      </w:r>
    </w:p>
    <w:p w14:paraId="4271FD34">
      <w:pPr>
        <w:pStyle w:val="2"/>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43" w:firstLineChars="200"/>
        <w:jc w:val="both"/>
        <w:textAlignment w:val="baseline"/>
        <w:rPr>
          <w:rFonts w:hint="default" w:ascii="Times New Roman" w:hAnsi="Times New Roman" w:eastAsia="方正楷体_GB2312" w:cs="Times New Roman"/>
          <w:b/>
          <w:bCs/>
          <w:color w:val="auto"/>
          <w:spacing w:val="0"/>
          <w:w w:val="100"/>
          <w:sz w:val="32"/>
          <w:szCs w:val="32"/>
          <w:highlight w:val="none"/>
          <w:lang w:val="en-US" w:eastAsia="zh-CN"/>
        </w:rPr>
      </w:pPr>
      <w:r>
        <w:rPr>
          <w:rFonts w:hint="default" w:ascii="Times New Roman" w:hAnsi="Times New Roman" w:eastAsia="方正楷体_GB2312" w:cs="Times New Roman"/>
          <w:b/>
          <w:bCs/>
          <w:color w:val="auto"/>
          <w:spacing w:val="0"/>
          <w:w w:val="100"/>
          <w:sz w:val="32"/>
          <w:szCs w:val="32"/>
          <w:highlight w:val="none"/>
          <w:lang w:eastAsia="zh-CN"/>
        </w:rPr>
        <w:t>（</w:t>
      </w:r>
      <w:r>
        <w:rPr>
          <w:rFonts w:hint="default" w:ascii="Times New Roman" w:hAnsi="Times New Roman" w:eastAsia="方正楷体_GB2312" w:cs="Times New Roman"/>
          <w:b/>
          <w:bCs/>
          <w:color w:val="auto"/>
          <w:spacing w:val="0"/>
          <w:w w:val="100"/>
          <w:sz w:val="32"/>
          <w:szCs w:val="32"/>
          <w:highlight w:val="none"/>
          <w:lang w:val="en-US" w:eastAsia="zh-CN"/>
        </w:rPr>
        <w:t>二</w:t>
      </w:r>
      <w:r>
        <w:rPr>
          <w:rFonts w:hint="default" w:ascii="Times New Roman" w:hAnsi="Times New Roman" w:eastAsia="方正楷体_GB2312" w:cs="Times New Roman"/>
          <w:b/>
          <w:bCs/>
          <w:color w:val="auto"/>
          <w:spacing w:val="0"/>
          <w:w w:val="100"/>
          <w:sz w:val="32"/>
          <w:szCs w:val="32"/>
          <w:highlight w:val="none"/>
          <w:lang w:eastAsia="zh-CN"/>
        </w:rPr>
        <w:t>）</w:t>
      </w:r>
      <w:r>
        <w:rPr>
          <w:rFonts w:hint="default" w:ascii="Times New Roman" w:hAnsi="Times New Roman" w:eastAsia="方正楷体_GB2312" w:cs="Times New Roman"/>
          <w:b/>
          <w:bCs/>
          <w:color w:val="auto"/>
          <w:spacing w:val="0"/>
          <w:w w:val="100"/>
          <w:sz w:val="32"/>
          <w:szCs w:val="32"/>
          <w:highlight w:val="none"/>
          <w:lang w:val="en-US" w:eastAsia="zh-CN"/>
        </w:rPr>
        <w:t>工作目标</w:t>
      </w:r>
    </w:p>
    <w:p w14:paraId="787BABF5">
      <w:pPr>
        <w:pStyle w:val="2"/>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40" w:firstLineChars="200"/>
        <w:jc w:val="both"/>
        <w:textAlignment w:val="baseline"/>
        <w:rPr>
          <w:rFonts w:hint="default" w:ascii="Times New Roman" w:hAnsi="Times New Roman" w:eastAsia="仿宋_GB2312" w:cs="Times New Roman"/>
          <w:b w:val="0"/>
          <w:bCs w:val="0"/>
          <w:color w:val="auto"/>
          <w:spacing w:val="0"/>
          <w:w w:val="100"/>
          <w:sz w:val="32"/>
          <w:szCs w:val="32"/>
          <w:highlight w:val="none"/>
        </w:rPr>
      </w:pPr>
      <w:r>
        <w:rPr>
          <w:rFonts w:hint="default" w:ascii="Times New Roman" w:hAnsi="Times New Roman" w:eastAsia="仿宋_GB2312" w:cs="Times New Roman"/>
          <w:b w:val="0"/>
          <w:bCs w:val="0"/>
          <w:color w:val="auto"/>
          <w:spacing w:val="0"/>
          <w:w w:val="100"/>
          <w:sz w:val="32"/>
          <w:szCs w:val="32"/>
          <w:highlight w:val="none"/>
        </w:rPr>
        <w:t>经过3年左右努力，全</w:t>
      </w:r>
      <w:r>
        <w:rPr>
          <w:rFonts w:hint="default" w:ascii="Times New Roman" w:hAnsi="Times New Roman" w:eastAsia="仿宋_GB2312" w:cs="Times New Roman"/>
          <w:b w:val="0"/>
          <w:bCs w:val="0"/>
          <w:color w:val="auto"/>
          <w:spacing w:val="0"/>
          <w:w w:val="100"/>
          <w:sz w:val="32"/>
          <w:szCs w:val="32"/>
          <w:highlight w:val="none"/>
          <w:lang w:eastAsia="zh-CN"/>
        </w:rPr>
        <w:t>市</w:t>
      </w:r>
      <w:r>
        <w:rPr>
          <w:rFonts w:hint="default" w:ascii="Times New Roman" w:hAnsi="Times New Roman" w:eastAsia="仿宋_GB2312" w:cs="Times New Roman"/>
          <w:b w:val="0"/>
          <w:bCs w:val="0"/>
          <w:color w:val="auto"/>
          <w:spacing w:val="0"/>
          <w:w w:val="100"/>
          <w:sz w:val="32"/>
          <w:szCs w:val="32"/>
          <w:highlight w:val="none"/>
        </w:rPr>
        <w:t>民营经济实现质的有效提升和量的合理增长，对全</w:t>
      </w:r>
      <w:r>
        <w:rPr>
          <w:rFonts w:hint="default" w:ascii="Times New Roman" w:hAnsi="Times New Roman" w:eastAsia="仿宋_GB2312" w:cs="Times New Roman"/>
          <w:b w:val="0"/>
          <w:bCs w:val="0"/>
          <w:color w:val="auto"/>
          <w:spacing w:val="0"/>
          <w:w w:val="100"/>
          <w:sz w:val="32"/>
          <w:szCs w:val="32"/>
          <w:highlight w:val="none"/>
          <w:lang w:eastAsia="zh-CN"/>
        </w:rPr>
        <w:t>市</w:t>
      </w:r>
      <w:r>
        <w:rPr>
          <w:rFonts w:hint="default" w:ascii="Times New Roman" w:hAnsi="Times New Roman" w:eastAsia="仿宋_GB2312" w:cs="Times New Roman"/>
          <w:b w:val="0"/>
          <w:bCs w:val="0"/>
          <w:color w:val="auto"/>
          <w:spacing w:val="0"/>
          <w:w w:val="100"/>
          <w:sz w:val="32"/>
          <w:szCs w:val="32"/>
          <w:highlight w:val="none"/>
        </w:rPr>
        <w:t>经济社会贡献度显著提高，</w:t>
      </w:r>
      <w:r>
        <w:rPr>
          <w:rFonts w:hint="default" w:ascii="Times New Roman" w:hAnsi="Times New Roman" w:eastAsia="仿宋_GB2312" w:cs="Times New Roman"/>
          <w:b w:val="0"/>
          <w:bCs w:val="0"/>
          <w:color w:val="auto"/>
          <w:spacing w:val="0"/>
          <w:w w:val="100"/>
          <w:sz w:val="32"/>
          <w:szCs w:val="32"/>
          <w:highlight w:val="none"/>
          <w:lang w:eastAsia="zh-CN"/>
        </w:rPr>
        <w:t>每万人拥有民营市场主体数量不低于全省平均水平</w:t>
      </w:r>
      <w:r>
        <w:rPr>
          <w:rFonts w:hint="default" w:ascii="Times New Roman" w:hAnsi="Times New Roman" w:eastAsia="仿宋_GB2312" w:cs="Times New Roman"/>
          <w:b w:val="0"/>
          <w:bCs w:val="0"/>
          <w:color w:val="auto"/>
          <w:spacing w:val="0"/>
          <w:w w:val="100"/>
          <w:sz w:val="32"/>
          <w:szCs w:val="32"/>
          <w:highlight w:val="none"/>
        </w:rPr>
        <w:t>，</w:t>
      </w:r>
      <w:r>
        <w:rPr>
          <w:rFonts w:hint="default" w:ascii="Times New Roman" w:hAnsi="Times New Roman" w:eastAsia="仿宋_GB2312" w:cs="Times New Roman"/>
          <w:b w:val="0"/>
          <w:bCs w:val="0"/>
          <w:color w:val="auto"/>
          <w:spacing w:val="0"/>
          <w:w w:val="100"/>
          <w:sz w:val="32"/>
          <w:szCs w:val="32"/>
          <w:highlight w:val="none"/>
          <w:lang w:eastAsia="zh-CN"/>
        </w:rPr>
        <w:t>河南省</w:t>
      </w:r>
      <w:r>
        <w:rPr>
          <w:rFonts w:hint="default" w:ascii="Times New Roman" w:hAnsi="Times New Roman" w:eastAsia="仿宋_GB2312" w:cs="Times New Roman"/>
          <w:b w:val="0"/>
          <w:bCs w:val="0"/>
          <w:color w:val="auto"/>
          <w:spacing w:val="0"/>
          <w:w w:val="100"/>
          <w:sz w:val="32"/>
          <w:szCs w:val="32"/>
          <w:highlight w:val="none"/>
        </w:rPr>
        <w:t>民营企业</w:t>
      </w:r>
      <w:r>
        <w:rPr>
          <w:rFonts w:hint="default" w:ascii="Times New Roman" w:hAnsi="Times New Roman" w:eastAsia="仿宋_GB2312" w:cs="Times New Roman"/>
          <w:b w:val="0"/>
          <w:bCs w:val="0"/>
          <w:color w:val="auto"/>
          <w:spacing w:val="0"/>
          <w:w w:val="100"/>
          <w:sz w:val="32"/>
          <w:szCs w:val="32"/>
          <w:highlight w:val="none"/>
          <w:lang w:val="en-US" w:eastAsia="zh-CN"/>
        </w:rPr>
        <w:t>1</w:t>
      </w:r>
      <w:r>
        <w:rPr>
          <w:rFonts w:hint="default" w:ascii="Times New Roman" w:hAnsi="Times New Roman" w:eastAsia="仿宋_GB2312" w:cs="Times New Roman"/>
          <w:b w:val="0"/>
          <w:bCs w:val="0"/>
          <w:color w:val="auto"/>
          <w:spacing w:val="0"/>
          <w:w w:val="100"/>
          <w:sz w:val="32"/>
          <w:szCs w:val="32"/>
          <w:highlight w:val="none"/>
        </w:rPr>
        <w:t>00强入榜企业数量与我</w:t>
      </w:r>
      <w:r>
        <w:rPr>
          <w:rFonts w:hint="default" w:ascii="Times New Roman" w:hAnsi="Times New Roman" w:eastAsia="仿宋_GB2312" w:cs="Times New Roman"/>
          <w:b w:val="0"/>
          <w:bCs w:val="0"/>
          <w:color w:val="auto"/>
          <w:spacing w:val="0"/>
          <w:w w:val="100"/>
          <w:sz w:val="32"/>
          <w:szCs w:val="32"/>
          <w:highlight w:val="none"/>
          <w:lang w:eastAsia="zh-CN"/>
        </w:rPr>
        <w:t>市</w:t>
      </w:r>
      <w:r>
        <w:rPr>
          <w:rFonts w:hint="default" w:ascii="Times New Roman" w:hAnsi="Times New Roman" w:eastAsia="仿宋_GB2312" w:cs="Times New Roman"/>
          <w:b w:val="0"/>
          <w:bCs w:val="0"/>
          <w:color w:val="auto"/>
          <w:spacing w:val="0"/>
          <w:w w:val="100"/>
          <w:sz w:val="32"/>
          <w:szCs w:val="32"/>
          <w:highlight w:val="none"/>
        </w:rPr>
        <w:t>经济规模更加匹配，民间投资活力持续增强，骨干民营企业核心竞争力显著增强，创新联合体实现全省重点产业链全覆盖，民营企业研发经费增速</w:t>
      </w:r>
      <w:r>
        <w:rPr>
          <w:rFonts w:hint="default" w:ascii="Times New Roman" w:hAnsi="Times New Roman" w:eastAsia="仿宋_GB2312" w:cs="Times New Roman"/>
          <w:b w:val="0"/>
          <w:bCs w:val="0"/>
          <w:color w:val="auto"/>
          <w:spacing w:val="0"/>
          <w:w w:val="100"/>
          <w:sz w:val="32"/>
          <w:szCs w:val="32"/>
          <w:highlight w:val="none"/>
          <w:lang w:eastAsia="zh-CN"/>
        </w:rPr>
        <w:t>、</w:t>
      </w:r>
      <w:r>
        <w:rPr>
          <w:rFonts w:hint="default" w:ascii="Times New Roman" w:hAnsi="Times New Roman" w:eastAsia="仿宋_GB2312" w:cs="Times New Roman"/>
          <w:b w:val="0"/>
          <w:bCs w:val="0"/>
          <w:color w:val="auto"/>
          <w:spacing w:val="0"/>
          <w:w w:val="100"/>
          <w:sz w:val="32"/>
          <w:szCs w:val="32"/>
          <w:highlight w:val="none"/>
        </w:rPr>
        <w:t>参与高能级创新平台建设与重点科技研发计划比例明显提升，民营企业全生命周期服务质效显著改善，市场准入、公平竞争、</w:t>
      </w:r>
      <w:r>
        <w:rPr>
          <w:rFonts w:hint="default" w:ascii="Times New Roman" w:hAnsi="Times New Roman" w:eastAsia="仿宋_GB2312" w:cs="Times New Roman"/>
          <w:b w:val="0"/>
          <w:bCs w:val="0"/>
          <w:color w:val="auto"/>
          <w:spacing w:val="0"/>
          <w:w w:val="100"/>
          <w:sz w:val="32"/>
          <w:szCs w:val="32"/>
          <w:highlight w:val="none"/>
          <w:lang w:eastAsia="zh-CN"/>
        </w:rPr>
        <w:t>投资融资、</w:t>
      </w:r>
      <w:r>
        <w:rPr>
          <w:rFonts w:hint="default" w:ascii="Times New Roman" w:hAnsi="Times New Roman" w:eastAsia="仿宋_GB2312" w:cs="Times New Roman"/>
          <w:b w:val="0"/>
          <w:bCs w:val="0"/>
          <w:color w:val="auto"/>
          <w:spacing w:val="0"/>
          <w:w w:val="100"/>
          <w:sz w:val="32"/>
          <w:szCs w:val="32"/>
          <w:highlight w:val="none"/>
        </w:rPr>
        <w:t>权益保护等领域的突出问题得到有效解决，</w:t>
      </w:r>
      <w:r>
        <w:rPr>
          <w:rFonts w:hint="default" w:ascii="Times New Roman" w:hAnsi="Times New Roman" w:eastAsia="仿宋_GB2312" w:cs="Times New Roman"/>
          <w:b w:val="0"/>
          <w:bCs w:val="0"/>
          <w:color w:val="auto"/>
          <w:spacing w:val="0"/>
          <w:w w:val="100"/>
          <w:sz w:val="32"/>
          <w:szCs w:val="32"/>
          <w:highlight w:val="none"/>
          <w:lang w:eastAsia="zh-CN"/>
        </w:rPr>
        <w:t>民营经济组织经营管理更加规范，</w:t>
      </w:r>
      <w:r>
        <w:rPr>
          <w:rFonts w:hint="default" w:ascii="Times New Roman" w:hAnsi="Times New Roman" w:eastAsia="仿宋_GB2312" w:cs="Times New Roman"/>
          <w:b w:val="0"/>
          <w:bCs w:val="0"/>
          <w:color w:val="auto"/>
          <w:spacing w:val="0"/>
          <w:w w:val="100"/>
          <w:sz w:val="32"/>
          <w:szCs w:val="32"/>
          <w:highlight w:val="none"/>
        </w:rPr>
        <w:t>全</w:t>
      </w:r>
      <w:r>
        <w:rPr>
          <w:rFonts w:hint="default" w:ascii="Times New Roman" w:hAnsi="Times New Roman" w:eastAsia="仿宋_GB2312" w:cs="Times New Roman"/>
          <w:b w:val="0"/>
          <w:bCs w:val="0"/>
          <w:color w:val="auto"/>
          <w:spacing w:val="0"/>
          <w:w w:val="100"/>
          <w:sz w:val="32"/>
          <w:szCs w:val="32"/>
          <w:highlight w:val="none"/>
          <w:lang w:eastAsia="zh-CN"/>
        </w:rPr>
        <w:t>市</w:t>
      </w:r>
      <w:r>
        <w:rPr>
          <w:rFonts w:hint="default" w:ascii="Times New Roman" w:hAnsi="Times New Roman" w:eastAsia="仿宋_GB2312" w:cs="Times New Roman"/>
          <w:b w:val="0"/>
          <w:bCs w:val="0"/>
          <w:color w:val="auto"/>
          <w:spacing w:val="0"/>
          <w:w w:val="100"/>
          <w:sz w:val="32"/>
          <w:szCs w:val="32"/>
          <w:highlight w:val="none"/>
        </w:rPr>
        <w:t>营商环境持续优化。</w:t>
      </w:r>
    </w:p>
    <w:p w14:paraId="7EF1930C">
      <w:pPr>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40" w:firstLineChars="200"/>
        <w:jc w:val="both"/>
        <w:textAlignment w:val="baseline"/>
        <w:outlineLvl w:val="1"/>
        <w:rPr>
          <w:rFonts w:hint="default" w:ascii="Times New Roman" w:hAnsi="Times New Roman" w:eastAsia="黑体" w:cs="Times New Roman"/>
          <w:b w:val="0"/>
          <w:bCs w:val="0"/>
          <w:color w:val="auto"/>
          <w:spacing w:val="0"/>
          <w:w w:val="100"/>
          <w:sz w:val="32"/>
          <w:szCs w:val="32"/>
          <w:highlight w:val="none"/>
          <w:lang w:val="en-US" w:eastAsia="zh-CN"/>
        </w:rPr>
      </w:pPr>
      <w:r>
        <w:rPr>
          <w:rFonts w:hint="default" w:ascii="Times New Roman" w:hAnsi="Times New Roman" w:eastAsia="黑体" w:cs="Times New Roman"/>
          <w:b w:val="0"/>
          <w:bCs w:val="0"/>
          <w:color w:val="auto"/>
          <w:spacing w:val="0"/>
          <w:w w:val="100"/>
          <w:sz w:val="32"/>
          <w:szCs w:val="32"/>
          <w:highlight w:val="none"/>
        </w:rPr>
        <w:t>二、</w:t>
      </w:r>
      <w:r>
        <w:rPr>
          <w:rFonts w:hint="default" w:ascii="Times New Roman" w:hAnsi="Times New Roman" w:eastAsia="黑体" w:cs="Times New Roman"/>
          <w:b w:val="0"/>
          <w:bCs w:val="0"/>
          <w:color w:val="auto"/>
          <w:spacing w:val="0"/>
          <w:w w:val="100"/>
          <w:sz w:val="32"/>
          <w:szCs w:val="32"/>
          <w:highlight w:val="none"/>
          <w:lang w:val="en-US" w:eastAsia="zh-CN"/>
        </w:rPr>
        <w:t>重点任务</w:t>
      </w:r>
    </w:p>
    <w:p w14:paraId="6F27BB2F">
      <w:pPr>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43" w:firstLineChars="200"/>
        <w:jc w:val="both"/>
        <w:textAlignment w:val="baseline"/>
        <w:rPr>
          <w:rFonts w:hint="default" w:ascii="Times New Roman" w:hAnsi="Times New Roman" w:eastAsia="楷体_GB2312" w:cs="Times New Roman"/>
          <w:b/>
          <w:bCs/>
          <w:color w:val="auto"/>
          <w:spacing w:val="0"/>
          <w:w w:val="100"/>
          <w:sz w:val="32"/>
          <w:szCs w:val="32"/>
          <w:highlight w:val="none"/>
          <w:lang w:eastAsia="zh-CN"/>
        </w:rPr>
      </w:pPr>
      <w:r>
        <w:rPr>
          <w:rFonts w:hint="default" w:ascii="Times New Roman" w:hAnsi="Times New Roman" w:eastAsia="楷体_GB2312" w:cs="Times New Roman"/>
          <w:b/>
          <w:bCs/>
          <w:color w:val="auto"/>
          <w:spacing w:val="0"/>
          <w:w w:val="100"/>
          <w:sz w:val="32"/>
          <w:szCs w:val="32"/>
          <w:highlight w:val="none"/>
          <w:lang w:eastAsia="zh-CN"/>
        </w:rPr>
        <w:t>（</w:t>
      </w:r>
      <w:r>
        <w:rPr>
          <w:rFonts w:hint="default" w:ascii="Times New Roman" w:hAnsi="Times New Roman" w:eastAsia="楷体_GB2312" w:cs="Times New Roman"/>
          <w:b/>
          <w:bCs/>
          <w:color w:val="auto"/>
          <w:spacing w:val="0"/>
          <w:w w:val="100"/>
          <w:sz w:val="32"/>
          <w:szCs w:val="32"/>
          <w:highlight w:val="none"/>
        </w:rPr>
        <w:t>一</w:t>
      </w:r>
      <w:r>
        <w:rPr>
          <w:rFonts w:hint="default" w:ascii="Times New Roman" w:hAnsi="Times New Roman" w:eastAsia="楷体_GB2312" w:cs="Times New Roman"/>
          <w:b/>
          <w:bCs/>
          <w:color w:val="auto"/>
          <w:spacing w:val="0"/>
          <w:w w:val="100"/>
          <w:sz w:val="32"/>
          <w:szCs w:val="32"/>
          <w:highlight w:val="none"/>
          <w:lang w:eastAsia="zh-CN"/>
        </w:rPr>
        <w:t>）强化民营市场主体培育</w:t>
      </w:r>
    </w:p>
    <w:p w14:paraId="156CA5E9">
      <w:pPr>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43" w:firstLineChars="200"/>
        <w:jc w:val="both"/>
        <w:textAlignment w:val="baseline"/>
        <w:rPr>
          <w:rFonts w:hint="default" w:ascii="Times New Roman" w:hAnsi="Times New Roman" w:eastAsia="楷体_GB2312" w:cs="Times New Roman"/>
          <w:b w:val="0"/>
          <w:bCs w:val="0"/>
          <w:color w:val="auto"/>
          <w:spacing w:val="0"/>
          <w:w w:val="100"/>
          <w:sz w:val="32"/>
          <w:szCs w:val="32"/>
          <w:highlight w:val="none"/>
          <w:lang w:eastAsia="zh-CN"/>
        </w:rPr>
      </w:pPr>
      <w:r>
        <w:rPr>
          <w:rFonts w:hint="default" w:ascii="Times New Roman" w:hAnsi="Times New Roman" w:eastAsia="仿宋_GB2312" w:cs="Times New Roman"/>
          <w:b/>
          <w:bCs/>
          <w:color w:val="auto"/>
          <w:spacing w:val="0"/>
          <w:w w:val="100"/>
          <w:sz w:val="32"/>
          <w:szCs w:val="32"/>
          <w:highlight w:val="none"/>
          <w:lang w:val="en-US" w:eastAsia="zh-CN"/>
        </w:rPr>
        <w:t>1.完善创业创新服务体系</w:t>
      </w:r>
      <w:r>
        <w:rPr>
          <w:rFonts w:hint="default" w:ascii="Times New Roman" w:hAnsi="Times New Roman" w:eastAsia="仿宋_GB2312" w:cs="Times New Roman"/>
          <w:b/>
          <w:bCs/>
          <w:color w:val="auto"/>
          <w:spacing w:val="0"/>
          <w:w w:val="100"/>
          <w:sz w:val="32"/>
          <w:szCs w:val="32"/>
          <w:highlight w:val="none"/>
        </w:rPr>
        <w:t>。</w:t>
      </w:r>
      <w:r>
        <w:rPr>
          <w:rFonts w:hint="default" w:ascii="Times New Roman" w:hAnsi="Times New Roman" w:eastAsia="仿宋_GB2312" w:cs="Times New Roman"/>
          <w:b w:val="0"/>
          <w:bCs w:val="0"/>
          <w:color w:val="auto"/>
          <w:spacing w:val="0"/>
          <w:w w:val="100"/>
          <w:sz w:val="32"/>
          <w:szCs w:val="32"/>
          <w:highlight w:val="none"/>
        </w:rPr>
        <w:t>鼓励和支持盘活国有低效闲置资产、废旧厂房等设施，按照</w:t>
      </w:r>
      <w:r>
        <w:rPr>
          <w:rFonts w:hint="default" w:ascii="Times New Roman" w:hAnsi="Times New Roman" w:eastAsia="仿宋_GB2312" w:cs="Times New Roman"/>
          <w:b w:val="0"/>
          <w:bCs w:val="0"/>
          <w:color w:val="auto"/>
          <w:spacing w:val="0"/>
          <w:w w:val="100"/>
          <w:sz w:val="32"/>
          <w:szCs w:val="32"/>
          <w:highlight w:val="none"/>
          <w:lang w:val="en-US" w:eastAsia="zh-CN"/>
        </w:rPr>
        <w:t>市管</w:t>
      </w:r>
      <w:r>
        <w:rPr>
          <w:rFonts w:hint="default" w:ascii="Times New Roman" w:hAnsi="Times New Roman" w:eastAsia="仿宋_GB2312" w:cs="Times New Roman"/>
          <w:b w:val="0"/>
          <w:bCs w:val="0"/>
          <w:color w:val="auto"/>
          <w:spacing w:val="0"/>
          <w:w w:val="100"/>
          <w:sz w:val="32"/>
          <w:szCs w:val="32"/>
          <w:highlight w:val="none"/>
        </w:rPr>
        <w:t>企业</w:t>
      </w:r>
      <w:r>
        <w:rPr>
          <w:rFonts w:hint="default" w:ascii="Times New Roman" w:hAnsi="Times New Roman" w:eastAsia="仿宋_GB2312" w:cs="Times New Roman"/>
          <w:b w:val="0"/>
          <w:bCs w:val="0"/>
          <w:color w:val="auto"/>
          <w:spacing w:val="0"/>
          <w:w w:val="100"/>
          <w:sz w:val="32"/>
          <w:szCs w:val="32"/>
          <w:highlight w:val="none"/>
          <w:lang w:val="en-US" w:eastAsia="zh-CN"/>
        </w:rPr>
        <w:t>存量资产盘活处置</w:t>
      </w:r>
      <w:r>
        <w:rPr>
          <w:rFonts w:hint="default" w:ascii="Times New Roman" w:hAnsi="Times New Roman" w:eastAsia="仿宋_GB2312" w:cs="Times New Roman"/>
          <w:b w:val="0"/>
          <w:bCs w:val="0"/>
          <w:color w:val="auto"/>
          <w:spacing w:val="0"/>
          <w:w w:val="100"/>
          <w:sz w:val="32"/>
          <w:szCs w:val="32"/>
          <w:highlight w:val="none"/>
        </w:rPr>
        <w:t>规定，通过市场化、法治化方式吸纳各类创业群体创业。推动小微双创基地、科技企业孵化器、电商产业园、青年创业园、创业孵化基地等创业创新载体</w:t>
      </w:r>
      <w:r>
        <w:rPr>
          <w:rFonts w:hint="default" w:ascii="Times New Roman" w:hAnsi="Times New Roman" w:eastAsia="仿宋_GB2312" w:cs="Times New Roman"/>
          <w:b w:val="0"/>
          <w:bCs w:val="0"/>
          <w:color w:val="auto"/>
          <w:spacing w:val="0"/>
          <w:w w:val="100"/>
          <w:sz w:val="32"/>
          <w:szCs w:val="32"/>
          <w:highlight w:val="none"/>
          <w:lang w:eastAsia="zh-CN"/>
        </w:rPr>
        <w:t>建设，</w:t>
      </w:r>
      <w:r>
        <w:rPr>
          <w:rFonts w:hint="default" w:ascii="Times New Roman" w:hAnsi="Times New Roman" w:eastAsia="仿宋_GB2312" w:cs="Times New Roman"/>
          <w:b w:val="0"/>
          <w:bCs w:val="0"/>
          <w:color w:val="auto"/>
          <w:spacing w:val="0"/>
          <w:w w:val="100"/>
          <w:sz w:val="32"/>
          <w:szCs w:val="32"/>
          <w:highlight w:val="none"/>
          <w:lang w:val="en-US" w:eastAsia="zh-CN"/>
        </w:rPr>
        <w:t>完善“培训、孵化、服务”三位一体的工作模式，推进各类创业孵化资源集成服务</w:t>
      </w:r>
      <w:r>
        <w:rPr>
          <w:rFonts w:hint="default" w:ascii="Times New Roman" w:hAnsi="Times New Roman" w:eastAsia="仿宋_GB2312" w:cs="Times New Roman"/>
          <w:b w:val="0"/>
          <w:bCs w:val="0"/>
          <w:color w:val="auto"/>
          <w:spacing w:val="0"/>
          <w:w w:val="100"/>
          <w:sz w:val="32"/>
          <w:szCs w:val="32"/>
          <w:highlight w:val="none"/>
        </w:rPr>
        <w:t>。</w:t>
      </w:r>
      <w:r>
        <w:rPr>
          <w:rFonts w:hint="default" w:ascii="Times New Roman" w:hAnsi="Times New Roman" w:eastAsia="仿宋_GB2312" w:cs="Times New Roman"/>
          <w:b w:val="0"/>
          <w:bCs w:val="0"/>
          <w:color w:val="auto"/>
          <w:spacing w:val="0"/>
          <w:w w:val="100"/>
          <w:sz w:val="32"/>
          <w:szCs w:val="32"/>
          <w:highlight w:val="none"/>
          <w:lang w:val="en-US" w:eastAsia="zh-CN"/>
        </w:rPr>
        <w:t>对国家、省级、市级创业孵化基地开展的创业孵化服务，每年根据工作量、专业性和成效等，据实给予孵化服务补贴。</w:t>
      </w:r>
      <w:r>
        <w:rPr>
          <w:rFonts w:hint="default" w:ascii="Times New Roman" w:hAnsi="Times New Roman" w:eastAsia="仿宋_GB2312" w:cs="Times New Roman"/>
          <w:b w:val="0"/>
          <w:bCs w:val="0"/>
          <w:color w:val="auto"/>
          <w:spacing w:val="0"/>
          <w:w w:val="100"/>
          <w:sz w:val="32"/>
          <w:szCs w:val="32"/>
          <w:highlight w:val="none"/>
        </w:rPr>
        <w:t>落实创业担保贷款及贴息政策，进一步</w:t>
      </w:r>
      <w:r>
        <w:rPr>
          <w:rFonts w:hint="default" w:ascii="Times New Roman" w:hAnsi="Times New Roman" w:eastAsia="仿宋_GB2312" w:cs="Times New Roman"/>
          <w:b w:val="0"/>
          <w:bCs w:val="0"/>
          <w:color w:val="auto"/>
          <w:spacing w:val="0"/>
          <w:w w:val="100"/>
          <w:sz w:val="32"/>
          <w:szCs w:val="32"/>
          <w:highlight w:val="none"/>
          <w:lang w:eastAsia="zh-CN"/>
        </w:rPr>
        <w:t>推动</w:t>
      </w:r>
      <w:r>
        <w:rPr>
          <w:rFonts w:hint="default" w:ascii="Times New Roman" w:hAnsi="Times New Roman" w:eastAsia="仿宋_GB2312" w:cs="Times New Roman"/>
          <w:b w:val="0"/>
          <w:bCs w:val="0"/>
          <w:color w:val="auto"/>
          <w:spacing w:val="0"/>
          <w:w w:val="100"/>
          <w:sz w:val="32"/>
          <w:szCs w:val="32"/>
          <w:highlight w:val="none"/>
        </w:rPr>
        <w:t>降低创业担保贷款门槛，扩大创业担保贷款贴息支持范围</w:t>
      </w:r>
      <w:r>
        <w:rPr>
          <w:rFonts w:hint="default" w:ascii="Times New Roman" w:hAnsi="Times New Roman" w:eastAsia="仿宋_GB2312" w:cs="Times New Roman"/>
          <w:b w:val="0"/>
          <w:bCs w:val="0"/>
          <w:color w:val="auto"/>
          <w:spacing w:val="0"/>
          <w:w w:val="100"/>
          <w:sz w:val="32"/>
          <w:szCs w:val="32"/>
          <w:highlight w:val="none"/>
          <w:lang w:eastAsia="zh-CN"/>
        </w:rPr>
        <w:t>，</w:t>
      </w:r>
      <w:r>
        <w:rPr>
          <w:rFonts w:hint="default" w:ascii="Times New Roman" w:hAnsi="Times New Roman" w:eastAsia="仿宋_GB2312" w:cs="Times New Roman"/>
          <w:b w:val="0"/>
          <w:bCs w:val="0"/>
          <w:color w:val="auto"/>
          <w:spacing w:val="0"/>
          <w:w w:val="100"/>
          <w:sz w:val="32"/>
          <w:szCs w:val="32"/>
          <w:highlight w:val="none"/>
        </w:rPr>
        <w:t>提高创业担保贷款额度上限、利率上限和贴息比例，逐步降低反担保要求，支持创业担保贷款扩面增量。</w:t>
      </w:r>
      <w:r>
        <w:rPr>
          <w:rFonts w:hint="default" w:ascii="Times New Roman" w:hAnsi="Times New Roman" w:eastAsia="仿宋_GB2312" w:cs="Times New Roman"/>
          <w:b w:val="0"/>
          <w:bCs w:val="0"/>
          <w:color w:val="auto"/>
          <w:spacing w:val="0"/>
          <w:w w:val="100"/>
          <w:sz w:val="32"/>
          <w:szCs w:val="32"/>
          <w:highlight w:val="none"/>
          <w:lang w:val="en-US" w:eastAsia="zh-CN"/>
        </w:rPr>
        <w:t>引导金融机构积极创新特色金融产品和服务模式，合理满足不同规模、不同成长阶段的企业融资需求，持续加大金融资源要素投入，引导金融机构逐步提高民营企业贷款占比，加大对科技创新、“专精特新”、绿色低碳等重点领域民营企业的信贷投放，用好科技创新和技术改造再贷款。加大金融对实体经济支持力度，加快一揽子金融政策落地见效，充分发挥结构性货币政策工具“总量+结构”双重作用，引导金融机构建立完善“敢贷、愿贷、能贷、会贷”长效机制。指导银行细化落实普惠信贷尽职免责制度，探索开展民营企业授信尽职免责工作。</w:t>
      </w:r>
      <w:r>
        <w:rPr>
          <w:rFonts w:hint="default" w:ascii="Times New Roman" w:hAnsi="Times New Roman" w:eastAsia="仿宋_GB2312" w:cs="Times New Roman"/>
          <w:b w:val="0"/>
          <w:bCs w:val="0"/>
          <w:color w:val="auto"/>
          <w:spacing w:val="0"/>
          <w:w w:val="100"/>
          <w:sz w:val="32"/>
          <w:szCs w:val="32"/>
          <w:highlight w:val="none"/>
        </w:rPr>
        <w:t>鼓励高校、科研院所科研人员等携成果自主创业。组织参与</w:t>
      </w:r>
      <w:r>
        <w:rPr>
          <w:rFonts w:hint="default" w:ascii="Times New Roman" w:hAnsi="Times New Roman" w:eastAsia="仿宋_GB2312" w:cs="Times New Roman"/>
          <w:b w:val="0"/>
          <w:bCs w:val="0"/>
          <w:color w:val="auto"/>
          <w:spacing w:val="0"/>
          <w:w w:val="100"/>
          <w:sz w:val="32"/>
          <w:szCs w:val="32"/>
          <w:highlight w:val="none"/>
          <w:lang w:eastAsia="zh-CN"/>
        </w:rPr>
        <w:t>“</w:t>
      </w:r>
      <w:r>
        <w:rPr>
          <w:rFonts w:hint="default" w:ascii="Times New Roman" w:hAnsi="Times New Roman" w:eastAsia="仿宋_GB2312" w:cs="Times New Roman"/>
          <w:b w:val="0"/>
          <w:bCs w:val="0"/>
          <w:color w:val="auto"/>
          <w:spacing w:val="0"/>
          <w:w w:val="100"/>
          <w:sz w:val="32"/>
          <w:szCs w:val="32"/>
          <w:highlight w:val="none"/>
        </w:rPr>
        <w:t>中国创新创业大赛</w:t>
      </w:r>
      <w:r>
        <w:rPr>
          <w:rFonts w:hint="default" w:ascii="Times New Roman" w:hAnsi="Times New Roman" w:eastAsia="仿宋_GB2312" w:cs="Times New Roman"/>
          <w:b w:val="0"/>
          <w:bCs w:val="0"/>
          <w:color w:val="auto"/>
          <w:spacing w:val="0"/>
          <w:w w:val="100"/>
          <w:sz w:val="32"/>
          <w:szCs w:val="32"/>
          <w:highlight w:val="none"/>
          <w:lang w:eastAsia="zh-CN"/>
        </w:rPr>
        <w:t>”“</w:t>
      </w:r>
      <w:r>
        <w:rPr>
          <w:rFonts w:hint="default" w:ascii="Times New Roman" w:hAnsi="Times New Roman" w:eastAsia="仿宋_GB2312" w:cs="Times New Roman"/>
          <w:b w:val="0"/>
          <w:bCs w:val="0"/>
          <w:color w:val="auto"/>
          <w:spacing w:val="0"/>
          <w:w w:val="100"/>
          <w:sz w:val="32"/>
          <w:szCs w:val="32"/>
          <w:highlight w:val="none"/>
        </w:rPr>
        <w:t>创客中国</w:t>
      </w:r>
      <w:r>
        <w:rPr>
          <w:rFonts w:hint="default" w:ascii="Times New Roman" w:hAnsi="Times New Roman" w:eastAsia="仿宋_GB2312" w:cs="Times New Roman"/>
          <w:b w:val="0"/>
          <w:bCs w:val="0"/>
          <w:color w:val="auto"/>
          <w:spacing w:val="0"/>
          <w:w w:val="100"/>
          <w:sz w:val="32"/>
          <w:szCs w:val="32"/>
          <w:highlight w:val="none"/>
          <w:lang w:eastAsia="zh-CN"/>
        </w:rPr>
        <w:t>”</w:t>
      </w:r>
      <w:r>
        <w:rPr>
          <w:rFonts w:hint="default" w:ascii="Times New Roman" w:hAnsi="Times New Roman" w:eastAsia="仿宋_GB2312" w:cs="Times New Roman"/>
          <w:b w:val="0"/>
          <w:bCs w:val="0"/>
          <w:color w:val="auto"/>
          <w:spacing w:val="0"/>
          <w:w w:val="100"/>
          <w:sz w:val="32"/>
          <w:szCs w:val="32"/>
          <w:highlight w:val="none"/>
        </w:rPr>
        <w:t>中小企业创新创业大赛等赛事活动，加强参赛项目跟踪扶持，助力参赛项目落地发展。</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财政</w:t>
      </w:r>
      <w:r>
        <w:rPr>
          <w:rFonts w:hint="default" w:ascii="Times New Roman" w:hAnsi="Times New Roman" w:eastAsia="楷体_GB2312" w:cs="Times New Roman"/>
          <w:b w:val="0"/>
          <w:bCs w:val="0"/>
          <w:color w:val="auto"/>
          <w:spacing w:val="0"/>
          <w:w w:val="100"/>
          <w:sz w:val="32"/>
          <w:szCs w:val="32"/>
          <w:highlight w:val="none"/>
          <w:lang w:eastAsia="zh-CN"/>
        </w:rPr>
        <w:t>局</w:t>
      </w:r>
      <w:r>
        <w:rPr>
          <w:rFonts w:hint="default" w:ascii="Times New Roman" w:hAnsi="Times New Roman" w:eastAsia="楷体_GB2312" w:cs="Times New Roman"/>
          <w:b w:val="0"/>
          <w:bCs w:val="0"/>
          <w:color w:val="auto"/>
          <w:spacing w:val="0"/>
          <w:w w:val="100"/>
          <w:sz w:val="32"/>
          <w:szCs w:val="32"/>
          <w:highlight w:val="none"/>
        </w:rPr>
        <w:t>、</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发展改革委、</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工信</w:t>
      </w:r>
      <w:r>
        <w:rPr>
          <w:rFonts w:hint="default" w:ascii="Times New Roman" w:hAnsi="Times New Roman" w:eastAsia="楷体_GB2312" w:cs="Times New Roman"/>
          <w:b w:val="0"/>
          <w:bCs w:val="0"/>
          <w:color w:val="auto"/>
          <w:spacing w:val="0"/>
          <w:w w:val="100"/>
          <w:sz w:val="32"/>
          <w:szCs w:val="32"/>
          <w:highlight w:val="none"/>
          <w:lang w:eastAsia="zh-CN"/>
        </w:rPr>
        <w:t>局</w:t>
      </w:r>
      <w:r>
        <w:rPr>
          <w:rFonts w:hint="default" w:ascii="Times New Roman" w:hAnsi="Times New Roman" w:eastAsia="楷体_GB2312" w:cs="Times New Roman"/>
          <w:b w:val="0"/>
          <w:bCs w:val="0"/>
          <w:color w:val="auto"/>
          <w:spacing w:val="0"/>
          <w:w w:val="100"/>
          <w:sz w:val="32"/>
          <w:szCs w:val="32"/>
          <w:highlight w:val="none"/>
        </w:rPr>
        <w:t>、</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科技</w:t>
      </w:r>
      <w:r>
        <w:rPr>
          <w:rFonts w:hint="default" w:ascii="Times New Roman" w:hAnsi="Times New Roman" w:eastAsia="楷体_GB2312" w:cs="Times New Roman"/>
          <w:b w:val="0"/>
          <w:bCs w:val="0"/>
          <w:color w:val="auto"/>
          <w:spacing w:val="0"/>
          <w:w w:val="100"/>
          <w:sz w:val="32"/>
          <w:szCs w:val="32"/>
          <w:highlight w:val="none"/>
          <w:lang w:eastAsia="zh-CN"/>
        </w:rPr>
        <w:t>局</w:t>
      </w:r>
      <w:r>
        <w:rPr>
          <w:rFonts w:hint="default" w:ascii="Times New Roman" w:hAnsi="Times New Roman" w:eastAsia="楷体_GB2312" w:cs="Times New Roman"/>
          <w:b w:val="0"/>
          <w:bCs w:val="0"/>
          <w:color w:val="auto"/>
          <w:spacing w:val="0"/>
          <w:w w:val="100"/>
          <w:sz w:val="32"/>
          <w:szCs w:val="32"/>
          <w:highlight w:val="none"/>
        </w:rPr>
        <w:t>、</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商务</w:t>
      </w:r>
      <w:r>
        <w:rPr>
          <w:rFonts w:hint="default" w:ascii="Times New Roman" w:hAnsi="Times New Roman" w:eastAsia="楷体_GB2312" w:cs="Times New Roman"/>
          <w:b w:val="0"/>
          <w:bCs w:val="0"/>
          <w:color w:val="auto"/>
          <w:spacing w:val="0"/>
          <w:w w:val="100"/>
          <w:sz w:val="32"/>
          <w:szCs w:val="32"/>
          <w:highlight w:val="none"/>
          <w:lang w:eastAsia="zh-CN"/>
        </w:rPr>
        <w:t>局</w:t>
      </w:r>
      <w:r>
        <w:rPr>
          <w:rFonts w:hint="default" w:ascii="Times New Roman" w:hAnsi="Times New Roman" w:eastAsia="楷体_GB2312" w:cs="Times New Roman"/>
          <w:b w:val="0"/>
          <w:bCs w:val="0"/>
          <w:color w:val="auto"/>
          <w:spacing w:val="0"/>
          <w:w w:val="100"/>
          <w:sz w:val="32"/>
          <w:szCs w:val="32"/>
          <w:highlight w:val="none"/>
        </w:rPr>
        <w:t>、</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教</w:t>
      </w:r>
      <w:r>
        <w:rPr>
          <w:rFonts w:hint="default" w:ascii="Times New Roman" w:hAnsi="Times New Roman" w:eastAsia="楷体_GB2312" w:cs="Times New Roman"/>
          <w:b w:val="0"/>
          <w:bCs w:val="0"/>
          <w:color w:val="auto"/>
          <w:spacing w:val="0"/>
          <w:w w:val="100"/>
          <w:sz w:val="32"/>
          <w:szCs w:val="32"/>
          <w:highlight w:val="none"/>
          <w:lang w:eastAsia="zh-CN"/>
        </w:rPr>
        <w:t>体局</w:t>
      </w:r>
      <w:r>
        <w:rPr>
          <w:rFonts w:hint="default" w:ascii="Times New Roman" w:hAnsi="Times New Roman" w:eastAsia="楷体_GB2312" w:cs="Times New Roman"/>
          <w:b w:val="0"/>
          <w:bCs w:val="0"/>
          <w:color w:val="auto"/>
          <w:spacing w:val="0"/>
          <w:w w:val="100"/>
          <w:sz w:val="32"/>
          <w:szCs w:val="32"/>
          <w:highlight w:val="none"/>
        </w:rPr>
        <w:t>、</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人社</w:t>
      </w:r>
      <w:r>
        <w:rPr>
          <w:rFonts w:hint="default" w:ascii="Times New Roman" w:hAnsi="Times New Roman" w:eastAsia="楷体_GB2312" w:cs="Times New Roman"/>
          <w:b w:val="0"/>
          <w:bCs w:val="0"/>
          <w:color w:val="auto"/>
          <w:spacing w:val="0"/>
          <w:w w:val="100"/>
          <w:sz w:val="32"/>
          <w:szCs w:val="32"/>
          <w:highlight w:val="none"/>
          <w:lang w:eastAsia="zh-CN"/>
        </w:rPr>
        <w:t>局</w:t>
      </w:r>
      <w:r>
        <w:rPr>
          <w:rFonts w:hint="default" w:ascii="Times New Roman" w:hAnsi="Times New Roman" w:eastAsia="楷体_GB2312" w:cs="Times New Roman"/>
          <w:b w:val="0"/>
          <w:bCs w:val="0"/>
          <w:color w:val="auto"/>
          <w:spacing w:val="0"/>
          <w:w w:val="100"/>
          <w:sz w:val="32"/>
          <w:szCs w:val="32"/>
          <w:highlight w:val="none"/>
        </w:rPr>
        <w:t>、</w:t>
      </w:r>
      <w:r>
        <w:rPr>
          <w:rFonts w:hint="default" w:ascii="Times New Roman" w:hAnsi="Times New Roman" w:eastAsia="楷体_GB2312" w:cs="Times New Roman"/>
          <w:b w:val="0"/>
          <w:bCs w:val="0"/>
          <w:color w:val="auto"/>
          <w:spacing w:val="0"/>
          <w:w w:val="100"/>
          <w:sz w:val="32"/>
          <w:szCs w:val="32"/>
          <w:highlight w:val="none"/>
          <w:lang w:eastAsia="zh-CN"/>
        </w:rPr>
        <w:t>市政府办公室〔金融〕）</w:t>
      </w:r>
      <w:r>
        <w:rPr>
          <w:rFonts w:hint="default" w:ascii="Times New Roman" w:hAnsi="Times New Roman" w:eastAsia="楷体_GB2312" w:cs="Times New Roman"/>
          <w:b w:val="0"/>
          <w:bCs w:val="0"/>
          <w:color w:val="auto"/>
          <w:spacing w:val="0"/>
          <w:w w:val="100"/>
          <w:sz w:val="32"/>
          <w:szCs w:val="32"/>
          <w:highlight w:val="none"/>
        </w:rPr>
        <w:t>、</w:t>
      </w:r>
      <w:r>
        <w:rPr>
          <w:rFonts w:hint="default" w:ascii="Times New Roman" w:hAnsi="Times New Roman" w:eastAsia="楷体_GB2312" w:cs="Times New Roman"/>
          <w:b w:val="0"/>
          <w:bCs w:val="0"/>
          <w:color w:val="auto"/>
          <w:sz w:val="32"/>
          <w:szCs w:val="32"/>
          <w:highlight w:val="none"/>
          <w:lang w:eastAsia="zh-CN"/>
        </w:rPr>
        <w:t>人民银行信阳市分行</w:t>
      </w:r>
      <w:r>
        <w:rPr>
          <w:rFonts w:hint="default" w:ascii="Times New Roman" w:hAnsi="Times New Roman" w:eastAsia="楷体_GB2312" w:cs="Times New Roman"/>
          <w:b w:val="0"/>
          <w:bCs w:val="0"/>
          <w:color w:val="auto"/>
          <w:spacing w:val="0"/>
          <w:w w:val="100"/>
          <w:sz w:val="32"/>
          <w:szCs w:val="32"/>
          <w:highlight w:val="none"/>
        </w:rPr>
        <w:t>、</w:t>
      </w:r>
      <w:r>
        <w:rPr>
          <w:rFonts w:hint="default" w:ascii="Times New Roman" w:hAnsi="Times New Roman" w:eastAsia="楷体_GB2312" w:cs="Times New Roman"/>
          <w:b w:val="0"/>
          <w:bCs w:val="0"/>
          <w:color w:val="auto"/>
          <w:sz w:val="32"/>
          <w:szCs w:val="32"/>
          <w:highlight w:val="none"/>
          <w:lang w:val="en-US" w:eastAsia="zh-CN"/>
        </w:rPr>
        <w:t>国家金融监督管理总局信阳监管分局</w:t>
      </w:r>
      <w:r>
        <w:rPr>
          <w:rFonts w:hint="default" w:ascii="Times New Roman" w:hAnsi="Times New Roman" w:eastAsia="楷体_GB2312" w:cs="Times New Roman"/>
          <w:b w:val="0"/>
          <w:bCs w:val="0"/>
          <w:color w:val="auto"/>
          <w:spacing w:val="0"/>
          <w:w w:val="100"/>
          <w:sz w:val="32"/>
          <w:szCs w:val="32"/>
          <w:highlight w:val="none"/>
        </w:rPr>
        <w:t>等按职责分工负责</w:t>
      </w:r>
      <w:r>
        <w:rPr>
          <w:rFonts w:hint="default" w:ascii="Times New Roman" w:hAnsi="Times New Roman" w:eastAsia="楷体_GB2312" w:cs="Times New Roman"/>
          <w:b w:val="0"/>
          <w:bCs w:val="0"/>
          <w:color w:val="auto"/>
          <w:spacing w:val="0"/>
          <w:w w:val="100"/>
          <w:sz w:val="32"/>
          <w:szCs w:val="32"/>
          <w:highlight w:val="none"/>
          <w:lang w:eastAsia="zh-CN"/>
        </w:rPr>
        <w:t>）</w:t>
      </w:r>
    </w:p>
    <w:p w14:paraId="49300D9C">
      <w:pPr>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43" w:firstLineChars="200"/>
        <w:jc w:val="both"/>
        <w:textAlignment w:val="baseline"/>
        <w:rPr>
          <w:rFonts w:hint="default" w:ascii="Times New Roman" w:hAnsi="Times New Roman" w:eastAsia="仿宋_GB2312" w:cs="Times New Roman"/>
          <w:b w:val="0"/>
          <w:bCs w:val="0"/>
          <w:color w:val="auto"/>
          <w:spacing w:val="0"/>
          <w:w w:val="100"/>
          <w:sz w:val="32"/>
          <w:szCs w:val="32"/>
          <w:highlight w:val="none"/>
        </w:rPr>
      </w:pPr>
      <w:r>
        <w:rPr>
          <w:rFonts w:hint="default" w:ascii="Times New Roman" w:hAnsi="Times New Roman" w:eastAsia="仿宋_GB2312" w:cs="Times New Roman"/>
          <w:b/>
          <w:bCs/>
          <w:color w:val="auto"/>
          <w:spacing w:val="0"/>
          <w:w w:val="100"/>
          <w:sz w:val="32"/>
          <w:szCs w:val="32"/>
          <w:highlight w:val="none"/>
          <w:lang w:val="en-US" w:eastAsia="zh-CN"/>
        </w:rPr>
        <w:t>2.强化涉企事项政务服务。</w:t>
      </w:r>
      <w:r>
        <w:rPr>
          <w:rFonts w:hint="default" w:ascii="Times New Roman" w:hAnsi="Times New Roman" w:eastAsia="仿宋_GB2312" w:cs="Times New Roman"/>
          <w:snapToGrid w:val="0"/>
          <w:color w:val="auto"/>
          <w:kern w:val="0"/>
          <w:sz w:val="32"/>
          <w:szCs w:val="32"/>
          <w:highlight w:val="none"/>
          <w:lang w:val="en-US" w:eastAsia="zh-CN" w:bidi="ar-SA"/>
        </w:rPr>
        <w:t>推进“一网通办”，深化政务服务标准化、规范化、便利化改革，健全“高效办成一件事”常态化推进机制，</w:t>
      </w:r>
      <w:r>
        <w:rPr>
          <w:rFonts w:hint="default" w:ascii="Times New Roman" w:hAnsi="Times New Roman" w:eastAsia="仿宋_GB2312" w:cs="Times New Roman"/>
          <w:b w:val="0"/>
          <w:bCs w:val="0"/>
          <w:color w:val="auto"/>
          <w:spacing w:val="0"/>
          <w:w w:val="100"/>
          <w:sz w:val="32"/>
          <w:szCs w:val="32"/>
          <w:highlight w:val="none"/>
          <w:lang w:val="en-US" w:eastAsia="zh-CN"/>
        </w:rPr>
        <w:t>全面推动国家“高效办成一件事”重点事项高质量落地落实，持续推进信阳市首批30个“一件事”优化整合和业务重构进度，实现高频涉企政务服务事项“一件事一次办”全覆盖。持续推行证明事项告知承诺制，规范告知承诺制工作流程。实行全程网办，推行经营主体注册、变更、退出“网上办、掌上办、一次办”，</w:t>
      </w:r>
      <w:r>
        <w:rPr>
          <w:rFonts w:hint="default" w:ascii="Times New Roman" w:hAnsi="Times New Roman" w:eastAsia="仿宋_GB2312" w:cs="Times New Roman"/>
          <w:b w:val="0"/>
          <w:bCs w:val="0"/>
          <w:color w:val="auto"/>
          <w:spacing w:val="0"/>
          <w:w w:val="100"/>
          <w:sz w:val="32"/>
          <w:szCs w:val="32"/>
          <w:highlight w:val="none"/>
        </w:rPr>
        <w:t>打造全天候、无障碍智能准入登记模式。</w:t>
      </w:r>
      <w:r>
        <w:rPr>
          <w:rFonts w:hint="default" w:ascii="Times New Roman" w:hAnsi="Times New Roman" w:eastAsia="仿宋_GB2312" w:cs="Times New Roman"/>
          <w:b w:val="0"/>
          <w:bCs w:val="0"/>
          <w:color w:val="auto"/>
          <w:spacing w:val="0"/>
          <w:w w:val="100"/>
          <w:sz w:val="32"/>
          <w:szCs w:val="32"/>
          <w:highlight w:val="none"/>
          <w:lang w:val="en-US" w:eastAsia="zh-CN"/>
        </w:rPr>
        <w:t>到2027年底，实现95%以上涉企事项全程网办。</w:t>
      </w:r>
      <w:r>
        <w:rPr>
          <w:rFonts w:hint="default" w:ascii="Times New Roman" w:hAnsi="Times New Roman" w:eastAsia="仿宋_GB2312" w:cs="Times New Roman"/>
          <w:b w:val="0"/>
          <w:bCs w:val="0"/>
          <w:color w:val="auto"/>
          <w:spacing w:val="0"/>
          <w:w w:val="100"/>
          <w:sz w:val="32"/>
          <w:szCs w:val="32"/>
          <w:highlight w:val="none"/>
        </w:rPr>
        <w:t>加快“四电”扩大应用和互通互认，深化“一业一证”“一枚印章管审批”改革</w:t>
      </w:r>
      <w:r>
        <w:rPr>
          <w:rFonts w:hint="default" w:ascii="Times New Roman" w:hAnsi="Times New Roman" w:eastAsia="仿宋_GB2312" w:cs="Times New Roman"/>
          <w:b w:val="0"/>
          <w:bCs w:val="0"/>
          <w:color w:val="auto"/>
          <w:spacing w:val="0"/>
          <w:w w:val="100"/>
          <w:sz w:val="32"/>
          <w:szCs w:val="32"/>
          <w:highlight w:val="none"/>
          <w:lang w:eastAsia="zh-CN"/>
        </w:rPr>
        <w:t>。</w:t>
      </w:r>
      <w:r>
        <w:rPr>
          <w:rFonts w:hint="default" w:ascii="Times New Roman" w:hAnsi="Times New Roman" w:eastAsia="仿宋_GB2312" w:cs="Times New Roman"/>
          <w:b w:val="0"/>
          <w:bCs w:val="0"/>
          <w:color w:val="auto"/>
          <w:spacing w:val="0"/>
          <w:w w:val="100"/>
          <w:sz w:val="32"/>
          <w:szCs w:val="32"/>
          <w:highlight w:val="none"/>
        </w:rPr>
        <w:t>全面清理</w:t>
      </w:r>
      <w:r>
        <w:rPr>
          <w:rFonts w:hint="default" w:ascii="Times New Roman" w:hAnsi="Times New Roman" w:eastAsia="仿宋_GB2312" w:cs="Times New Roman"/>
          <w:b w:val="0"/>
          <w:bCs w:val="0"/>
          <w:color w:val="auto"/>
          <w:spacing w:val="0"/>
          <w:w w:val="100"/>
          <w:sz w:val="32"/>
          <w:szCs w:val="32"/>
          <w:highlight w:val="none"/>
          <w:lang w:eastAsia="zh-CN"/>
        </w:rPr>
        <w:t>对</w:t>
      </w:r>
      <w:r>
        <w:rPr>
          <w:rFonts w:hint="default" w:ascii="Times New Roman" w:hAnsi="Times New Roman" w:eastAsia="仿宋_GB2312" w:cs="Times New Roman"/>
          <w:b w:val="0"/>
          <w:bCs w:val="0"/>
          <w:color w:val="auto"/>
          <w:spacing w:val="0"/>
          <w:w w:val="100"/>
          <w:sz w:val="32"/>
          <w:szCs w:val="32"/>
          <w:highlight w:val="none"/>
          <w:lang w:val="en-US" w:eastAsia="zh-CN"/>
        </w:rPr>
        <w:t>企业生产经营自主权的干预及</w:t>
      </w:r>
      <w:r>
        <w:rPr>
          <w:rFonts w:hint="default" w:ascii="Times New Roman" w:hAnsi="Times New Roman" w:eastAsia="仿宋_GB2312" w:cs="Times New Roman"/>
          <w:b w:val="0"/>
          <w:bCs w:val="0"/>
          <w:color w:val="auto"/>
          <w:spacing w:val="0"/>
          <w:w w:val="100"/>
          <w:sz w:val="32"/>
          <w:szCs w:val="32"/>
          <w:highlight w:val="none"/>
        </w:rPr>
        <w:t>非法</w:t>
      </w:r>
      <w:r>
        <w:rPr>
          <w:rFonts w:hint="default" w:ascii="Times New Roman" w:hAnsi="Times New Roman" w:eastAsia="仿宋_GB2312" w:cs="Times New Roman"/>
          <w:b w:val="0"/>
          <w:bCs w:val="0"/>
          <w:color w:val="auto"/>
          <w:spacing w:val="0"/>
          <w:w w:val="100"/>
          <w:sz w:val="32"/>
          <w:szCs w:val="32"/>
          <w:highlight w:val="none"/>
          <w:lang w:eastAsia="zh-CN"/>
        </w:rPr>
        <w:t>设置的</w:t>
      </w:r>
      <w:r>
        <w:rPr>
          <w:rFonts w:hint="default" w:ascii="Times New Roman" w:hAnsi="Times New Roman" w:eastAsia="仿宋_GB2312" w:cs="Times New Roman"/>
          <w:b w:val="0"/>
          <w:bCs w:val="0"/>
          <w:color w:val="auto"/>
          <w:spacing w:val="0"/>
          <w:w w:val="100"/>
          <w:sz w:val="32"/>
          <w:szCs w:val="32"/>
          <w:highlight w:val="none"/>
        </w:rPr>
        <w:t>企业跨区域经营和迁移</w:t>
      </w:r>
      <w:r>
        <w:rPr>
          <w:rFonts w:hint="default" w:ascii="Times New Roman" w:hAnsi="Times New Roman" w:eastAsia="仿宋_GB2312" w:cs="Times New Roman"/>
          <w:b w:val="0"/>
          <w:bCs w:val="0"/>
          <w:color w:val="auto"/>
          <w:spacing w:val="0"/>
          <w:w w:val="100"/>
          <w:sz w:val="32"/>
          <w:szCs w:val="32"/>
          <w:highlight w:val="none"/>
          <w:lang w:val="en-US" w:eastAsia="zh-CN"/>
        </w:rPr>
        <w:t>限制</w:t>
      </w:r>
      <w:r>
        <w:rPr>
          <w:rFonts w:hint="default" w:ascii="Times New Roman" w:hAnsi="Times New Roman" w:eastAsia="仿宋_GB2312" w:cs="Times New Roman"/>
          <w:b w:val="0"/>
          <w:bCs w:val="0"/>
          <w:color w:val="auto"/>
          <w:spacing w:val="0"/>
          <w:w w:val="100"/>
          <w:sz w:val="32"/>
          <w:szCs w:val="32"/>
          <w:highlight w:val="none"/>
        </w:rPr>
        <w:t>。</w:t>
      </w:r>
      <w:r>
        <w:rPr>
          <w:rFonts w:hint="default" w:ascii="Times New Roman" w:hAnsi="Times New Roman" w:eastAsia="仿宋_GB2312" w:cs="Times New Roman"/>
          <w:b w:val="0"/>
          <w:bCs w:val="0"/>
          <w:color w:val="auto"/>
          <w:spacing w:val="0"/>
          <w:w w:val="100"/>
          <w:sz w:val="32"/>
          <w:szCs w:val="32"/>
          <w:highlight w:val="none"/>
          <w:lang w:val="en-US" w:eastAsia="zh-CN"/>
        </w:rPr>
        <w:t>优化</w:t>
      </w:r>
      <w:r>
        <w:rPr>
          <w:rFonts w:hint="default" w:ascii="Times New Roman" w:hAnsi="Times New Roman" w:eastAsia="仿宋_GB2312" w:cs="Times New Roman"/>
          <w:b w:val="0"/>
          <w:bCs w:val="0"/>
          <w:color w:val="auto"/>
          <w:spacing w:val="0"/>
          <w:w w:val="100"/>
          <w:sz w:val="32"/>
          <w:szCs w:val="32"/>
          <w:highlight w:val="none"/>
        </w:rPr>
        <w:t>普通注销</w:t>
      </w:r>
      <w:r>
        <w:rPr>
          <w:rFonts w:hint="default" w:ascii="Times New Roman" w:hAnsi="Times New Roman" w:eastAsia="仿宋_GB2312" w:cs="Times New Roman"/>
          <w:b w:val="0"/>
          <w:bCs w:val="0"/>
          <w:color w:val="auto"/>
          <w:spacing w:val="0"/>
          <w:w w:val="100"/>
          <w:sz w:val="32"/>
          <w:szCs w:val="32"/>
          <w:highlight w:val="none"/>
          <w:lang w:val="en-US" w:eastAsia="zh-CN"/>
        </w:rPr>
        <w:t>登记</w:t>
      </w:r>
      <w:r>
        <w:rPr>
          <w:rFonts w:hint="default" w:ascii="Times New Roman" w:hAnsi="Times New Roman" w:eastAsia="仿宋_GB2312" w:cs="Times New Roman"/>
          <w:b w:val="0"/>
          <w:bCs w:val="0"/>
          <w:color w:val="auto"/>
          <w:spacing w:val="0"/>
          <w:w w:val="100"/>
          <w:sz w:val="32"/>
          <w:szCs w:val="32"/>
          <w:highlight w:val="none"/>
        </w:rPr>
        <w:t>制度</w:t>
      </w:r>
      <w:r>
        <w:rPr>
          <w:rFonts w:hint="default" w:ascii="Times New Roman" w:hAnsi="Times New Roman" w:eastAsia="仿宋_GB2312" w:cs="Times New Roman"/>
          <w:b w:val="0"/>
          <w:bCs w:val="0"/>
          <w:color w:val="auto"/>
          <w:spacing w:val="0"/>
          <w:w w:val="100"/>
          <w:sz w:val="32"/>
          <w:szCs w:val="32"/>
          <w:highlight w:val="none"/>
          <w:lang w:eastAsia="zh-CN"/>
        </w:rPr>
        <w:t>，</w:t>
      </w:r>
      <w:r>
        <w:rPr>
          <w:rFonts w:hint="default" w:ascii="Times New Roman" w:hAnsi="Times New Roman" w:eastAsia="仿宋_GB2312" w:cs="Times New Roman"/>
          <w:b w:val="0"/>
          <w:bCs w:val="0"/>
          <w:color w:val="auto"/>
          <w:spacing w:val="0"/>
          <w:w w:val="100"/>
          <w:sz w:val="32"/>
          <w:szCs w:val="32"/>
          <w:highlight w:val="none"/>
        </w:rPr>
        <w:t>全面</w:t>
      </w:r>
      <w:r>
        <w:rPr>
          <w:rFonts w:hint="default" w:ascii="Times New Roman" w:hAnsi="Times New Roman" w:eastAsia="仿宋_GB2312" w:cs="Times New Roman"/>
          <w:b w:val="0"/>
          <w:bCs w:val="0"/>
          <w:color w:val="auto"/>
          <w:spacing w:val="0"/>
          <w:w w:val="100"/>
          <w:sz w:val="32"/>
          <w:szCs w:val="32"/>
          <w:highlight w:val="none"/>
          <w:lang w:val="en-US" w:eastAsia="zh-CN"/>
        </w:rPr>
        <w:t>实施简易注销制度，简化个体工商户注销程序</w:t>
      </w:r>
      <w:r>
        <w:rPr>
          <w:rFonts w:hint="default" w:ascii="Times New Roman" w:hAnsi="Times New Roman" w:eastAsia="仿宋_GB2312" w:cs="Times New Roman"/>
          <w:b w:val="0"/>
          <w:bCs w:val="0"/>
          <w:color w:val="auto"/>
          <w:spacing w:val="0"/>
          <w:w w:val="100"/>
          <w:sz w:val="32"/>
          <w:szCs w:val="32"/>
          <w:highlight w:val="none"/>
        </w:rPr>
        <w:t>。完善歇业制度配套政策。</w:t>
      </w:r>
      <w:r>
        <w:rPr>
          <w:rFonts w:hint="default" w:ascii="Times New Roman" w:hAnsi="Times New Roman" w:eastAsia="仿宋_GB2312" w:cs="Times New Roman"/>
          <w:b w:val="0"/>
          <w:bCs w:val="0"/>
          <w:color w:val="auto"/>
          <w:spacing w:val="0"/>
          <w:w w:val="100"/>
          <w:sz w:val="32"/>
          <w:szCs w:val="32"/>
          <w:highlight w:val="none"/>
          <w:lang w:val="en-US" w:eastAsia="zh-CN"/>
        </w:rPr>
        <w:t>健全市场主体强制退出机制，</w:t>
      </w:r>
      <w:r>
        <w:rPr>
          <w:rFonts w:hint="default" w:ascii="Times New Roman" w:hAnsi="Times New Roman" w:eastAsia="仿宋_GB2312" w:cs="Times New Roman"/>
          <w:b w:val="0"/>
          <w:bCs w:val="0"/>
          <w:color w:val="auto"/>
          <w:spacing w:val="0"/>
          <w:w w:val="100"/>
          <w:sz w:val="32"/>
          <w:szCs w:val="32"/>
          <w:highlight w:val="none"/>
        </w:rPr>
        <w:t>促进落后和过剩产能有序退出</w:t>
      </w:r>
      <w:r>
        <w:rPr>
          <w:rFonts w:hint="default" w:ascii="Times New Roman" w:hAnsi="Times New Roman" w:eastAsia="仿宋_GB2312" w:cs="Times New Roman"/>
          <w:b w:val="0"/>
          <w:bCs w:val="0"/>
          <w:color w:val="auto"/>
          <w:spacing w:val="0"/>
          <w:w w:val="100"/>
          <w:sz w:val="32"/>
          <w:szCs w:val="32"/>
          <w:highlight w:val="none"/>
          <w:lang w:eastAsia="zh-CN"/>
        </w:rPr>
        <w:t>。</w:t>
      </w:r>
      <w:r>
        <w:rPr>
          <w:rFonts w:hint="default" w:ascii="Times New Roman" w:hAnsi="Times New Roman" w:eastAsia="仿宋_GB2312" w:cs="Times New Roman"/>
          <w:b w:val="0"/>
          <w:bCs w:val="0"/>
          <w:color w:val="auto"/>
          <w:spacing w:val="0"/>
          <w:w w:val="100"/>
          <w:sz w:val="32"/>
          <w:szCs w:val="32"/>
          <w:highlight w:val="none"/>
          <w:lang w:val="en-US" w:eastAsia="zh-CN"/>
        </w:rPr>
        <w:t>集中发布助企惠企政策包，实现政策“精准直达”“免申即享”。</w:t>
      </w:r>
      <w:r>
        <w:rPr>
          <w:rFonts w:hint="default" w:ascii="Times New Roman" w:hAnsi="Times New Roman" w:eastAsia="仿宋_GB2312" w:cs="Times New Roman"/>
          <w:snapToGrid w:val="0"/>
          <w:color w:val="auto"/>
          <w:kern w:val="0"/>
          <w:sz w:val="32"/>
          <w:szCs w:val="32"/>
          <w:highlight w:val="none"/>
          <w:lang w:val="en-US" w:eastAsia="zh-CN" w:bidi="ar-SA"/>
        </w:rPr>
        <w:t>提升12345政务服务热线“一线应答”服务能级，开展风险预警、趋势研判和共性问题梳理，推动更多问题“未诉先办”，</w:t>
      </w:r>
      <w:r>
        <w:rPr>
          <w:rFonts w:hint="default" w:ascii="Times New Roman" w:hAnsi="Times New Roman" w:eastAsia="仿宋_GB2312" w:cs="Times New Roman"/>
          <w:b w:val="0"/>
          <w:bCs w:val="0"/>
          <w:color w:val="auto"/>
          <w:spacing w:val="0"/>
          <w:w w:val="100"/>
          <w:sz w:val="32"/>
          <w:szCs w:val="32"/>
          <w:highlight w:val="none"/>
          <w:lang w:val="en-US" w:eastAsia="zh-CN"/>
        </w:rPr>
        <w:t>开设优化营商环境专席，提升企业诉求应答效率。</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行政审批</w:t>
      </w:r>
      <w:r>
        <w:rPr>
          <w:rFonts w:hint="default" w:ascii="Times New Roman" w:hAnsi="Times New Roman" w:eastAsia="楷体_GB2312" w:cs="Times New Roman"/>
          <w:b w:val="0"/>
          <w:bCs w:val="0"/>
          <w:color w:val="auto"/>
          <w:spacing w:val="0"/>
          <w:w w:val="100"/>
          <w:sz w:val="32"/>
          <w:szCs w:val="32"/>
          <w:highlight w:val="none"/>
          <w:lang w:eastAsia="zh-CN"/>
        </w:rPr>
        <w:t>和</w:t>
      </w:r>
      <w:r>
        <w:rPr>
          <w:rFonts w:hint="default" w:ascii="Times New Roman" w:hAnsi="Times New Roman" w:eastAsia="楷体_GB2312" w:cs="Times New Roman"/>
          <w:b w:val="0"/>
          <w:bCs w:val="0"/>
          <w:color w:val="auto"/>
          <w:spacing w:val="0"/>
          <w:w w:val="100"/>
          <w:sz w:val="32"/>
          <w:szCs w:val="32"/>
          <w:highlight w:val="none"/>
        </w:rPr>
        <w:t>政务信息管理局、</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市场监管局、</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自然资源</w:t>
      </w:r>
      <w:r>
        <w:rPr>
          <w:rFonts w:hint="default" w:ascii="Times New Roman" w:hAnsi="Times New Roman" w:eastAsia="楷体_GB2312" w:cs="Times New Roman"/>
          <w:b w:val="0"/>
          <w:bCs w:val="0"/>
          <w:color w:val="auto"/>
          <w:spacing w:val="0"/>
          <w:w w:val="100"/>
          <w:sz w:val="32"/>
          <w:szCs w:val="32"/>
          <w:highlight w:val="none"/>
          <w:lang w:eastAsia="zh-CN"/>
        </w:rPr>
        <w:t>规划局</w:t>
      </w:r>
      <w:r>
        <w:rPr>
          <w:rFonts w:hint="default" w:ascii="Times New Roman" w:hAnsi="Times New Roman" w:eastAsia="楷体_GB2312" w:cs="Times New Roman"/>
          <w:b w:val="0"/>
          <w:bCs w:val="0"/>
          <w:color w:val="auto"/>
          <w:spacing w:val="0"/>
          <w:w w:val="100"/>
          <w:sz w:val="32"/>
          <w:szCs w:val="32"/>
          <w:highlight w:val="none"/>
        </w:rPr>
        <w:t>、</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科技</w:t>
      </w:r>
      <w:r>
        <w:rPr>
          <w:rFonts w:hint="default" w:ascii="Times New Roman" w:hAnsi="Times New Roman" w:eastAsia="楷体_GB2312" w:cs="Times New Roman"/>
          <w:b w:val="0"/>
          <w:bCs w:val="0"/>
          <w:color w:val="auto"/>
          <w:spacing w:val="0"/>
          <w:w w:val="100"/>
          <w:sz w:val="32"/>
          <w:szCs w:val="32"/>
          <w:highlight w:val="none"/>
          <w:lang w:eastAsia="zh-CN"/>
        </w:rPr>
        <w:t>局</w:t>
      </w:r>
      <w:r>
        <w:rPr>
          <w:rFonts w:hint="default" w:ascii="Times New Roman" w:hAnsi="Times New Roman" w:eastAsia="楷体_GB2312" w:cs="Times New Roman"/>
          <w:b w:val="0"/>
          <w:bCs w:val="0"/>
          <w:color w:val="auto"/>
          <w:spacing w:val="0"/>
          <w:w w:val="100"/>
          <w:sz w:val="32"/>
          <w:szCs w:val="32"/>
          <w:highlight w:val="none"/>
        </w:rPr>
        <w:t>、</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人社</w:t>
      </w:r>
      <w:r>
        <w:rPr>
          <w:rFonts w:hint="default" w:ascii="Times New Roman" w:hAnsi="Times New Roman" w:eastAsia="楷体_GB2312" w:cs="Times New Roman"/>
          <w:b w:val="0"/>
          <w:bCs w:val="0"/>
          <w:color w:val="auto"/>
          <w:spacing w:val="0"/>
          <w:w w:val="100"/>
          <w:sz w:val="32"/>
          <w:szCs w:val="32"/>
          <w:highlight w:val="none"/>
          <w:lang w:eastAsia="zh-CN"/>
        </w:rPr>
        <w:t>局、</w:t>
      </w:r>
      <w:r>
        <w:rPr>
          <w:rFonts w:hint="default" w:ascii="Times New Roman" w:hAnsi="Times New Roman" w:eastAsia="CESI楷体-GB2312" w:cs="Times New Roman"/>
          <w:b w:val="0"/>
          <w:bCs w:val="0"/>
          <w:color w:val="auto"/>
          <w:spacing w:val="0"/>
          <w:w w:val="100"/>
          <w:sz w:val="32"/>
          <w:szCs w:val="32"/>
          <w:highlight w:val="none"/>
          <w:lang w:val="en-US" w:eastAsia="zh-CN"/>
        </w:rPr>
        <w:t>市12345政务服务便民热线中心</w:t>
      </w:r>
      <w:r>
        <w:rPr>
          <w:rFonts w:hint="default" w:ascii="Times New Roman" w:hAnsi="Times New Roman" w:eastAsia="楷体_GB2312" w:cs="Times New Roman"/>
          <w:b w:val="0"/>
          <w:bCs w:val="0"/>
          <w:color w:val="auto"/>
          <w:spacing w:val="0"/>
          <w:w w:val="100"/>
          <w:sz w:val="32"/>
          <w:szCs w:val="32"/>
          <w:highlight w:val="none"/>
        </w:rPr>
        <w:t>等按职责分工负责</w:t>
      </w:r>
      <w:r>
        <w:rPr>
          <w:rFonts w:hint="default" w:ascii="Times New Roman" w:hAnsi="Times New Roman" w:eastAsia="楷体_GB2312" w:cs="Times New Roman"/>
          <w:b w:val="0"/>
          <w:bCs w:val="0"/>
          <w:color w:val="auto"/>
          <w:spacing w:val="0"/>
          <w:w w:val="100"/>
          <w:sz w:val="32"/>
          <w:szCs w:val="32"/>
          <w:highlight w:val="none"/>
          <w:lang w:eastAsia="zh-CN"/>
        </w:rPr>
        <w:t>）</w:t>
      </w:r>
    </w:p>
    <w:p w14:paraId="64EE1A33">
      <w:pPr>
        <w:pStyle w:val="2"/>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43" w:firstLineChars="200"/>
        <w:jc w:val="both"/>
        <w:textAlignment w:val="baseline"/>
        <w:rPr>
          <w:rFonts w:hint="default" w:ascii="Times New Roman" w:hAnsi="Times New Roman" w:eastAsia="楷体_GB2312" w:cs="Times New Roman"/>
          <w:b w:val="0"/>
          <w:bCs w:val="0"/>
          <w:color w:val="auto"/>
          <w:sz w:val="32"/>
          <w:szCs w:val="32"/>
          <w:highlight w:val="none"/>
          <w:lang w:eastAsia="zh-CN"/>
        </w:rPr>
      </w:pPr>
      <w:r>
        <w:rPr>
          <w:rFonts w:hint="default" w:ascii="Times New Roman" w:hAnsi="Times New Roman" w:eastAsia="仿宋_GB2312" w:cs="Times New Roman"/>
          <w:b/>
          <w:bCs/>
          <w:color w:val="auto"/>
          <w:spacing w:val="0"/>
          <w:w w:val="100"/>
          <w:sz w:val="32"/>
          <w:szCs w:val="32"/>
          <w:highlight w:val="none"/>
        </w:rPr>
        <w:t>3.</w:t>
      </w:r>
      <w:r>
        <w:rPr>
          <w:rFonts w:hint="default" w:ascii="Times New Roman" w:hAnsi="Times New Roman" w:eastAsia="仿宋_GB2312" w:cs="Times New Roman"/>
          <w:b/>
          <w:bCs/>
          <w:color w:val="auto"/>
          <w:spacing w:val="0"/>
          <w:w w:val="100"/>
          <w:sz w:val="32"/>
          <w:szCs w:val="32"/>
          <w:highlight w:val="none"/>
          <w:lang w:eastAsia="zh-CN"/>
        </w:rPr>
        <w:t>推动</w:t>
      </w:r>
      <w:r>
        <w:rPr>
          <w:rFonts w:hint="default" w:ascii="Times New Roman" w:hAnsi="Times New Roman" w:eastAsia="仿宋_GB2312" w:cs="Times New Roman"/>
          <w:b/>
          <w:bCs/>
          <w:color w:val="auto"/>
          <w:spacing w:val="0"/>
          <w:w w:val="100"/>
          <w:sz w:val="32"/>
          <w:szCs w:val="32"/>
          <w:highlight w:val="none"/>
        </w:rPr>
        <w:t>支持</w:t>
      </w:r>
      <w:r>
        <w:rPr>
          <w:rFonts w:hint="default" w:ascii="Times New Roman" w:hAnsi="Times New Roman" w:eastAsia="仿宋_GB2312" w:cs="Times New Roman"/>
          <w:b/>
          <w:bCs/>
          <w:color w:val="auto"/>
          <w:spacing w:val="0"/>
          <w:w w:val="100"/>
          <w:sz w:val="32"/>
          <w:szCs w:val="32"/>
          <w:highlight w:val="none"/>
          <w:lang w:eastAsia="zh-CN"/>
        </w:rPr>
        <w:t>“</w:t>
      </w:r>
      <w:r>
        <w:rPr>
          <w:rFonts w:hint="default" w:ascii="Times New Roman" w:hAnsi="Times New Roman" w:eastAsia="仿宋_GB2312" w:cs="Times New Roman"/>
          <w:b/>
          <w:bCs/>
          <w:color w:val="auto"/>
          <w:spacing w:val="0"/>
          <w:w w:val="100"/>
          <w:sz w:val="32"/>
          <w:szCs w:val="32"/>
          <w:highlight w:val="none"/>
        </w:rPr>
        <w:t>个转企</w:t>
      </w:r>
      <w:r>
        <w:rPr>
          <w:rFonts w:hint="default" w:ascii="Times New Roman" w:hAnsi="Times New Roman" w:eastAsia="仿宋_GB2312" w:cs="Times New Roman"/>
          <w:b/>
          <w:bCs/>
          <w:color w:val="auto"/>
          <w:spacing w:val="0"/>
          <w:w w:val="100"/>
          <w:sz w:val="32"/>
          <w:szCs w:val="32"/>
          <w:highlight w:val="none"/>
          <w:lang w:eastAsia="zh-CN"/>
        </w:rPr>
        <w:t>”</w:t>
      </w:r>
      <w:r>
        <w:rPr>
          <w:rFonts w:hint="default" w:ascii="Times New Roman" w:hAnsi="Times New Roman" w:eastAsia="仿宋_GB2312" w:cs="Times New Roman"/>
          <w:b/>
          <w:bCs/>
          <w:color w:val="auto"/>
          <w:spacing w:val="0"/>
          <w:w w:val="100"/>
          <w:sz w:val="32"/>
          <w:szCs w:val="32"/>
          <w:highlight w:val="none"/>
        </w:rPr>
        <w:t>。</w:t>
      </w:r>
      <w:r>
        <w:rPr>
          <w:rFonts w:hint="default" w:ascii="Times New Roman" w:hAnsi="Times New Roman" w:eastAsia="仿宋_GB2312" w:cs="Times New Roman"/>
          <w:b w:val="0"/>
          <w:bCs w:val="0"/>
          <w:color w:val="auto"/>
          <w:spacing w:val="0"/>
          <w:w w:val="100"/>
          <w:sz w:val="32"/>
          <w:szCs w:val="32"/>
          <w:highlight w:val="none"/>
        </w:rPr>
        <w:t>加强</w:t>
      </w:r>
      <w:r>
        <w:rPr>
          <w:rFonts w:hint="default" w:ascii="Times New Roman" w:hAnsi="Times New Roman" w:eastAsia="仿宋_GB2312" w:cs="Times New Roman"/>
          <w:b w:val="0"/>
          <w:bCs w:val="0"/>
          <w:color w:val="auto"/>
          <w:spacing w:val="0"/>
          <w:w w:val="100"/>
          <w:sz w:val="32"/>
          <w:szCs w:val="32"/>
          <w:highlight w:val="none"/>
          <w:lang w:eastAsia="zh-CN"/>
        </w:rPr>
        <w:t>“</w:t>
      </w:r>
      <w:r>
        <w:rPr>
          <w:rFonts w:hint="default" w:ascii="Times New Roman" w:hAnsi="Times New Roman" w:eastAsia="仿宋_GB2312" w:cs="Times New Roman"/>
          <w:b w:val="0"/>
          <w:bCs w:val="0"/>
          <w:color w:val="auto"/>
          <w:spacing w:val="0"/>
          <w:w w:val="100"/>
          <w:sz w:val="32"/>
          <w:szCs w:val="32"/>
          <w:highlight w:val="none"/>
        </w:rPr>
        <w:t>个转企</w:t>
      </w:r>
      <w:r>
        <w:rPr>
          <w:rFonts w:hint="default" w:ascii="Times New Roman" w:hAnsi="Times New Roman" w:eastAsia="仿宋_GB2312" w:cs="Times New Roman"/>
          <w:b w:val="0"/>
          <w:bCs w:val="0"/>
          <w:color w:val="auto"/>
          <w:spacing w:val="0"/>
          <w:w w:val="100"/>
          <w:sz w:val="32"/>
          <w:szCs w:val="32"/>
          <w:highlight w:val="none"/>
          <w:lang w:eastAsia="zh-CN"/>
        </w:rPr>
        <w:t>”</w:t>
      </w:r>
      <w:r>
        <w:rPr>
          <w:rFonts w:hint="default" w:ascii="Times New Roman" w:hAnsi="Times New Roman" w:eastAsia="仿宋_GB2312" w:cs="Times New Roman"/>
          <w:b w:val="0"/>
          <w:bCs w:val="0"/>
          <w:color w:val="auto"/>
          <w:spacing w:val="0"/>
          <w:w w:val="100"/>
          <w:sz w:val="32"/>
          <w:szCs w:val="32"/>
          <w:highlight w:val="none"/>
        </w:rPr>
        <w:t>信息平台建设，</w:t>
      </w:r>
      <w:r>
        <w:rPr>
          <w:rFonts w:hint="default" w:ascii="Times New Roman" w:hAnsi="Times New Roman" w:eastAsia="仿宋_GB2312" w:cs="Times New Roman"/>
          <w:b w:val="0"/>
          <w:bCs w:val="0"/>
          <w:color w:val="auto"/>
          <w:spacing w:val="0"/>
          <w:w w:val="100"/>
          <w:sz w:val="32"/>
          <w:szCs w:val="32"/>
          <w:highlight w:val="none"/>
          <w:lang w:val="en-US" w:eastAsia="zh-CN"/>
        </w:rPr>
        <w:t>通过跨部门、跨层级、跨地区流程再造和数据共享，将“个转企”变更登记与公安、人力资源社会保障、住房城乡建设、交通运输、医保、税务、烟草专卖、人民银行等部门事项进行整合，进一步便利转企流程、简化许可程序。</w:t>
      </w:r>
      <w:r>
        <w:rPr>
          <w:rFonts w:hint="default" w:ascii="Times New Roman" w:hAnsi="Times New Roman" w:eastAsia="仿宋_GB2312" w:cs="Times New Roman"/>
          <w:b w:val="0"/>
          <w:bCs w:val="0"/>
          <w:color w:val="auto"/>
          <w:spacing w:val="0"/>
          <w:w w:val="100"/>
          <w:sz w:val="32"/>
          <w:szCs w:val="32"/>
          <w:highlight w:val="none"/>
        </w:rPr>
        <w:t>允许</w:t>
      </w:r>
      <w:r>
        <w:rPr>
          <w:rFonts w:hint="default" w:ascii="Times New Roman" w:hAnsi="Times New Roman" w:eastAsia="仿宋_GB2312" w:cs="Times New Roman"/>
          <w:b w:val="0"/>
          <w:bCs w:val="0"/>
          <w:color w:val="auto"/>
          <w:spacing w:val="0"/>
          <w:w w:val="100"/>
          <w:sz w:val="32"/>
          <w:szCs w:val="32"/>
          <w:highlight w:val="none"/>
          <w:lang w:eastAsia="zh-CN"/>
        </w:rPr>
        <w:t>“</w:t>
      </w:r>
      <w:r>
        <w:rPr>
          <w:rFonts w:hint="default" w:ascii="Times New Roman" w:hAnsi="Times New Roman" w:eastAsia="仿宋_GB2312" w:cs="Times New Roman"/>
          <w:b w:val="0"/>
          <w:bCs w:val="0"/>
          <w:color w:val="auto"/>
          <w:spacing w:val="0"/>
          <w:w w:val="100"/>
          <w:sz w:val="32"/>
          <w:szCs w:val="32"/>
          <w:highlight w:val="none"/>
        </w:rPr>
        <w:t>个转企</w:t>
      </w:r>
      <w:r>
        <w:rPr>
          <w:rFonts w:hint="default" w:ascii="Times New Roman" w:hAnsi="Times New Roman" w:eastAsia="仿宋_GB2312" w:cs="Times New Roman"/>
          <w:b w:val="0"/>
          <w:bCs w:val="0"/>
          <w:color w:val="auto"/>
          <w:spacing w:val="0"/>
          <w:w w:val="100"/>
          <w:sz w:val="32"/>
          <w:szCs w:val="32"/>
          <w:highlight w:val="none"/>
          <w:lang w:eastAsia="zh-CN"/>
        </w:rPr>
        <w:t>”</w:t>
      </w:r>
      <w:r>
        <w:rPr>
          <w:rFonts w:hint="default" w:ascii="Times New Roman" w:hAnsi="Times New Roman" w:eastAsia="仿宋_GB2312" w:cs="Times New Roman"/>
          <w:b w:val="0"/>
          <w:bCs w:val="0"/>
          <w:color w:val="auto"/>
          <w:spacing w:val="0"/>
          <w:w w:val="100"/>
          <w:sz w:val="32"/>
          <w:szCs w:val="32"/>
          <w:highlight w:val="none"/>
        </w:rPr>
        <w:t>经营主体继续使用原字号、成立日期和保留行业特点，并按规定享受小微企业税收减免政策。</w:t>
      </w:r>
      <w:r>
        <w:rPr>
          <w:rFonts w:hint="default" w:ascii="Times New Roman" w:hAnsi="Times New Roman" w:eastAsia="仿宋_GB2312" w:cs="Times New Roman"/>
          <w:b w:val="0"/>
          <w:bCs w:val="0"/>
          <w:color w:val="auto"/>
          <w:spacing w:val="0"/>
          <w:w w:val="100"/>
          <w:sz w:val="32"/>
          <w:szCs w:val="32"/>
          <w:highlight w:val="none"/>
          <w:lang w:val="en-US" w:eastAsia="zh-CN"/>
        </w:rPr>
        <w:t>到2027年底，力争推动1500户个体工商户转型升级为企业。</w:t>
      </w:r>
      <w:r>
        <w:rPr>
          <w:rFonts w:hint="default" w:ascii="Times New Roman" w:hAnsi="Times New Roman" w:eastAsia="楷体_GB2312" w:cs="Times New Roman"/>
          <w:b w:val="0"/>
          <w:bCs w:val="0"/>
          <w:color w:val="auto"/>
          <w:sz w:val="32"/>
          <w:szCs w:val="32"/>
          <w:highlight w:val="none"/>
          <w:lang w:eastAsia="zh-CN"/>
        </w:rPr>
        <w:t>（市市场监管局、市税务局、市人力社局、中国人民银行信阳市分行、市工信局、市自然资源规划局等按职责分工负责）</w:t>
      </w:r>
    </w:p>
    <w:p w14:paraId="492C9F8C">
      <w:pPr>
        <w:pStyle w:val="2"/>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43" w:firstLineChars="200"/>
        <w:jc w:val="both"/>
        <w:textAlignment w:val="baseline"/>
        <w:rPr>
          <w:rFonts w:hint="default" w:ascii="Times New Roman" w:hAnsi="Times New Roman" w:eastAsia="楷体_GB2312" w:cs="Times New Roman"/>
          <w:b/>
          <w:bCs/>
          <w:color w:val="auto"/>
          <w:spacing w:val="0"/>
          <w:w w:val="100"/>
          <w:sz w:val="32"/>
          <w:szCs w:val="32"/>
          <w:highlight w:val="none"/>
          <w:lang w:eastAsia="zh-CN"/>
        </w:rPr>
      </w:pPr>
      <w:r>
        <w:rPr>
          <w:rFonts w:hint="default" w:ascii="Times New Roman" w:hAnsi="Times New Roman" w:eastAsia="仿宋_GB2312" w:cs="Times New Roman"/>
          <w:b/>
          <w:bCs/>
          <w:color w:val="auto"/>
          <w:spacing w:val="0"/>
          <w:w w:val="100"/>
          <w:sz w:val="32"/>
          <w:szCs w:val="32"/>
          <w:highlight w:val="none"/>
          <w:lang w:val="en-US" w:eastAsia="zh-CN"/>
        </w:rPr>
        <w:t>4.分类推进“小升规”。</w:t>
      </w:r>
      <w:r>
        <w:rPr>
          <w:rFonts w:hint="default" w:ascii="Times New Roman" w:hAnsi="Times New Roman" w:eastAsia="仿宋_GB2312" w:cs="Times New Roman"/>
          <w:b w:val="0"/>
          <w:bCs w:val="0"/>
          <w:color w:val="auto"/>
          <w:spacing w:val="0"/>
          <w:w w:val="100"/>
          <w:sz w:val="32"/>
          <w:szCs w:val="32"/>
          <w:highlight w:val="none"/>
          <w:lang w:val="en-US" w:eastAsia="zh-CN"/>
        </w:rPr>
        <w:t>分类动态培育“小升规”企业。开展小微企业升规纳统专项行动，引导年主营业务收入、营业收入已达规模（限额）但未入统的企业及时申报入统。建立首次“小升规”企业联系服务机制，了解企业需求，帮助解决困难，加强对首次升规企业统计报表填报、税收办理、健全规范财务制度等方面的培训辅导。</w:t>
      </w:r>
      <w:r>
        <w:rPr>
          <w:rFonts w:hint="default" w:ascii="Times New Roman" w:hAnsi="Times New Roman" w:eastAsia="仿宋_GB2312" w:cs="Times New Roman"/>
          <w:color w:val="auto"/>
          <w:sz w:val="32"/>
          <w:szCs w:val="32"/>
          <w:highlight w:val="none"/>
          <w:lang w:val="en-US" w:eastAsia="zh-CN"/>
        </w:rPr>
        <w:t>小</w:t>
      </w:r>
      <w:r>
        <w:rPr>
          <w:rFonts w:hint="default" w:ascii="Times New Roman" w:hAnsi="Times New Roman" w:eastAsia="仿宋_GB2312" w:cs="Times New Roman"/>
          <w:color w:val="auto"/>
          <w:sz w:val="32"/>
          <w:szCs w:val="32"/>
          <w:highlight w:val="none"/>
        </w:rPr>
        <w:t>升规企业办理土地使用权和房屋所有权更名时，按照国家企业改制重组契税政策规定免征契税，投资主体、经营场所不变的按规定免收交易手续费</w:t>
      </w:r>
      <w:r>
        <w:rPr>
          <w:rFonts w:hint="default" w:ascii="Times New Roman" w:hAnsi="Times New Roman" w:eastAsia="仿宋_GB2312" w:cs="Times New Roman"/>
          <w:b w:val="0"/>
          <w:bCs w:val="0"/>
          <w:color w:val="auto"/>
          <w:spacing w:val="0"/>
          <w:w w:val="100"/>
          <w:sz w:val="32"/>
          <w:szCs w:val="32"/>
          <w:highlight w:val="none"/>
        </w:rPr>
        <w:t>。建立中小企业梯度培育计划，综合商事登记、用电、税收、就业、进出口、融资等数据，精准靶向培育营业收入已达规模但未纳规入统的企业，推荐进入“小升规”重点企业培育库，实行市、县联合帮扶和靶向培育，“一企一策”帮扶存量临退规企业，推动小微企业升规上限。</w:t>
      </w:r>
      <w:r>
        <w:rPr>
          <w:rFonts w:hint="default" w:ascii="Times New Roman" w:hAnsi="Times New Roman" w:eastAsia="仿宋_GB2312" w:cs="Times New Roman"/>
          <w:b w:val="0"/>
          <w:bCs w:val="0"/>
          <w:color w:val="auto"/>
          <w:spacing w:val="0"/>
          <w:w w:val="100"/>
          <w:sz w:val="32"/>
          <w:szCs w:val="32"/>
          <w:highlight w:val="none"/>
          <w:lang w:val="en-US" w:eastAsia="zh-CN"/>
        </w:rPr>
        <w:t>鼓励各级政府通过长期租赁、先租后让、租让结合等方式向首次“小升规”企业供地，对首次“小升规”工业企业租用政府、国有企业投资建设标准厂房的给予租金优惠。到2027年底，力争全市“四上企业”户数达到5000家。</w:t>
      </w:r>
      <w:r>
        <w:rPr>
          <w:rFonts w:hint="default" w:ascii="Times New Roman" w:hAnsi="Times New Roman" w:eastAsia="楷体_GB2312" w:cs="Times New Roman"/>
          <w:b w:val="0"/>
          <w:bCs w:val="0"/>
          <w:color w:val="auto"/>
          <w:sz w:val="32"/>
          <w:szCs w:val="32"/>
          <w:highlight w:val="none"/>
          <w:lang w:eastAsia="zh-CN"/>
        </w:rPr>
        <w:t>（市市场监管局、市税务局、市人社局、人民银行信阳市分行、市工信局、市自然资源规划局等按职责分工负责）</w:t>
      </w:r>
    </w:p>
    <w:p w14:paraId="23F73B56">
      <w:pPr>
        <w:keepNext w:val="0"/>
        <w:keepLines w:val="0"/>
        <w:pageBreakBefore w:val="0"/>
        <w:widowControl w:val="0"/>
        <w:kinsoku/>
        <w:wordWrap/>
        <w:overflowPunct/>
        <w:topLinePunct w:val="0"/>
        <w:autoSpaceDE w:val="0"/>
        <w:autoSpaceDN w:val="0"/>
        <w:bidi w:val="0"/>
        <w:adjustRightInd w:val="0"/>
        <w:snapToGrid w:val="0"/>
        <w:spacing w:line="580" w:lineRule="exact"/>
        <w:ind w:firstLine="643" w:firstLineChars="200"/>
        <w:jc w:val="both"/>
        <w:textAlignment w:val="baseline"/>
        <w:rPr>
          <w:rFonts w:hint="default" w:ascii="Times New Roman" w:hAnsi="Times New Roman" w:eastAsia="楷体_GB2312" w:cs="Times New Roman"/>
          <w:b w:val="0"/>
          <w:bCs w:val="0"/>
          <w:color w:val="auto"/>
          <w:spacing w:val="0"/>
          <w:w w:val="100"/>
          <w:sz w:val="32"/>
          <w:szCs w:val="32"/>
          <w:highlight w:val="none"/>
          <w:lang w:eastAsia="zh-CN"/>
        </w:rPr>
      </w:pPr>
      <w:r>
        <w:rPr>
          <w:rFonts w:hint="default" w:ascii="Times New Roman" w:hAnsi="Times New Roman" w:eastAsia="仿宋_GB2312" w:cs="Times New Roman"/>
          <w:b/>
          <w:bCs/>
          <w:snapToGrid w:val="0"/>
          <w:color w:val="auto"/>
          <w:spacing w:val="0"/>
          <w:w w:val="100"/>
          <w:kern w:val="0"/>
          <w:sz w:val="32"/>
          <w:szCs w:val="32"/>
          <w:highlight w:val="none"/>
          <w:lang w:val="en-US" w:eastAsia="zh-CN" w:bidi="ar-SA"/>
        </w:rPr>
        <w:t>5.推动建立健全现代企业制度。</w:t>
      </w:r>
      <w:r>
        <w:rPr>
          <w:rFonts w:hint="default" w:ascii="Times New Roman" w:hAnsi="Times New Roman" w:eastAsia="仿宋_GB2312" w:cs="Times New Roman"/>
          <w:b w:val="0"/>
          <w:bCs w:val="0"/>
          <w:color w:val="auto"/>
          <w:spacing w:val="0"/>
          <w:w w:val="100"/>
          <w:sz w:val="32"/>
          <w:szCs w:val="32"/>
          <w:highlight w:val="none"/>
          <w:lang w:eastAsia="zh-CN"/>
        </w:rPr>
        <w:t>围绕</w:t>
      </w:r>
      <w:r>
        <w:rPr>
          <w:rFonts w:hint="default" w:ascii="Times New Roman" w:hAnsi="Times New Roman" w:eastAsia="仿宋_GB2312" w:cs="Times New Roman"/>
          <w:b w:val="0"/>
          <w:bCs w:val="0"/>
          <w:snapToGrid w:val="0"/>
          <w:color w:val="auto"/>
          <w:spacing w:val="0"/>
          <w:w w:val="100"/>
          <w:kern w:val="0"/>
          <w:sz w:val="32"/>
          <w:szCs w:val="32"/>
          <w:highlight w:val="none"/>
          <w:lang w:val="en-US" w:eastAsia="zh-CN" w:bidi="ar-SA"/>
        </w:rPr>
        <w:t>“6+11+N”</w:t>
      </w:r>
      <w:r>
        <w:rPr>
          <w:rFonts w:hint="default" w:ascii="Times New Roman" w:hAnsi="Times New Roman" w:eastAsia="仿宋_GB2312" w:cs="Times New Roman"/>
          <w:b w:val="0"/>
          <w:bCs w:val="0"/>
          <w:color w:val="auto"/>
          <w:spacing w:val="0"/>
          <w:w w:val="100"/>
          <w:sz w:val="32"/>
          <w:szCs w:val="32"/>
          <w:highlight w:val="none"/>
          <w:lang w:val="en-US" w:eastAsia="zh-CN"/>
        </w:rPr>
        <w:t>重点产业链，建立健全民营企业培育库，分类别、分层次进行培育引导。</w:t>
      </w:r>
      <w:r>
        <w:rPr>
          <w:rFonts w:hint="default" w:ascii="Times New Roman" w:hAnsi="Times New Roman" w:eastAsia="仿宋_GB2312" w:cs="Times New Roman"/>
          <w:snapToGrid w:val="0"/>
          <w:color w:val="auto"/>
          <w:kern w:val="0"/>
          <w:sz w:val="32"/>
          <w:szCs w:val="32"/>
          <w:highlight w:val="none"/>
          <w:lang w:val="en-US" w:eastAsia="en-US" w:bidi="ar-SA"/>
        </w:rPr>
        <w:t>支持</w:t>
      </w:r>
      <w:r>
        <w:rPr>
          <w:rFonts w:hint="default" w:ascii="Times New Roman" w:hAnsi="Times New Roman" w:eastAsia="仿宋_GB2312" w:cs="Times New Roman"/>
          <w:snapToGrid w:val="0"/>
          <w:color w:val="auto"/>
          <w:kern w:val="0"/>
          <w:sz w:val="32"/>
          <w:szCs w:val="32"/>
          <w:highlight w:val="none"/>
          <w:lang w:val="en-US" w:eastAsia="zh-CN" w:bidi="ar-SA"/>
        </w:rPr>
        <w:t>民营企业</w:t>
      </w:r>
      <w:r>
        <w:rPr>
          <w:rFonts w:hint="default" w:ascii="Times New Roman" w:hAnsi="Times New Roman" w:eastAsia="仿宋_GB2312" w:cs="Times New Roman"/>
          <w:snapToGrid w:val="0"/>
          <w:color w:val="auto"/>
          <w:kern w:val="0"/>
          <w:sz w:val="32"/>
          <w:szCs w:val="32"/>
          <w:highlight w:val="none"/>
          <w:lang w:val="en-US" w:eastAsia="en-US" w:bidi="ar-SA"/>
        </w:rPr>
        <w:t>通过资产收购、产权受让、参股控股、合资合作等</w:t>
      </w:r>
      <w:r>
        <w:rPr>
          <w:rFonts w:hint="default" w:ascii="Times New Roman" w:hAnsi="Times New Roman" w:eastAsia="仿宋_GB2312" w:cs="Times New Roman"/>
          <w:snapToGrid w:val="0"/>
          <w:color w:val="auto"/>
          <w:kern w:val="0"/>
          <w:sz w:val="32"/>
          <w:szCs w:val="32"/>
          <w:highlight w:val="none"/>
          <w:lang w:val="en-US" w:eastAsia="zh-CN" w:bidi="ar-SA"/>
        </w:rPr>
        <w:t>方式，依法依规</w:t>
      </w:r>
      <w:r>
        <w:rPr>
          <w:rFonts w:hint="default" w:ascii="Times New Roman" w:hAnsi="Times New Roman" w:eastAsia="仿宋_GB2312" w:cs="Times New Roman"/>
          <w:snapToGrid w:val="0"/>
          <w:color w:val="auto"/>
          <w:kern w:val="0"/>
          <w:sz w:val="32"/>
          <w:szCs w:val="32"/>
          <w:highlight w:val="none"/>
          <w:lang w:val="en-US" w:eastAsia="en-US" w:bidi="ar-SA"/>
        </w:rPr>
        <w:t>参与国有企业改制重组，</w:t>
      </w:r>
      <w:r>
        <w:rPr>
          <w:rFonts w:hint="default" w:ascii="Times New Roman" w:hAnsi="Times New Roman" w:eastAsia="仿宋_GB2312" w:cs="Times New Roman"/>
          <w:b w:val="0"/>
          <w:bCs w:val="0"/>
          <w:color w:val="auto"/>
          <w:spacing w:val="0"/>
          <w:w w:val="100"/>
          <w:sz w:val="32"/>
          <w:szCs w:val="32"/>
          <w:highlight w:val="none"/>
          <w:lang w:eastAsia="zh-CN"/>
        </w:rPr>
        <w:t>落实</w:t>
      </w:r>
      <w:r>
        <w:rPr>
          <w:rFonts w:hint="default" w:ascii="Times New Roman" w:hAnsi="Times New Roman" w:eastAsia="仿宋_GB2312" w:cs="Times New Roman"/>
          <w:b w:val="0"/>
          <w:bCs w:val="0"/>
          <w:color w:val="auto"/>
          <w:spacing w:val="0"/>
          <w:w w:val="100"/>
          <w:sz w:val="32"/>
          <w:szCs w:val="32"/>
          <w:highlight w:val="none"/>
        </w:rPr>
        <w:t>民营企业</w:t>
      </w:r>
      <w:r>
        <w:rPr>
          <w:rFonts w:hint="default" w:ascii="Times New Roman" w:hAnsi="Times New Roman" w:eastAsia="仿宋_GB2312" w:cs="Times New Roman"/>
          <w:b w:val="0"/>
          <w:bCs w:val="0"/>
          <w:color w:val="auto"/>
          <w:spacing w:val="0"/>
          <w:w w:val="100"/>
          <w:sz w:val="32"/>
          <w:szCs w:val="32"/>
          <w:highlight w:val="none"/>
          <w:lang w:eastAsia="zh-CN"/>
        </w:rPr>
        <w:t>上市挂牌“绿色”</w:t>
      </w:r>
      <w:r>
        <w:rPr>
          <w:rFonts w:hint="default" w:ascii="Times New Roman" w:hAnsi="Times New Roman" w:eastAsia="仿宋_GB2312" w:cs="Times New Roman"/>
          <w:b w:val="0"/>
          <w:bCs w:val="0"/>
          <w:color w:val="auto"/>
          <w:spacing w:val="0"/>
          <w:w w:val="100"/>
          <w:sz w:val="32"/>
          <w:szCs w:val="32"/>
          <w:highlight w:val="none"/>
        </w:rPr>
        <w:t>通道制度，</w:t>
      </w:r>
      <w:r>
        <w:rPr>
          <w:rFonts w:hint="default" w:ascii="Times New Roman" w:hAnsi="Times New Roman" w:eastAsia="仿宋_GB2312" w:cs="Times New Roman"/>
          <w:b w:val="0"/>
          <w:bCs w:val="0"/>
          <w:color w:val="auto"/>
          <w:spacing w:val="0"/>
          <w:w w:val="100"/>
          <w:sz w:val="32"/>
          <w:szCs w:val="32"/>
          <w:highlight w:val="none"/>
          <w:lang w:eastAsia="zh-CN"/>
        </w:rPr>
        <w:t>支持符合条件的民营企业在境内外上市和再融资。</w:t>
      </w:r>
      <w:r>
        <w:rPr>
          <w:rFonts w:hint="default" w:ascii="Times New Roman" w:hAnsi="Times New Roman" w:eastAsia="仿宋_GB2312" w:cs="Times New Roman"/>
          <w:b w:val="0"/>
          <w:bCs/>
          <w:color w:val="auto"/>
          <w:sz w:val="32"/>
          <w:szCs w:val="32"/>
          <w:highlight w:val="none"/>
          <w:lang w:val="en-US" w:eastAsia="zh-CN"/>
        </w:rPr>
        <w:t>发挥信商之家企业大讲堂、市县两级“格局屏天下”企业家学院教育培训主阵地作用，</w:t>
      </w:r>
      <w:r>
        <w:rPr>
          <w:rFonts w:hint="default" w:ascii="Times New Roman" w:hAnsi="Times New Roman" w:eastAsia="仿宋_GB2312" w:cs="Times New Roman"/>
          <w:snapToGrid w:val="0"/>
          <w:color w:val="auto"/>
          <w:kern w:val="0"/>
          <w:sz w:val="32"/>
          <w:szCs w:val="32"/>
          <w:highlight w:val="none"/>
          <w:lang w:val="en-US" w:eastAsia="zh-CN" w:bidi="ar-SA"/>
        </w:rPr>
        <w:t>举办</w:t>
      </w:r>
      <w:r>
        <w:rPr>
          <w:rFonts w:hint="default" w:ascii="Times New Roman" w:hAnsi="Times New Roman" w:eastAsia="仿宋_GB2312" w:cs="Times New Roman"/>
          <w:snapToGrid w:val="0"/>
          <w:color w:val="auto"/>
          <w:kern w:val="0"/>
          <w:sz w:val="32"/>
          <w:szCs w:val="32"/>
          <w:highlight w:val="none"/>
          <w:lang w:val="en-US" w:eastAsia="en-US" w:bidi="ar-SA"/>
        </w:rPr>
        <w:t>现代企业制度</w:t>
      </w:r>
      <w:r>
        <w:rPr>
          <w:rFonts w:hint="default" w:ascii="Times New Roman" w:hAnsi="Times New Roman" w:eastAsia="仿宋_GB2312" w:cs="Times New Roman"/>
          <w:snapToGrid w:val="0"/>
          <w:color w:val="auto"/>
          <w:kern w:val="0"/>
          <w:sz w:val="32"/>
          <w:szCs w:val="32"/>
          <w:highlight w:val="none"/>
          <w:lang w:val="en-US" w:eastAsia="zh-CN" w:bidi="ar-SA"/>
        </w:rPr>
        <w:t>专题</w:t>
      </w:r>
      <w:r>
        <w:rPr>
          <w:rFonts w:hint="default" w:ascii="Times New Roman" w:hAnsi="Times New Roman" w:eastAsia="仿宋_GB2312" w:cs="Times New Roman"/>
          <w:snapToGrid w:val="0"/>
          <w:color w:val="auto"/>
          <w:kern w:val="0"/>
          <w:sz w:val="32"/>
          <w:szCs w:val="32"/>
          <w:highlight w:val="none"/>
          <w:lang w:val="en-US" w:eastAsia="en-US" w:bidi="ar-SA"/>
        </w:rPr>
        <w:t>培训活动，遴选一批典型标杆</w:t>
      </w:r>
      <w:r>
        <w:rPr>
          <w:rFonts w:hint="default" w:ascii="Times New Roman" w:hAnsi="Times New Roman" w:eastAsia="仿宋_GB2312" w:cs="Times New Roman"/>
          <w:snapToGrid w:val="0"/>
          <w:color w:val="auto"/>
          <w:kern w:val="0"/>
          <w:sz w:val="32"/>
          <w:szCs w:val="32"/>
          <w:highlight w:val="none"/>
          <w:lang w:val="en-US" w:eastAsia="zh-CN" w:bidi="ar-SA"/>
        </w:rPr>
        <w:t>企业</w:t>
      </w:r>
      <w:r>
        <w:rPr>
          <w:rFonts w:hint="default" w:ascii="Times New Roman" w:hAnsi="Times New Roman" w:eastAsia="仿宋_GB2312" w:cs="Times New Roman"/>
          <w:snapToGrid w:val="0"/>
          <w:color w:val="auto"/>
          <w:kern w:val="0"/>
          <w:sz w:val="32"/>
          <w:szCs w:val="32"/>
          <w:highlight w:val="none"/>
          <w:lang w:val="en-US" w:eastAsia="en-US" w:bidi="ar-SA"/>
        </w:rPr>
        <w:t>，</w:t>
      </w:r>
      <w:r>
        <w:rPr>
          <w:rFonts w:hint="default" w:ascii="Times New Roman" w:hAnsi="Times New Roman" w:eastAsia="仿宋_GB2312" w:cs="Times New Roman"/>
          <w:snapToGrid w:val="0"/>
          <w:color w:val="auto"/>
          <w:kern w:val="0"/>
          <w:sz w:val="32"/>
          <w:szCs w:val="32"/>
          <w:highlight w:val="none"/>
          <w:lang w:val="en-US" w:eastAsia="zh-CN" w:bidi="ar-SA"/>
        </w:rPr>
        <w:t>开展对标</w:t>
      </w:r>
      <w:r>
        <w:rPr>
          <w:rFonts w:hint="default" w:ascii="Times New Roman" w:hAnsi="Times New Roman" w:eastAsia="仿宋_GB2312" w:cs="Times New Roman"/>
          <w:snapToGrid w:val="0"/>
          <w:color w:val="auto"/>
          <w:kern w:val="0"/>
          <w:sz w:val="32"/>
          <w:szCs w:val="32"/>
          <w:highlight w:val="none"/>
          <w:lang w:val="en-US" w:eastAsia="en-US" w:bidi="ar-SA"/>
        </w:rPr>
        <w:t>提升活动，</w:t>
      </w:r>
      <w:r>
        <w:rPr>
          <w:rFonts w:hint="default" w:ascii="Times New Roman" w:hAnsi="Times New Roman" w:eastAsia="仿宋_GB2312" w:cs="Times New Roman"/>
          <w:snapToGrid w:val="0"/>
          <w:color w:val="auto"/>
          <w:kern w:val="0"/>
          <w:sz w:val="32"/>
          <w:szCs w:val="32"/>
          <w:highlight w:val="none"/>
          <w:lang w:val="en-US" w:eastAsia="zh-CN" w:bidi="ar-SA"/>
        </w:rPr>
        <w:t>推动</w:t>
      </w:r>
      <w:r>
        <w:rPr>
          <w:rFonts w:hint="default" w:ascii="Times New Roman" w:hAnsi="Times New Roman" w:eastAsia="仿宋_GB2312" w:cs="Times New Roman"/>
          <w:snapToGrid w:val="0"/>
          <w:color w:val="auto"/>
          <w:kern w:val="0"/>
          <w:sz w:val="32"/>
          <w:szCs w:val="32"/>
          <w:highlight w:val="none"/>
          <w:lang w:val="en-US" w:eastAsia="en-US" w:bidi="ar-SA"/>
        </w:rPr>
        <w:t>民营企业建立健全现代企业</w:t>
      </w:r>
      <w:r>
        <w:rPr>
          <w:rFonts w:hint="default" w:ascii="Times New Roman" w:hAnsi="Times New Roman" w:eastAsia="仿宋_GB2312" w:cs="Times New Roman"/>
          <w:snapToGrid w:val="0"/>
          <w:color w:val="auto"/>
          <w:kern w:val="0"/>
          <w:sz w:val="32"/>
          <w:szCs w:val="32"/>
          <w:highlight w:val="none"/>
          <w:lang w:val="en-US" w:eastAsia="zh-CN" w:bidi="ar-SA"/>
        </w:rPr>
        <w:t>制度。支持民营企业制定</w:t>
      </w:r>
      <w:r>
        <w:rPr>
          <w:rFonts w:hint="default" w:ascii="Times New Roman" w:hAnsi="Times New Roman" w:eastAsia="仿宋_GB2312" w:cs="Times New Roman"/>
          <w:snapToGrid w:val="0"/>
          <w:color w:val="auto"/>
          <w:kern w:val="0"/>
          <w:sz w:val="32"/>
          <w:szCs w:val="32"/>
          <w:highlight w:val="none"/>
          <w:lang w:val="en-US" w:eastAsia="en-US" w:bidi="ar-SA"/>
        </w:rPr>
        <w:t>明确规范的公司章程，优化企业业务</w:t>
      </w:r>
      <w:r>
        <w:rPr>
          <w:rFonts w:hint="default" w:ascii="Times New Roman" w:hAnsi="Times New Roman" w:eastAsia="仿宋_GB2312" w:cs="Times New Roman"/>
          <w:snapToGrid w:val="0"/>
          <w:color w:val="auto"/>
          <w:kern w:val="0"/>
          <w:sz w:val="32"/>
          <w:szCs w:val="32"/>
          <w:highlight w:val="none"/>
          <w:lang w:val="en-US" w:eastAsia="zh-CN" w:bidi="ar-SA"/>
        </w:rPr>
        <w:t>流程</w:t>
      </w:r>
      <w:r>
        <w:rPr>
          <w:rFonts w:hint="default" w:ascii="Times New Roman" w:hAnsi="Times New Roman" w:eastAsia="仿宋_GB2312" w:cs="Times New Roman"/>
          <w:snapToGrid w:val="0"/>
          <w:color w:val="auto"/>
          <w:kern w:val="0"/>
          <w:sz w:val="32"/>
          <w:szCs w:val="32"/>
          <w:highlight w:val="none"/>
          <w:lang w:val="en-US" w:eastAsia="en-US" w:bidi="ar-SA"/>
        </w:rPr>
        <w:t>和</w:t>
      </w:r>
      <w:r>
        <w:rPr>
          <w:rFonts w:hint="default" w:ascii="Times New Roman" w:hAnsi="Times New Roman" w:eastAsia="仿宋_GB2312" w:cs="Times New Roman"/>
          <w:snapToGrid w:val="0"/>
          <w:color w:val="auto"/>
          <w:kern w:val="0"/>
          <w:sz w:val="32"/>
          <w:szCs w:val="32"/>
          <w:highlight w:val="none"/>
          <w:lang w:val="en-US" w:eastAsia="zh-CN" w:bidi="ar-SA"/>
        </w:rPr>
        <w:t>组织</w:t>
      </w:r>
      <w:r>
        <w:rPr>
          <w:rFonts w:hint="default" w:ascii="Times New Roman" w:hAnsi="Times New Roman" w:eastAsia="仿宋_GB2312" w:cs="Times New Roman"/>
          <w:snapToGrid w:val="0"/>
          <w:color w:val="auto"/>
          <w:kern w:val="0"/>
          <w:sz w:val="32"/>
          <w:szCs w:val="32"/>
          <w:highlight w:val="none"/>
          <w:lang w:val="en-US" w:eastAsia="en-US" w:bidi="ar-SA"/>
        </w:rPr>
        <w:t>结构，</w:t>
      </w:r>
      <w:r>
        <w:rPr>
          <w:rFonts w:hint="default" w:ascii="Times New Roman" w:hAnsi="Times New Roman" w:eastAsia="仿宋_GB2312" w:cs="Times New Roman"/>
          <w:snapToGrid w:val="0"/>
          <w:color w:val="auto"/>
          <w:kern w:val="0"/>
          <w:sz w:val="32"/>
          <w:szCs w:val="32"/>
          <w:highlight w:val="none"/>
          <w:lang w:val="en-US" w:eastAsia="zh-CN" w:bidi="ar-SA"/>
        </w:rPr>
        <w:t>增强合规意识，提升合规管理水平，</w:t>
      </w:r>
      <w:r>
        <w:rPr>
          <w:rFonts w:hint="default" w:ascii="Times New Roman" w:hAnsi="Times New Roman" w:eastAsia="仿宋_GB2312" w:cs="Times New Roman"/>
          <w:b w:val="0"/>
          <w:bCs w:val="0"/>
          <w:color w:val="auto"/>
          <w:spacing w:val="0"/>
          <w:w w:val="100"/>
          <w:sz w:val="32"/>
          <w:szCs w:val="32"/>
          <w:highlight w:val="none"/>
          <w:lang w:eastAsia="zh-CN"/>
        </w:rPr>
        <w:t>防范生产经营风险</w:t>
      </w:r>
      <w:r>
        <w:rPr>
          <w:rFonts w:hint="default" w:ascii="Times New Roman" w:hAnsi="Times New Roman" w:eastAsia="仿宋_GB2312" w:cs="Times New Roman"/>
          <w:b w:val="0"/>
          <w:bCs w:val="0"/>
          <w:color w:val="auto"/>
          <w:spacing w:val="0"/>
          <w:w w:val="100"/>
          <w:sz w:val="32"/>
          <w:szCs w:val="32"/>
          <w:highlight w:val="none"/>
        </w:rPr>
        <w:t>。</w:t>
      </w:r>
      <w:r>
        <w:rPr>
          <w:rFonts w:hint="default" w:ascii="Times New Roman" w:hAnsi="Times New Roman" w:eastAsia="仿宋_GB2312" w:cs="Times New Roman"/>
          <w:b w:val="0"/>
          <w:bCs w:val="0"/>
          <w:color w:val="auto"/>
          <w:spacing w:val="0"/>
          <w:w w:val="100"/>
          <w:sz w:val="32"/>
          <w:szCs w:val="32"/>
          <w:highlight w:val="none"/>
          <w:lang w:val="en-US" w:eastAsia="zh-CN"/>
        </w:rPr>
        <w:t>到2027年底，推动20家左右民营企业建立现代企业制度。</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发展改革委、</w:t>
      </w:r>
      <w:r>
        <w:rPr>
          <w:rFonts w:hint="default" w:ascii="Times New Roman" w:hAnsi="Times New Roman" w:eastAsia="楷体_GB2312" w:cs="Times New Roman"/>
          <w:b w:val="0"/>
          <w:bCs w:val="0"/>
          <w:color w:val="auto"/>
          <w:spacing w:val="0"/>
          <w:w w:val="100"/>
          <w:sz w:val="32"/>
          <w:szCs w:val="32"/>
          <w:highlight w:val="none"/>
          <w:lang w:eastAsia="zh-CN"/>
        </w:rPr>
        <w:t>市财政局</w:t>
      </w:r>
      <w:r>
        <w:rPr>
          <w:rFonts w:hint="default" w:ascii="Times New Roman" w:hAnsi="Times New Roman" w:eastAsia="楷体_GB2312" w:cs="Times New Roman"/>
          <w:b w:val="0"/>
          <w:bCs w:val="0"/>
          <w:color w:val="auto"/>
          <w:spacing w:val="0"/>
          <w:w w:val="100"/>
          <w:sz w:val="32"/>
          <w:szCs w:val="32"/>
          <w:highlight w:val="none"/>
        </w:rPr>
        <w:t>、</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工商联等</w:t>
      </w:r>
      <w:r>
        <w:rPr>
          <w:rFonts w:hint="default" w:ascii="Times New Roman" w:hAnsi="Times New Roman" w:eastAsia="楷体_GB2312" w:cs="Times New Roman"/>
          <w:b w:val="0"/>
          <w:bCs w:val="0"/>
          <w:color w:val="auto"/>
          <w:spacing w:val="0"/>
          <w:w w:val="100"/>
          <w:sz w:val="32"/>
          <w:szCs w:val="32"/>
          <w:highlight w:val="none"/>
          <w:lang w:eastAsia="zh-CN"/>
        </w:rPr>
        <w:t>按职责分工</w:t>
      </w:r>
      <w:r>
        <w:rPr>
          <w:rFonts w:hint="default" w:ascii="Times New Roman" w:hAnsi="Times New Roman" w:eastAsia="楷体_GB2312" w:cs="Times New Roman"/>
          <w:b w:val="0"/>
          <w:bCs w:val="0"/>
          <w:color w:val="auto"/>
          <w:spacing w:val="0"/>
          <w:w w:val="100"/>
          <w:sz w:val="32"/>
          <w:szCs w:val="32"/>
          <w:highlight w:val="none"/>
        </w:rPr>
        <w:t>负责</w:t>
      </w:r>
      <w:r>
        <w:rPr>
          <w:rFonts w:hint="default" w:ascii="Times New Roman" w:hAnsi="Times New Roman" w:eastAsia="楷体_GB2312" w:cs="Times New Roman"/>
          <w:b w:val="0"/>
          <w:bCs w:val="0"/>
          <w:color w:val="auto"/>
          <w:spacing w:val="0"/>
          <w:w w:val="100"/>
          <w:sz w:val="32"/>
          <w:szCs w:val="32"/>
          <w:highlight w:val="none"/>
          <w:lang w:eastAsia="zh-CN"/>
        </w:rPr>
        <w:t>）</w:t>
      </w:r>
    </w:p>
    <w:p w14:paraId="604F748B">
      <w:pPr>
        <w:pStyle w:val="2"/>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43" w:firstLineChars="200"/>
        <w:jc w:val="both"/>
        <w:textAlignment w:val="baseline"/>
        <w:rPr>
          <w:rFonts w:hint="default" w:ascii="Times New Roman" w:hAnsi="Times New Roman" w:eastAsia="仿宋_GB2312" w:cs="Times New Roman"/>
          <w:b w:val="0"/>
          <w:bCs w:val="0"/>
          <w:color w:val="auto"/>
          <w:spacing w:val="0"/>
          <w:w w:val="100"/>
          <w:sz w:val="32"/>
          <w:szCs w:val="32"/>
          <w:highlight w:val="none"/>
        </w:rPr>
      </w:pPr>
      <w:r>
        <w:rPr>
          <w:rFonts w:hint="default" w:ascii="Times New Roman" w:hAnsi="Times New Roman" w:eastAsia="仿宋_GB2312" w:cs="Times New Roman"/>
          <w:b/>
          <w:bCs/>
          <w:snapToGrid w:val="0"/>
          <w:color w:val="auto"/>
          <w:spacing w:val="0"/>
          <w:w w:val="100"/>
          <w:kern w:val="0"/>
          <w:sz w:val="32"/>
          <w:szCs w:val="32"/>
          <w:highlight w:val="none"/>
          <w:lang w:val="en-US" w:eastAsia="zh-CN" w:bidi="ar-SA"/>
        </w:rPr>
        <w:t>6.精准培育骨干民企。</w:t>
      </w:r>
      <w:r>
        <w:rPr>
          <w:rFonts w:hint="default" w:ascii="Times New Roman" w:hAnsi="Times New Roman" w:eastAsia="仿宋_GB2312" w:cs="Times New Roman"/>
          <w:b w:val="0"/>
          <w:bCs w:val="0"/>
          <w:color w:val="auto"/>
          <w:spacing w:val="0"/>
          <w:w w:val="100"/>
          <w:sz w:val="32"/>
          <w:szCs w:val="32"/>
          <w:highlight w:val="none"/>
        </w:rPr>
        <w:t>统筹各级各类专项资金，加大对民营企业转型升级、研发创新、市场开拓、人才引进等方面支持力度，引导民营企业提档升级。围绕</w:t>
      </w:r>
      <w:r>
        <w:rPr>
          <w:rFonts w:hint="default" w:ascii="Times New Roman" w:hAnsi="Times New Roman" w:eastAsia="仿宋_GB2312" w:cs="Times New Roman"/>
          <w:b w:val="0"/>
          <w:bCs w:val="0"/>
          <w:color w:val="auto"/>
          <w:spacing w:val="0"/>
          <w:w w:val="100"/>
          <w:sz w:val="32"/>
          <w:szCs w:val="32"/>
          <w:highlight w:val="none"/>
          <w:lang w:eastAsia="zh-CN"/>
        </w:rPr>
        <w:t>全市</w:t>
      </w:r>
      <w:r>
        <w:rPr>
          <w:rFonts w:hint="default" w:ascii="Times New Roman" w:hAnsi="Times New Roman" w:eastAsia="仿宋_GB2312" w:cs="Times New Roman"/>
          <w:b w:val="0"/>
          <w:bCs w:val="0"/>
          <w:color w:val="auto"/>
          <w:spacing w:val="0"/>
          <w:w w:val="100"/>
          <w:sz w:val="32"/>
          <w:szCs w:val="32"/>
          <w:highlight w:val="none"/>
        </w:rPr>
        <w:t>重点产业链群建设，</w:t>
      </w:r>
      <w:r>
        <w:rPr>
          <w:rFonts w:hint="default" w:ascii="Times New Roman" w:hAnsi="Times New Roman" w:eastAsia="仿宋_GB2312" w:cs="Times New Roman"/>
          <w:b w:val="0"/>
          <w:bCs w:val="0"/>
          <w:color w:val="auto"/>
          <w:spacing w:val="0"/>
          <w:w w:val="100"/>
          <w:sz w:val="32"/>
          <w:szCs w:val="32"/>
          <w:highlight w:val="none"/>
          <w:lang w:eastAsia="zh-CN"/>
        </w:rPr>
        <w:t>建立完善</w:t>
      </w:r>
      <w:r>
        <w:rPr>
          <w:rFonts w:hint="default" w:ascii="Times New Roman" w:hAnsi="Times New Roman" w:eastAsia="仿宋_GB2312" w:cs="Times New Roman"/>
          <w:b w:val="0"/>
          <w:bCs w:val="0"/>
          <w:color w:val="auto"/>
          <w:spacing w:val="0"/>
          <w:w w:val="100"/>
          <w:sz w:val="32"/>
          <w:szCs w:val="32"/>
          <w:highlight w:val="none"/>
        </w:rPr>
        <w:t>创新型</w:t>
      </w:r>
      <w:r>
        <w:rPr>
          <w:rFonts w:hint="default" w:ascii="Times New Roman" w:hAnsi="Times New Roman" w:eastAsia="仿宋_GB2312" w:cs="Times New Roman"/>
          <w:b w:val="0"/>
          <w:bCs w:val="0"/>
          <w:color w:val="auto"/>
          <w:spacing w:val="0"/>
          <w:w w:val="100"/>
          <w:sz w:val="32"/>
          <w:szCs w:val="32"/>
          <w:highlight w:val="none"/>
          <w:lang w:eastAsia="zh-CN"/>
        </w:rPr>
        <w:t>中小企业</w:t>
      </w:r>
      <w:r>
        <w:rPr>
          <w:rFonts w:hint="default" w:ascii="Times New Roman" w:hAnsi="Times New Roman" w:eastAsia="仿宋_GB2312" w:cs="Times New Roman"/>
          <w:b w:val="0"/>
          <w:bCs w:val="0"/>
          <w:color w:val="auto"/>
          <w:spacing w:val="0"/>
          <w:w w:val="100"/>
          <w:sz w:val="32"/>
          <w:szCs w:val="32"/>
          <w:highlight w:val="none"/>
          <w:lang w:val="en-US" w:eastAsia="zh-CN"/>
        </w:rPr>
        <w:t>-</w:t>
      </w:r>
      <w:r>
        <w:rPr>
          <w:rFonts w:hint="default" w:ascii="Times New Roman" w:hAnsi="Times New Roman" w:eastAsia="仿宋_GB2312" w:cs="Times New Roman"/>
          <w:b w:val="0"/>
          <w:bCs w:val="0"/>
          <w:color w:val="auto"/>
          <w:spacing w:val="0"/>
          <w:w w:val="100"/>
          <w:sz w:val="32"/>
          <w:szCs w:val="32"/>
          <w:highlight w:val="none"/>
        </w:rPr>
        <w:t>专精特新</w:t>
      </w:r>
      <w:r>
        <w:rPr>
          <w:rFonts w:hint="default" w:ascii="Times New Roman" w:hAnsi="Times New Roman" w:eastAsia="仿宋_GB2312" w:cs="Times New Roman"/>
          <w:b w:val="0"/>
          <w:bCs w:val="0"/>
          <w:color w:val="auto"/>
          <w:spacing w:val="0"/>
          <w:w w:val="100"/>
          <w:sz w:val="32"/>
          <w:szCs w:val="32"/>
          <w:highlight w:val="none"/>
          <w:lang w:eastAsia="zh-CN"/>
        </w:rPr>
        <w:t>中小企业</w:t>
      </w:r>
      <w:r>
        <w:rPr>
          <w:rFonts w:hint="default" w:ascii="Times New Roman" w:hAnsi="Times New Roman" w:eastAsia="仿宋_GB2312" w:cs="Times New Roman"/>
          <w:b w:val="0"/>
          <w:bCs w:val="0"/>
          <w:color w:val="auto"/>
          <w:spacing w:val="0"/>
          <w:w w:val="100"/>
          <w:sz w:val="32"/>
          <w:szCs w:val="32"/>
          <w:highlight w:val="none"/>
        </w:rPr>
        <w:t>、</w:t>
      </w:r>
      <w:r>
        <w:rPr>
          <w:rFonts w:hint="default" w:ascii="Times New Roman" w:hAnsi="Times New Roman" w:eastAsia="仿宋_GB2312" w:cs="Times New Roman"/>
          <w:b w:val="0"/>
          <w:bCs w:val="0"/>
          <w:color w:val="auto"/>
          <w:spacing w:val="0"/>
          <w:w w:val="100"/>
          <w:sz w:val="32"/>
          <w:szCs w:val="32"/>
          <w:highlight w:val="none"/>
          <w:lang w:eastAsia="zh-CN"/>
        </w:rPr>
        <w:t>专精特新“</w:t>
      </w:r>
      <w:r>
        <w:rPr>
          <w:rFonts w:hint="default" w:ascii="Times New Roman" w:hAnsi="Times New Roman" w:eastAsia="仿宋_GB2312" w:cs="Times New Roman"/>
          <w:b w:val="0"/>
          <w:bCs w:val="0"/>
          <w:color w:val="auto"/>
          <w:spacing w:val="0"/>
          <w:w w:val="100"/>
          <w:sz w:val="32"/>
          <w:szCs w:val="32"/>
          <w:highlight w:val="none"/>
        </w:rPr>
        <w:t>小巨人</w:t>
      </w:r>
      <w:r>
        <w:rPr>
          <w:rFonts w:hint="default" w:ascii="Times New Roman" w:hAnsi="Times New Roman" w:eastAsia="仿宋_GB2312" w:cs="Times New Roman"/>
          <w:b w:val="0"/>
          <w:bCs w:val="0"/>
          <w:color w:val="auto"/>
          <w:spacing w:val="0"/>
          <w:w w:val="100"/>
          <w:sz w:val="32"/>
          <w:szCs w:val="32"/>
          <w:highlight w:val="none"/>
          <w:lang w:eastAsia="zh-CN"/>
        </w:rPr>
        <w:t>”企业</w:t>
      </w:r>
      <w:r>
        <w:rPr>
          <w:rFonts w:hint="default" w:ascii="Times New Roman" w:hAnsi="Times New Roman" w:eastAsia="仿宋_GB2312" w:cs="Times New Roman"/>
          <w:b w:val="0"/>
          <w:bCs w:val="0"/>
          <w:color w:val="auto"/>
          <w:spacing w:val="0"/>
          <w:w w:val="100"/>
          <w:sz w:val="32"/>
          <w:szCs w:val="32"/>
          <w:highlight w:val="none"/>
          <w:lang w:val="en-US" w:eastAsia="zh-CN"/>
        </w:rPr>
        <w:t>－</w:t>
      </w:r>
      <w:r>
        <w:rPr>
          <w:rFonts w:hint="default" w:ascii="Times New Roman" w:hAnsi="Times New Roman" w:eastAsia="仿宋_GB2312" w:cs="Times New Roman"/>
          <w:b w:val="0"/>
          <w:bCs w:val="0"/>
          <w:color w:val="auto"/>
          <w:spacing w:val="0"/>
          <w:w w:val="100"/>
          <w:sz w:val="32"/>
          <w:szCs w:val="32"/>
          <w:highlight w:val="none"/>
          <w:lang w:eastAsia="zh-CN"/>
        </w:rPr>
        <w:t>制造业</w:t>
      </w:r>
      <w:r>
        <w:rPr>
          <w:rFonts w:hint="default" w:ascii="Times New Roman" w:hAnsi="Times New Roman" w:eastAsia="仿宋_GB2312" w:cs="Times New Roman"/>
          <w:b w:val="0"/>
          <w:bCs w:val="0"/>
          <w:color w:val="auto"/>
          <w:spacing w:val="0"/>
          <w:w w:val="100"/>
          <w:sz w:val="32"/>
          <w:szCs w:val="32"/>
          <w:highlight w:val="none"/>
        </w:rPr>
        <w:t>单项冠军</w:t>
      </w:r>
      <w:r>
        <w:rPr>
          <w:rFonts w:hint="default" w:ascii="Times New Roman" w:hAnsi="Times New Roman" w:eastAsia="仿宋_GB2312" w:cs="Times New Roman"/>
          <w:b w:val="0"/>
          <w:bCs w:val="0"/>
          <w:color w:val="auto"/>
          <w:spacing w:val="0"/>
          <w:w w:val="100"/>
          <w:sz w:val="32"/>
          <w:szCs w:val="32"/>
          <w:highlight w:val="none"/>
          <w:lang w:eastAsia="zh-CN"/>
        </w:rPr>
        <w:t>的梯度培育，坚持抓早抓小，持续跟踪培育，</w:t>
      </w:r>
      <w:r>
        <w:rPr>
          <w:rFonts w:hint="default" w:ascii="Times New Roman" w:hAnsi="Times New Roman" w:eastAsia="仿宋_GB2312" w:cs="Times New Roman"/>
          <w:b w:val="0"/>
          <w:bCs w:val="0"/>
          <w:color w:val="auto"/>
          <w:spacing w:val="0"/>
          <w:w w:val="100"/>
          <w:sz w:val="32"/>
          <w:szCs w:val="32"/>
          <w:highlight w:val="none"/>
        </w:rPr>
        <w:t>实施精准指导</w:t>
      </w:r>
      <w:r>
        <w:rPr>
          <w:rFonts w:hint="default" w:ascii="Times New Roman" w:hAnsi="Times New Roman" w:eastAsia="仿宋_GB2312" w:cs="Times New Roman"/>
          <w:b w:val="0"/>
          <w:bCs w:val="0"/>
          <w:color w:val="auto"/>
          <w:spacing w:val="0"/>
          <w:w w:val="100"/>
          <w:sz w:val="32"/>
          <w:szCs w:val="32"/>
          <w:highlight w:val="none"/>
          <w:lang w:eastAsia="zh-CN"/>
        </w:rPr>
        <w:t>、</w:t>
      </w:r>
      <w:r>
        <w:rPr>
          <w:rFonts w:hint="default" w:ascii="Times New Roman" w:hAnsi="Times New Roman" w:eastAsia="仿宋_GB2312" w:cs="Times New Roman"/>
          <w:b w:val="0"/>
          <w:bCs w:val="0"/>
          <w:color w:val="auto"/>
          <w:spacing w:val="0"/>
          <w:w w:val="100"/>
          <w:sz w:val="32"/>
          <w:szCs w:val="32"/>
          <w:highlight w:val="none"/>
        </w:rPr>
        <w:t>常态化帮扶</w:t>
      </w:r>
      <w:r>
        <w:rPr>
          <w:rFonts w:hint="default" w:ascii="Times New Roman" w:hAnsi="Times New Roman" w:eastAsia="仿宋_GB2312" w:cs="Times New Roman"/>
          <w:b w:val="0"/>
          <w:bCs w:val="0"/>
          <w:color w:val="auto"/>
          <w:spacing w:val="0"/>
          <w:w w:val="100"/>
          <w:sz w:val="32"/>
          <w:szCs w:val="32"/>
          <w:highlight w:val="none"/>
          <w:lang w:eastAsia="zh-CN"/>
        </w:rPr>
        <w:t>和分层</w:t>
      </w:r>
      <w:r>
        <w:rPr>
          <w:rFonts w:hint="default" w:ascii="Times New Roman" w:hAnsi="Times New Roman" w:eastAsia="仿宋_GB2312" w:cs="Times New Roman"/>
          <w:b w:val="0"/>
          <w:bCs w:val="0"/>
          <w:color w:val="auto"/>
          <w:spacing w:val="0"/>
          <w:w w:val="100"/>
          <w:sz w:val="32"/>
          <w:szCs w:val="32"/>
          <w:highlight w:val="none"/>
        </w:rPr>
        <w:t>分类服务。</w:t>
      </w:r>
      <w:r>
        <w:rPr>
          <w:rFonts w:hint="default" w:ascii="Times New Roman" w:hAnsi="Times New Roman" w:eastAsia="仿宋_GB2312" w:cs="Times New Roman"/>
          <w:b w:val="0"/>
          <w:bCs w:val="0"/>
          <w:color w:val="auto"/>
          <w:spacing w:val="0"/>
          <w:w w:val="100"/>
          <w:sz w:val="32"/>
          <w:szCs w:val="32"/>
          <w:highlight w:val="none"/>
          <w:lang w:val="en-US" w:eastAsia="zh-CN"/>
        </w:rPr>
        <w:t>完善“微成长、小升高、高变强”的科技型企业梯次培育机制，集中优势科技资源，着力培育一批创新龙头企业、瞪羚企业、高新技术企业和科技型中小企业。</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发展改革委、</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财政</w:t>
      </w:r>
      <w:r>
        <w:rPr>
          <w:rFonts w:hint="default" w:ascii="Times New Roman" w:hAnsi="Times New Roman" w:eastAsia="楷体_GB2312" w:cs="Times New Roman"/>
          <w:b w:val="0"/>
          <w:bCs w:val="0"/>
          <w:color w:val="auto"/>
          <w:spacing w:val="0"/>
          <w:w w:val="100"/>
          <w:sz w:val="32"/>
          <w:szCs w:val="32"/>
          <w:highlight w:val="none"/>
          <w:lang w:eastAsia="zh-CN"/>
        </w:rPr>
        <w:t>局</w:t>
      </w:r>
      <w:r>
        <w:rPr>
          <w:rFonts w:hint="default" w:ascii="Times New Roman" w:hAnsi="Times New Roman" w:eastAsia="楷体_GB2312" w:cs="Times New Roman"/>
          <w:b w:val="0"/>
          <w:bCs w:val="0"/>
          <w:color w:val="auto"/>
          <w:spacing w:val="0"/>
          <w:w w:val="100"/>
          <w:sz w:val="32"/>
          <w:szCs w:val="32"/>
          <w:highlight w:val="none"/>
        </w:rPr>
        <w:t>、</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科技</w:t>
      </w:r>
      <w:r>
        <w:rPr>
          <w:rFonts w:hint="default" w:ascii="Times New Roman" w:hAnsi="Times New Roman" w:eastAsia="楷体_GB2312" w:cs="Times New Roman"/>
          <w:b w:val="0"/>
          <w:bCs w:val="0"/>
          <w:color w:val="auto"/>
          <w:spacing w:val="0"/>
          <w:w w:val="100"/>
          <w:sz w:val="32"/>
          <w:szCs w:val="32"/>
          <w:highlight w:val="none"/>
          <w:lang w:eastAsia="zh-CN"/>
        </w:rPr>
        <w:t>局</w:t>
      </w:r>
      <w:r>
        <w:rPr>
          <w:rFonts w:hint="default" w:ascii="Times New Roman" w:hAnsi="Times New Roman" w:eastAsia="楷体_GB2312" w:cs="Times New Roman"/>
          <w:b w:val="0"/>
          <w:bCs w:val="0"/>
          <w:color w:val="auto"/>
          <w:spacing w:val="0"/>
          <w:w w:val="100"/>
          <w:sz w:val="32"/>
          <w:szCs w:val="32"/>
          <w:highlight w:val="none"/>
        </w:rPr>
        <w:t>、</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工信</w:t>
      </w:r>
      <w:r>
        <w:rPr>
          <w:rFonts w:hint="default" w:ascii="Times New Roman" w:hAnsi="Times New Roman" w:eastAsia="楷体_GB2312" w:cs="Times New Roman"/>
          <w:b w:val="0"/>
          <w:bCs w:val="0"/>
          <w:color w:val="auto"/>
          <w:spacing w:val="0"/>
          <w:w w:val="100"/>
          <w:sz w:val="32"/>
          <w:szCs w:val="32"/>
          <w:highlight w:val="none"/>
          <w:lang w:eastAsia="zh-CN"/>
        </w:rPr>
        <w:t>局</w:t>
      </w:r>
      <w:r>
        <w:rPr>
          <w:rFonts w:hint="default" w:ascii="Times New Roman" w:hAnsi="Times New Roman" w:eastAsia="楷体_GB2312" w:cs="Times New Roman"/>
          <w:b w:val="0"/>
          <w:bCs w:val="0"/>
          <w:color w:val="auto"/>
          <w:spacing w:val="0"/>
          <w:w w:val="100"/>
          <w:sz w:val="32"/>
          <w:szCs w:val="32"/>
          <w:highlight w:val="none"/>
        </w:rPr>
        <w:t>等按职责分工负责</w:t>
      </w:r>
      <w:r>
        <w:rPr>
          <w:rFonts w:hint="default" w:ascii="Times New Roman" w:hAnsi="Times New Roman" w:eastAsia="楷体_GB2312" w:cs="Times New Roman"/>
          <w:b w:val="0"/>
          <w:bCs w:val="0"/>
          <w:color w:val="auto"/>
          <w:spacing w:val="0"/>
          <w:w w:val="100"/>
          <w:sz w:val="32"/>
          <w:szCs w:val="32"/>
          <w:highlight w:val="none"/>
          <w:lang w:eastAsia="zh-CN"/>
        </w:rPr>
        <w:t>）</w:t>
      </w:r>
    </w:p>
    <w:p w14:paraId="6298F01E">
      <w:pPr>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43" w:firstLineChars="200"/>
        <w:jc w:val="both"/>
        <w:textAlignment w:val="baseline"/>
        <w:outlineLvl w:val="1"/>
        <w:rPr>
          <w:rFonts w:hint="default" w:ascii="Times New Roman" w:hAnsi="Times New Roman" w:eastAsia="楷体_GB2312" w:cs="Times New Roman"/>
          <w:b/>
          <w:bCs/>
          <w:color w:val="FF0000"/>
          <w:spacing w:val="0"/>
          <w:w w:val="100"/>
          <w:sz w:val="32"/>
          <w:szCs w:val="32"/>
          <w:highlight w:val="none"/>
        </w:rPr>
      </w:pPr>
      <w:r>
        <w:rPr>
          <w:rFonts w:hint="default" w:ascii="Times New Roman" w:hAnsi="Times New Roman" w:eastAsia="楷体_GB2312" w:cs="Times New Roman"/>
          <w:b/>
          <w:bCs/>
          <w:color w:val="auto"/>
          <w:spacing w:val="0"/>
          <w:w w:val="100"/>
          <w:sz w:val="32"/>
          <w:szCs w:val="32"/>
          <w:highlight w:val="none"/>
          <w:lang w:eastAsia="zh-CN"/>
        </w:rPr>
        <w:t>（二）打造公平竞争市场环境</w:t>
      </w:r>
    </w:p>
    <w:p w14:paraId="10EA3BE2">
      <w:pPr>
        <w:pStyle w:val="2"/>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43" w:firstLineChars="200"/>
        <w:jc w:val="both"/>
        <w:textAlignment w:val="baseline"/>
        <w:rPr>
          <w:rFonts w:hint="default" w:ascii="Times New Roman" w:hAnsi="Times New Roman" w:eastAsia="仿宋_GB2312" w:cs="Times New Roman"/>
          <w:b w:val="0"/>
          <w:bCs w:val="0"/>
          <w:color w:val="auto"/>
          <w:spacing w:val="0"/>
          <w:w w:val="100"/>
          <w:sz w:val="32"/>
          <w:szCs w:val="32"/>
          <w:highlight w:val="none"/>
        </w:rPr>
      </w:pPr>
      <w:r>
        <w:rPr>
          <w:rFonts w:hint="default" w:ascii="Times New Roman" w:hAnsi="Times New Roman" w:eastAsia="仿宋_GB2312" w:cs="Times New Roman"/>
          <w:b/>
          <w:bCs/>
          <w:snapToGrid w:val="0"/>
          <w:color w:val="auto"/>
          <w:spacing w:val="0"/>
          <w:w w:val="100"/>
          <w:kern w:val="0"/>
          <w:sz w:val="32"/>
          <w:szCs w:val="32"/>
          <w:highlight w:val="none"/>
          <w:lang w:val="en-US" w:eastAsia="zh-CN" w:bidi="ar-SA"/>
        </w:rPr>
        <w:t>1.落实负面清单管理制度。</w:t>
      </w:r>
      <w:r>
        <w:rPr>
          <w:rFonts w:hint="default" w:ascii="Times New Roman" w:hAnsi="Times New Roman" w:eastAsia="仿宋_GB2312" w:cs="Times New Roman"/>
          <w:snapToGrid w:val="0"/>
          <w:color w:val="auto"/>
          <w:kern w:val="0"/>
          <w:sz w:val="32"/>
          <w:szCs w:val="32"/>
          <w:highlight w:val="none"/>
          <w:lang w:val="en-US" w:eastAsia="zh-CN" w:bidi="ar-SA"/>
        </w:rPr>
        <w:t>严格落实“全国一张清单”管理要求，确保一单尽列，不得“单外有单”。全面开展限制市场准入的显性和隐性壁垒排查，集中清理整治违规设置市场准入壁垒的各类不合理规定和做法。</w:t>
      </w:r>
      <w:r>
        <w:rPr>
          <w:rFonts w:hint="default" w:ascii="Times New Roman" w:hAnsi="Times New Roman" w:eastAsia="仿宋_GB2312" w:cs="Times New Roman"/>
          <w:b w:val="0"/>
          <w:bCs w:val="0"/>
          <w:color w:val="auto"/>
          <w:spacing w:val="0"/>
          <w:w w:val="100"/>
          <w:sz w:val="32"/>
          <w:szCs w:val="32"/>
          <w:highlight w:val="none"/>
        </w:rPr>
        <w:t>公布违背市场准入负面清单典型问题及线索投诉渠道，广泛收集全市违反全国统一大市场建设问题线索，受理相关问题投诉等，对标国家通报的典型案例开展自查自纠，按照“一案一核查”原则，坚持自查和投诉举报相结合，对违背市场准入负面清单情况进行归集排查，定期通报违背市场准入负面清单的典型案例。</w:t>
      </w:r>
      <w:r>
        <w:rPr>
          <w:rFonts w:hint="default" w:ascii="Times New Roman" w:hAnsi="Times New Roman" w:eastAsia="仿宋_GB2312" w:cs="Times New Roman"/>
          <w:snapToGrid w:val="0"/>
          <w:color w:val="auto"/>
          <w:kern w:val="0"/>
          <w:sz w:val="32"/>
          <w:szCs w:val="32"/>
          <w:highlight w:val="none"/>
          <w:lang w:val="en-US" w:eastAsia="zh-CN" w:bidi="ar-SA"/>
        </w:rPr>
        <w:t>对性质严重案例及相关情况，实行点对点通报约谈。对许可准入事项网上办理，市场准入管理部门细化许可准入标准、流程，制定公布全市行政许可中介服务事项清单，推动经营主体按照规定的条件和方式合规进入。</w:t>
      </w:r>
      <w:r>
        <w:rPr>
          <w:rFonts w:hint="default" w:ascii="Times New Roman" w:hAnsi="Times New Roman" w:eastAsia="仿宋_GB2312" w:cs="Times New Roman"/>
          <w:b w:val="0"/>
          <w:bCs w:val="0"/>
          <w:color w:val="auto"/>
          <w:spacing w:val="0"/>
          <w:w w:val="100"/>
          <w:sz w:val="32"/>
          <w:szCs w:val="32"/>
          <w:highlight w:val="none"/>
          <w:lang w:eastAsia="zh-CN"/>
        </w:rPr>
        <w:t>坚决查处违法违规进入或对备案管理事项变相设立许可等相关行为。</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发展改革委、</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商务</w:t>
      </w:r>
      <w:r>
        <w:rPr>
          <w:rFonts w:hint="default" w:ascii="Times New Roman" w:hAnsi="Times New Roman" w:eastAsia="楷体_GB2312" w:cs="Times New Roman"/>
          <w:b w:val="0"/>
          <w:bCs w:val="0"/>
          <w:color w:val="auto"/>
          <w:spacing w:val="0"/>
          <w:w w:val="100"/>
          <w:sz w:val="32"/>
          <w:szCs w:val="32"/>
          <w:highlight w:val="none"/>
          <w:lang w:eastAsia="zh-CN"/>
        </w:rPr>
        <w:t>局</w:t>
      </w:r>
      <w:r>
        <w:rPr>
          <w:rFonts w:hint="default" w:ascii="Times New Roman" w:hAnsi="Times New Roman" w:eastAsia="楷体_GB2312" w:cs="Times New Roman"/>
          <w:b w:val="0"/>
          <w:bCs w:val="0"/>
          <w:color w:val="auto"/>
          <w:spacing w:val="0"/>
          <w:w w:val="100"/>
          <w:sz w:val="32"/>
          <w:szCs w:val="32"/>
          <w:highlight w:val="none"/>
        </w:rPr>
        <w:t>、</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行政审批</w:t>
      </w:r>
      <w:r>
        <w:rPr>
          <w:rFonts w:hint="default" w:ascii="Times New Roman" w:hAnsi="Times New Roman" w:eastAsia="楷体_GB2312" w:cs="Times New Roman"/>
          <w:b w:val="0"/>
          <w:bCs w:val="0"/>
          <w:color w:val="auto"/>
          <w:spacing w:val="0"/>
          <w:w w:val="100"/>
          <w:sz w:val="32"/>
          <w:szCs w:val="32"/>
          <w:highlight w:val="none"/>
          <w:lang w:eastAsia="zh-CN"/>
        </w:rPr>
        <w:t>和</w:t>
      </w:r>
      <w:r>
        <w:rPr>
          <w:rFonts w:hint="default" w:ascii="Times New Roman" w:hAnsi="Times New Roman" w:eastAsia="楷体_GB2312" w:cs="Times New Roman"/>
          <w:b w:val="0"/>
          <w:bCs w:val="0"/>
          <w:color w:val="auto"/>
          <w:spacing w:val="0"/>
          <w:w w:val="100"/>
          <w:sz w:val="32"/>
          <w:szCs w:val="32"/>
          <w:highlight w:val="none"/>
        </w:rPr>
        <w:t>政务信息管理局等按职责分工负责</w:t>
      </w:r>
      <w:r>
        <w:rPr>
          <w:rFonts w:hint="default" w:ascii="Times New Roman" w:hAnsi="Times New Roman" w:eastAsia="楷体_GB2312" w:cs="Times New Roman"/>
          <w:b w:val="0"/>
          <w:bCs w:val="0"/>
          <w:color w:val="auto"/>
          <w:spacing w:val="0"/>
          <w:w w:val="100"/>
          <w:sz w:val="32"/>
          <w:szCs w:val="32"/>
          <w:highlight w:val="none"/>
          <w:lang w:eastAsia="zh-CN"/>
        </w:rPr>
        <w:t>）</w:t>
      </w:r>
    </w:p>
    <w:p w14:paraId="760EF893">
      <w:pPr>
        <w:keepNext w:val="0"/>
        <w:keepLines w:val="0"/>
        <w:pageBreakBefore w:val="0"/>
        <w:widowControl w:val="0"/>
        <w:suppressLineNumbers w:val="0"/>
        <w:kinsoku/>
        <w:wordWrap/>
        <w:overflowPunct/>
        <w:topLinePunct w:val="0"/>
        <w:autoSpaceDE w:val="0"/>
        <w:autoSpaceDN w:val="0"/>
        <w:bidi w:val="0"/>
        <w:adjustRightInd w:val="0"/>
        <w:snapToGrid w:val="0"/>
        <w:spacing w:line="580" w:lineRule="exact"/>
        <w:ind w:firstLine="643" w:firstLineChars="200"/>
        <w:jc w:val="both"/>
        <w:textAlignment w:val="baseline"/>
        <w:rPr>
          <w:rFonts w:hint="default" w:ascii="Times New Roman" w:hAnsi="Times New Roman" w:eastAsia="楷体_GB2312" w:cs="Times New Roman"/>
          <w:b w:val="0"/>
          <w:bCs w:val="0"/>
          <w:color w:val="auto"/>
          <w:spacing w:val="0"/>
          <w:w w:val="100"/>
          <w:sz w:val="32"/>
          <w:szCs w:val="32"/>
          <w:highlight w:val="none"/>
          <w:lang w:eastAsia="zh-CN"/>
        </w:rPr>
      </w:pPr>
      <w:r>
        <w:rPr>
          <w:rFonts w:hint="default" w:ascii="Times New Roman" w:hAnsi="Times New Roman" w:eastAsia="仿宋_GB2312" w:cs="Times New Roman"/>
          <w:b/>
          <w:bCs/>
          <w:snapToGrid w:val="0"/>
          <w:color w:val="auto"/>
          <w:spacing w:val="0"/>
          <w:w w:val="100"/>
          <w:kern w:val="0"/>
          <w:sz w:val="32"/>
          <w:szCs w:val="32"/>
          <w:highlight w:val="none"/>
          <w:lang w:val="en-US" w:eastAsia="zh-CN" w:bidi="ar-SA"/>
        </w:rPr>
        <w:t>2.持续优化市场准入环境。</w:t>
      </w:r>
      <w:r>
        <w:rPr>
          <w:rFonts w:hint="default" w:ascii="Times New Roman" w:hAnsi="Times New Roman" w:eastAsia="仿宋_GB2312" w:cs="Times New Roman"/>
          <w:snapToGrid w:val="0"/>
          <w:color w:val="auto"/>
          <w:kern w:val="0"/>
          <w:sz w:val="32"/>
          <w:szCs w:val="32"/>
          <w:highlight w:val="none"/>
          <w:lang w:val="en-US" w:eastAsia="zh-CN" w:bidi="ar-SA"/>
        </w:rPr>
        <w:t>聚焦生命健康、新型能源、人工智能、信息安全等新业态新领域，积极落实国家准入政策，提高准入效率。对不涉及国家安全、社会稳定，可以依靠市场充分竞争提升供给质量的服务业行业领域逐步取消准入限制；对涉及重要民生领域的教育、卫生、体育等行业，按照国家有关要求，稳妥放宽准入限制；优化养老、托育、助残等行业准入标准。清理不合理的服务业经营主体准入限制，破除跨地区经营行政壁垒，放宽服务业经营主体从事经营活动的资质、股权比例、注册资金等要求，不得在环保、卫生、安保、质检、消防等方面违规设置准入障碍。</w:t>
      </w:r>
      <w:r>
        <w:rPr>
          <w:rFonts w:hint="default" w:ascii="Times New Roman" w:hAnsi="Times New Roman" w:eastAsia="仿宋_GB2312" w:cs="Times New Roman"/>
          <w:b w:val="0"/>
          <w:bCs w:val="0"/>
          <w:color w:val="auto"/>
          <w:spacing w:val="0"/>
          <w:w w:val="100"/>
          <w:sz w:val="32"/>
          <w:szCs w:val="32"/>
          <w:highlight w:val="none"/>
          <w:lang w:val="en-US" w:eastAsia="zh-CN"/>
        </w:rPr>
        <w:t>推动市场准入相关中介服务事项网上公开办理。</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发展改革委牵头，</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直各行业主管部门按职责分工负责</w:t>
      </w:r>
      <w:r>
        <w:rPr>
          <w:rFonts w:hint="default" w:ascii="Times New Roman" w:hAnsi="Times New Roman" w:eastAsia="楷体_GB2312" w:cs="Times New Roman"/>
          <w:b w:val="0"/>
          <w:bCs w:val="0"/>
          <w:color w:val="auto"/>
          <w:spacing w:val="0"/>
          <w:w w:val="100"/>
          <w:sz w:val="32"/>
          <w:szCs w:val="32"/>
          <w:highlight w:val="none"/>
          <w:lang w:eastAsia="zh-CN"/>
        </w:rPr>
        <w:t>）</w:t>
      </w:r>
    </w:p>
    <w:p w14:paraId="55B8ED2C">
      <w:pPr>
        <w:pStyle w:val="2"/>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43" w:firstLineChars="200"/>
        <w:jc w:val="both"/>
        <w:textAlignment w:val="baseline"/>
        <w:rPr>
          <w:rFonts w:hint="default" w:ascii="Times New Roman" w:hAnsi="Times New Roman" w:cs="Times New Roman"/>
          <w:sz w:val="32"/>
          <w:szCs w:val="32"/>
          <w:lang w:eastAsia="zh-CN"/>
        </w:rPr>
      </w:pPr>
      <w:r>
        <w:rPr>
          <w:rFonts w:hint="default" w:ascii="Times New Roman" w:hAnsi="Times New Roman" w:eastAsia="仿宋_GB2312" w:cs="Times New Roman"/>
          <w:b/>
          <w:bCs/>
          <w:color w:val="auto"/>
          <w:spacing w:val="0"/>
          <w:w w:val="100"/>
          <w:sz w:val="32"/>
          <w:szCs w:val="32"/>
          <w:highlight w:val="none"/>
          <w:lang w:val="en-US" w:eastAsia="zh-CN"/>
        </w:rPr>
        <w:t>3</w:t>
      </w:r>
      <w:r>
        <w:rPr>
          <w:rFonts w:hint="default" w:ascii="Times New Roman" w:hAnsi="Times New Roman" w:eastAsia="仿宋_GB2312" w:cs="Times New Roman"/>
          <w:b/>
          <w:bCs/>
          <w:color w:val="auto"/>
          <w:spacing w:val="0"/>
          <w:w w:val="100"/>
          <w:sz w:val="32"/>
          <w:szCs w:val="32"/>
          <w:highlight w:val="none"/>
        </w:rPr>
        <w:t>.</w:t>
      </w:r>
      <w:r>
        <w:rPr>
          <w:rFonts w:hint="default" w:ascii="Times New Roman" w:hAnsi="Times New Roman" w:eastAsia="仿宋_GB2312" w:cs="Times New Roman"/>
          <w:b/>
          <w:bCs/>
          <w:color w:val="auto"/>
          <w:spacing w:val="0"/>
          <w:w w:val="100"/>
          <w:sz w:val="32"/>
          <w:szCs w:val="32"/>
          <w:highlight w:val="none"/>
          <w:lang w:eastAsia="zh-CN"/>
        </w:rPr>
        <w:t>组织</w:t>
      </w:r>
      <w:r>
        <w:rPr>
          <w:rFonts w:hint="default" w:ascii="Times New Roman" w:hAnsi="Times New Roman" w:eastAsia="仿宋_GB2312" w:cs="Times New Roman"/>
          <w:b/>
          <w:bCs/>
          <w:color w:val="auto"/>
          <w:spacing w:val="0"/>
          <w:w w:val="100"/>
          <w:sz w:val="32"/>
          <w:szCs w:val="32"/>
          <w:highlight w:val="none"/>
        </w:rPr>
        <w:t>市场准入效能评估。</w:t>
      </w:r>
      <w:r>
        <w:rPr>
          <w:rFonts w:hint="default" w:ascii="Times New Roman" w:hAnsi="Times New Roman" w:eastAsia="仿宋_GB2312" w:cs="Times New Roman"/>
          <w:b w:val="0"/>
          <w:bCs w:val="0"/>
          <w:snapToGrid w:val="0"/>
          <w:color w:val="auto"/>
          <w:spacing w:val="0"/>
          <w:w w:val="100"/>
          <w:kern w:val="0"/>
          <w:sz w:val="32"/>
          <w:szCs w:val="32"/>
          <w:highlight w:val="none"/>
          <w:lang w:val="en-US" w:eastAsia="zh-CN" w:bidi="ar-SA"/>
        </w:rPr>
        <w:t>对照省市场准入效能评估指标体系，完善市场准入效能评估工作机制，坚持以评促改、以评促建，全面推动各项制度落地落实，提升市场准入效能。</w:t>
      </w:r>
      <w:r>
        <w:rPr>
          <w:rFonts w:hint="default" w:ascii="Times New Roman" w:hAnsi="Times New Roman" w:eastAsia="仿宋_GB2312" w:cs="Times New Roman"/>
          <w:b w:val="0"/>
          <w:bCs w:val="0"/>
          <w:color w:val="auto"/>
          <w:spacing w:val="0"/>
          <w:w w:val="100"/>
          <w:sz w:val="32"/>
          <w:szCs w:val="32"/>
          <w:highlight w:val="none"/>
        </w:rPr>
        <w:t>2026年</w:t>
      </w:r>
      <w:r>
        <w:rPr>
          <w:rFonts w:hint="default" w:ascii="Times New Roman" w:hAnsi="Times New Roman" w:eastAsia="仿宋_GB2312" w:cs="Times New Roman"/>
          <w:b w:val="0"/>
          <w:bCs w:val="0"/>
          <w:color w:val="auto"/>
          <w:spacing w:val="0"/>
          <w:w w:val="100"/>
          <w:sz w:val="32"/>
          <w:szCs w:val="32"/>
          <w:highlight w:val="none"/>
          <w:lang w:eastAsia="zh-CN"/>
        </w:rPr>
        <w:t>，</w:t>
      </w:r>
      <w:r>
        <w:rPr>
          <w:rFonts w:hint="default" w:ascii="Times New Roman" w:hAnsi="Times New Roman" w:eastAsia="仿宋_GB2312" w:cs="Times New Roman"/>
          <w:b w:val="0"/>
          <w:bCs w:val="0"/>
          <w:color w:val="auto"/>
          <w:spacing w:val="0"/>
          <w:w w:val="100"/>
          <w:sz w:val="32"/>
          <w:szCs w:val="32"/>
          <w:highlight w:val="none"/>
        </w:rPr>
        <w:t>实现市县</w:t>
      </w:r>
      <w:r>
        <w:rPr>
          <w:rFonts w:hint="default" w:ascii="Times New Roman" w:hAnsi="Times New Roman" w:eastAsia="仿宋_GB2312" w:cs="Times New Roman"/>
          <w:b w:val="0"/>
          <w:bCs w:val="0"/>
          <w:color w:val="auto"/>
          <w:spacing w:val="0"/>
          <w:w w:val="100"/>
          <w:sz w:val="32"/>
          <w:szCs w:val="32"/>
          <w:highlight w:val="none"/>
          <w:lang w:eastAsia="zh-CN"/>
        </w:rPr>
        <w:t>统一联动</w:t>
      </w:r>
      <w:r>
        <w:rPr>
          <w:rFonts w:hint="default" w:ascii="Times New Roman" w:hAnsi="Times New Roman" w:eastAsia="仿宋_GB2312" w:cs="Times New Roman"/>
          <w:b w:val="0"/>
          <w:bCs w:val="0"/>
          <w:color w:val="auto"/>
          <w:spacing w:val="0"/>
          <w:w w:val="100"/>
          <w:sz w:val="32"/>
          <w:szCs w:val="32"/>
          <w:highlight w:val="none"/>
        </w:rPr>
        <w:t>市场准入效能评估全覆盖。</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发展改革委牵头负责</w:t>
      </w:r>
      <w:r>
        <w:rPr>
          <w:rFonts w:hint="default" w:ascii="Times New Roman" w:hAnsi="Times New Roman" w:eastAsia="楷体_GB2312" w:cs="Times New Roman"/>
          <w:b w:val="0"/>
          <w:bCs w:val="0"/>
          <w:color w:val="auto"/>
          <w:spacing w:val="0"/>
          <w:w w:val="100"/>
          <w:sz w:val="32"/>
          <w:szCs w:val="32"/>
          <w:highlight w:val="none"/>
          <w:lang w:eastAsia="zh-CN"/>
        </w:rPr>
        <w:t>）</w:t>
      </w:r>
    </w:p>
    <w:p w14:paraId="5F0A88FE">
      <w:pPr>
        <w:pStyle w:val="2"/>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43" w:firstLineChars="200"/>
        <w:jc w:val="both"/>
        <w:textAlignment w:val="baseline"/>
        <w:rPr>
          <w:rFonts w:hint="default" w:ascii="Times New Roman" w:hAnsi="Times New Roman" w:eastAsia="仿宋_GB2312" w:cs="Times New Roman"/>
          <w:b w:val="0"/>
          <w:bCs w:val="0"/>
          <w:color w:val="auto"/>
          <w:spacing w:val="0"/>
          <w:w w:val="100"/>
          <w:sz w:val="32"/>
          <w:szCs w:val="32"/>
          <w:highlight w:val="none"/>
        </w:rPr>
      </w:pPr>
      <w:r>
        <w:rPr>
          <w:rFonts w:hint="default" w:ascii="Times New Roman" w:hAnsi="Times New Roman" w:eastAsia="仿宋_GB2312" w:cs="Times New Roman"/>
          <w:b/>
          <w:bCs/>
          <w:color w:val="auto"/>
          <w:spacing w:val="0"/>
          <w:w w:val="100"/>
          <w:sz w:val="32"/>
          <w:szCs w:val="32"/>
          <w:highlight w:val="none"/>
          <w:lang w:val="en-US" w:eastAsia="zh-CN"/>
        </w:rPr>
        <w:t>4</w:t>
      </w:r>
      <w:r>
        <w:rPr>
          <w:rFonts w:hint="default" w:ascii="Times New Roman" w:hAnsi="Times New Roman" w:eastAsia="仿宋_GB2312" w:cs="Times New Roman"/>
          <w:b/>
          <w:bCs/>
          <w:color w:val="auto"/>
          <w:spacing w:val="0"/>
          <w:w w:val="100"/>
          <w:sz w:val="32"/>
          <w:szCs w:val="32"/>
          <w:highlight w:val="none"/>
        </w:rPr>
        <w:t>.</w:t>
      </w:r>
      <w:r>
        <w:rPr>
          <w:rFonts w:hint="default" w:ascii="Times New Roman" w:hAnsi="Times New Roman" w:eastAsia="楷体_GB2312" w:cs="Times New Roman"/>
          <w:b/>
          <w:bCs/>
          <w:color w:val="auto"/>
          <w:sz w:val="32"/>
          <w:szCs w:val="32"/>
          <w:highlight w:val="none"/>
          <w:lang w:val="en-US" w:eastAsia="zh-CN"/>
        </w:rPr>
        <w:t>完善公平竞争审查工作机制</w:t>
      </w:r>
      <w:r>
        <w:rPr>
          <w:rFonts w:hint="default" w:ascii="Times New Roman" w:hAnsi="Times New Roman" w:eastAsia="仿宋_GB2312" w:cs="Times New Roman"/>
          <w:b/>
          <w:bCs/>
          <w:color w:val="auto"/>
          <w:spacing w:val="0"/>
          <w:w w:val="100"/>
          <w:sz w:val="32"/>
          <w:szCs w:val="32"/>
          <w:highlight w:val="none"/>
        </w:rPr>
        <w:t>。</w:t>
      </w:r>
      <w:r>
        <w:rPr>
          <w:rFonts w:hint="default" w:ascii="Times New Roman" w:hAnsi="Times New Roman" w:eastAsia="仿宋_GB2312" w:cs="Times New Roman"/>
          <w:b w:val="0"/>
          <w:bCs w:val="0"/>
          <w:color w:val="auto"/>
          <w:sz w:val="32"/>
          <w:szCs w:val="32"/>
          <w:highlight w:val="none"/>
          <w:lang w:eastAsia="zh-CN"/>
        </w:rPr>
        <w:t>严格落实《公平竞争审查条例》</w:t>
      </w:r>
      <w:r>
        <w:rPr>
          <w:rFonts w:hint="default" w:ascii="Times New Roman" w:hAnsi="Times New Roman" w:eastAsia="仿宋_GB2312" w:cs="Times New Roman"/>
          <w:color w:val="auto"/>
          <w:sz w:val="32"/>
          <w:szCs w:val="32"/>
          <w:highlight w:val="none"/>
          <w:lang w:eastAsia="zh-CN"/>
        </w:rPr>
        <w:t>，提升公平竞争审查能力，将公平竞争审查工作经费纳入本级政府预算。</w:t>
      </w:r>
      <w:r>
        <w:rPr>
          <w:rFonts w:hint="default" w:ascii="Times New Roman" w:hAnsi="Times New Roman" w:eastAsia="仿宋_GB2312" w:cs="Times New Roman"/>
          <w:snapToGrid w:val="0"/>
          <w:color w:val="auto"/>
          <w:kern w:val="0"/>
          <w:sz w:val="32"/>
          <w:szCs w:val="32"/>
          <w:highlight w:val="none"/>
          <w:lang w:val="en-US" w:eastAsia="zh-CN" w:bidi="ar-SA"/>
        </w:rPr>
        <w:t>建立健全公平竞争审查统筹协调、抽查、举报处理等机制，压实公平竞争审查主体责任，严格开展增量政策措施审查。</w:t>
      </w:r>
      <w:r>
        <w:rPr>
          <w:rFonts w:hint="default" w:ascii="Times New Roman" w:hAnsi="Times New Roman" w:eastAsia="仿宋_GB2312" w:cs="Times New Roman"/>
          <w:color w:val="auto"/>
          <w:sz w:val="32"/>
          <w:szCs w:val="32"/>
          <w:highlight w:val="none"/>
          <w:lang w:val="en-US" w:eastAsia="zh-CN"/>
        </w:rPr>
        <w:t>打造“豫见公平”竞争秩序治理信阳品牌，统筹做好增量审查和存量清理，从源头预防排除、限制竞</w:t>
      </w:r>
      <w:r>
        <w:rPr>
          <w:rFonts w:hint="default" w:ascii="Times New Roman" w:hAnsi="Times New Roman" w:eastAsia="仿宋_GB2312" w:cs="Times New Roman"/>
          <w:b w:val="0"/>
          <w:bCs w:val="0"/>
          <w:color w:val="auto"/>
          <w:kern w:val="2"/>
          <w:sz w:val="32"/>
          <w:szCs w:val="32"/>
          <w:highlight w:val="none"/>
          <w:lang w:val="en-US" w:eastAsia="zh-CN" w:bidi="ar-SA"/>
        </w:rPr>
        <w:t>争行为的发生。</w:t>
      </w:r>
      <w:r>
        <w:rPr>
          <w:rFonts w:hint="default" w:ascii="Times New Roman" w:hAnsi="Times New Roman" w:eastAsia="仿宋_GB2312" w:cs="Times New Roman"/>
          <w:b w:val="0"/>
          <w:bCs w:val="0"/>
          <w:color w:val="auto"/>
          <w:sz w:val="32"/>
          <w:szCs w:val="32"/>
          <w:highlight w:val="none"/>
          <w:lang w:val="en-US" w:eastAsia="zh-CN"/>
        </w:rPr>
        <w:t>落实公共资源交易和招标投标领域公平竞争审查制度，加强政府采购文件审核，推进政府采购全过程监管。</w:t>
      </w:r>
      <w:r>
        <w:rPr>
          <w:rFonts w:hint="default" w:ascii="Times New Roman" w:hAnsi="Times New Roman" w:eastAsia="仿宋_GB2312" w:cs="Times New Roman"/>
          <w:snapToGrid w:val="0"/>
          <w:color w:val="auto"/>
          <w:kern w:val="0"/>
          <w:sz w:val="32"/>
          <w:szCs w:val="32"/>
          <w:highlight w:val="none"/>
          <w:lang w:val="en-US" w:eastAsia="zh-CN" w:bidi="ar-SA"/>
        </w:rPr>
        <w:t>及时清理废除妨碍统一市场和公平竞争的政策措施，</w:t>
      </w:r>
      <w:r>
        <w:rPr>
          <w:rFonts w:hint="default" w:ascii="Times New Roman" w:hAnsi="Times New Roman" w:eastAsia="仿宋_GB2312" w:cs="Times New Roman"/>
          <w:b w:val="0"/>
          <w:bCs w:val="0"/>
          <w:color w:val="auto"/>
          <w:sz w:val="32"/>
          <w:szCs w:val="32"/>
          <w:highlight w:val="none"/>
          <w:lang w:val="en-US" w:eastAsia="zh-CN"/>
        </w:rPr>
        <w:t>全面落实公平竞争审查制度，力争</w:t>
      </w:r>
      <w:r>
        <w:rPr>
          <w:rFonts w:hint="default" w:ascii="Times New Roman" w:hAnsi="Times New Roman" w:eastAsia="仿宋_GB2312" w:cs="Times New Roman"/>
          <w:snapToGrid w:val="0"/>
          <w:color w:val="auto"/>
          <w:kern w:val="0"/>
          <w:sz w:val="32"/>
          <w:szCs w:val="32"/>
          <w:highlight w:val="none"/>
          <w:lang w:val="en-US" w:eastAsia="zh-CN" w:bidi="ar-SA"/>
        </w:rPr>
        <w:t>2026年之前公平竞争审查覆盖率达到100%，2027年之前问题文件占比低于3%，2030年之前问题文件占比低于1%。将公平竞争审查工作情况纳入法治政府建设、营商环境评价监测等评价体系。</w:t>
      </w:r>
      <w:r>
        <w:rPr>
          <w:rFonts w:hint="default" w:ascii="Times New Roman" w:hAnsi="Times New Roman" w:eastAsia="楷体_GB2312" w:cs="Times New Roman"/>
          <w:b w:val="0"/>
          <w:bCs w:val="0"/>
          <w:color w:val="auto"/>
          <w:spacing w:val="0"/>
          <w:w w:val="100"/>
          <w:sz w:val="32"/>
          <w:szCs w:val="32"/>
          <w:highlight w:val="none"/>
          <w:lang w:eastAsia="zh-CN"/>
        </w:rPr>
        <w:t>（</w:t>
      </w:r>
      <w:r>
        <w:rPr>
          <w:rFonts w:hint="default" w:ascii="Times New Roman" w:hAnsi="Times New Roman" w:eastAsia="楷体_GB2312" w:cs="Times New Roman"/>
          <w:b w:val="0"/>
          <w:bCs w:val="0"/>
          <w:color w:val="auto"/>
          <w:spacing w:val="0"/>
          <w:w w:val="100"/>
          <w:sz w:val="32"/>
          <w:szCs w:val="32"/>
          <w:highlight w:val="none"/>
          <w:lang w:val="en-US" w:eastAsia="zh-CN"/>
        </w:rPr>
        <w:t>市</w:t>
      </w:r>
      <w:r>
        <w:rPr>
          <w:rFonts w:hint="default" w:ascii="Times New Roman" w:hAnsi="Times New Roman" w:eastAsia="楷体_GB2312" w:cs="Times New Roman"/>
          <w:b w:val="0"/>
          <w:bCs w:val="0"/>
          <w:color w:val="auto"/>
          <w:spacing w:val="0"/>
          <w:w w:val="100"/>
          <w:sz w:val="32"/>
          <w:szCs w:val="32"/>
          <w:highlight w:val="none"/>
        </w:rPr>
        <w:t>市场监管局、</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发展改革委、</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司法</w:t>
      </w:r>
      <w:r>
        <w:rPr>
          <w:rFonts w:hint="default" w:ascii="Times New Roman" w:hAnsi="Times New Roman" w:eastAsia="楷体_GB2312" w:cs="Times New Roman"/>
          <w:b w:val="0"/>
          <w:bCs w:val="0"/>
          <w:color w:val="auto"/>
          <w:spacing w:val="0"/>
          <w:w w:val="100"/>
          <w:sz w:val="32"/>
          <w:szCs w:val="32"/>
          <w:highlight w:val="none"/>
          <w:lang w:eastAsia="zh-CN"/>
        </w:rPr>
        <w:t>局、市财政局</w:t>
      </w:r>
      <w:r>
        <w:rPr>
          <w:rFonts w:hint="default" w:ascii="Times New Roman" w:hAnsi="Times New Roman" w:eastAsia="楷体_GB2312" w:cs="Times New Roman"/>
          <w:b w:val="0"/>
          <w:bCs w:val="0"/>
          <w:color w:val="auto"/>
          <w:spacing w:val="0"/>
          <w:w w:val="100"/>
          <w:sz w:val="32"/>
          <w:szCs w:val="32"/>
          <w:highlight w:val="none"/>
        </w:rPr>
        <w:t>等按职责分工负责</w:t>
      </w:r>
      <w:r>
        <w:rPr>
          <w:rFonts w:hint="default" w:ascii="Times New Roman" w:hAnsi="Times New Roman" w:eastAsia="楷体_GB2312" w:cs="Times New Roman"/>
          <w:b w:val="0"/>
          <w:bCs w:val="0"/>
          <w:color w:val="auto"/>
          <w:spacing w:val="0"/>
          <w:w w:val="100"/>
          <w:sz w:val="32"/>
          <w:szCs w:val="32"/>
          <w:highlight w:val="none"/>
          <w:lang w:eastAsia="zh-CN"/>
        </w:rPr>
        <w:t>）</w:t>
      </w:r>
    </w:p>
    <w:p w14:paraId="579E9998">
      <w:pPr>
        <w:pStyle w:val="2"/>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43" w:firstLineChars="200"/>
        <w:jc w:val="both"/>
        <w:textAlignment w:val="baseline"/>
        <w:rPr>
          <w:rFonts w:hint="default" w:ascii="Times New Roman" w:hAnsi="Times New Roman" w:eastAsia="楷体_GB2312" w:cs="Times New Roman"/>
          <w:b w:val="0"/>
          <w:bCs w:val="0"/>
          <w:color w:val="auto"/>
          <w:spacing w:val="0"/>
          <w:w w:val="100"/>
          <w:sz w:val="32"/>
          <w:szCs w:val="32"/>
          <w:highlight w:val="none"/>
          <w:lang w:eastAsia="zh-CN"/>
        </w:rPr>
      </w:pPr>
      <w:r>
        <w:rPr>
          <w:rFonts w:hint="default" w:ascii="Times New Roman" w:hAnsi="Times New Roman" w:eastAsia="仿宋_GB2312" w:cs="Times New Roman"/>
          <w:b/>
          <w:bCs/>
          <w:color w:val="auto"/>
          <w:spacing w:val="0"/>
          <w:w w:val="100"/>
          <w:sz w:val="32"/>
          <w:szCs w:val="32"/>
          <w:highlight w:val="none"/>
          <w:lang w:val="en-US" w:eastAsia="zh-CN"/>
        </w:rPr>
        <w:t>5</w:t>
      </w:r>
      <w:r>
        <w:rPr>
          <w:rFonts w:hint="default" w:ascii="Times New Roman" w:hAnsi="Times New Roman" w:eastAsia="仿宋_GB2312" w:cs="Times New Roman"/>
          <w:b/>
          <w:bCs/>
          <w:color w:val="auto"/>
          <w:spacing w:val="0"/>
          <w:w w:val="100"/>
          <w:sz w:val="32"/>
          <w:szCs w:val="32"/>
          <w:highlight w:val="none"/>
        </w:rPr>
        <w:t>.强化反垄断和反不正当竞争执法。</w:t>
      </w:r>
      <w:r>
        <w:rPr>
          <w:rFonts w:hint="default" w:ascii="Times New Roman" w:hAnsi="Times New Roman" w:eastAsia="仿宋_GB2312" w:cs="Times New Roman"/>
          <w:snapToGrid w:val="0"/>
          <w:color w:val="auto"/>
          <w:kern w:val="0"/>
          <w:sz w:val="32"/>
          <w:szCs w:val="32"/>
          <w:highlight w:val="none"/>
          <w:lang w:val="en-US" w:eastAsia="zh-CN" w:bidi="ar-SA"/>
        </w:rPr>
        <w:t>建立完善反垄断反不正当竞争工作机制。持续开展民生领域反垄断执法专项行动，</w:t>
      </w:r>
      <w:r>
        <w:rPr>
          <w:rFonts w:hint="default" w:ascii="Times New Roman" w:hAnsi="Times New Roman" w:eastAsia="仿宋_GB2312" w:cs="Times New Roman"/>
          <w:b w:val="0"/>
          <w:bCs w:val="0"/>
          <w:color w:val="auto"/>
          <w:spacing w:val="0"/>
          <w:w w:val="100"/>
          <w:sz w:val="32"/>
          <w:szCs w:val="32"/>
          <w:highlight w:val="none"/>
        </w:rPr>
        <w:t>聚焦医药、殡葬、公用事业、建筑材料等重点领域，</w:t>
      </w:r>
      <w:r>
        <w:rPr>
          <w:rFonts w:hint="default" w:ascii="Times New Roman" w:hAnsi="Times New Roman" w:eastAsia="仿宋_GB2312" w:cs="Times New Roman"/>
          <w:snapToGrid w:val="0"/>
          <w:color w:val="auto"/>
          <w:kern w:val="0"/>
          <w:sz w:val="32"/>
          <w:szCs w:val="32"/>
          <w:highlight w:val="none"/>
          <w:lang w:val="en-US" w:eastAsia="zh-CN" w:bidi="ar-SA"/>
        </w:rPr>
        <w:t>查处和规制平台经济、自然垄断、民生保障等方面垄断突出问题。</w:t>
      </w:r>
      <w:r>
        <w:rPr>
          <w:rFonts w:hint="default" w:ascii="Times New Roman" w:hAnsi="Times New Roman" w:eastAsia="仿宋_GB2312" w:cs="Times New Roman"/>
          <w:b w:val="0"/>
          <w:bCs w:val="0"/>
          <w:color w:val="auto"/>
          <w:spacing w:val="0"/>
          <w:w w:val="100"/>
          <w:sz w:val="32"/>
          <w:szCs w:val="32"/>
          <w:highlight w:val="none"/>
        </w:rPr>
        <w:t>严格查处一批垄断协议和滥用市场支配地位案件，强化反垄断执法权威和威慑效应，有效维护公平竞争的市场秩序。</w:t>
      </w:r>
      <w:r>
        <w:rPr>
          <w:rFonts w:hint="default" w:ascii="Times New Roman" w:hAnsi="Times New Roman" w:eastAsia="仿宋_GB2312" w:cs="Times New Roman"/>
          <w:b w:val="0"/>
          <w:bCs w:val="0"/>
          <w:color w:val="auto"/>
          <w:sz w:val="32"/>
          <w:szCs w:val="32"/>
          <w:highlight w:val="none"/>
          <w:lang w:val="en-US" w:eastAsia="zh-CN"/>
        </w:rPr>
        <w:t>聚焦民生领域和突出问题，持续开展网络反不正当竞争专项执法，依法查处虚假宣传、商业诋毁、流量劫持等网络不正当竞争违法行为，查办利用技术手段侵占数据资源的新型不正当竞争案件。</w:t>
      </w:r>
      <w:r>
        <w:rPr>
          <w:rFonts w:hint="default" w:ascii="Times New Roman" w:hAnsi="Times New Roman" w:eastAsia="仿宋_GB2312" w:cs="Times New Roman"/>
          <w:snapToGrid w:val="0"/>
          <w:color w:val="auto"/>
          <w:kern w:val="0"/>
          <w:sz w:val="32"/>
          <w:szCs w:val="32"/>
          <w:highlight w:val="none"/>
          <w:lang w:val="en-US" w:eastAsia="zh-CN" w:bidi="ar-SA"/>
        </w:rPr>
        <w:t>对供应商实行差别待遇或歧视待遇的违法违规行为，依法依规予以处理。开展公平竞争法律和政策宣传活动。</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市场监管局、</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发展改革委、</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财政</w:t>
      </w:r>
      <w:r>
        <w:rPr>
          <w:rFonts w:hint="default" w:ascii="Times New Roman" w:hAnsi="Times New Roman" w:eastAsia="楷体_GB2312" w:cs="Times New Roman"/>
          <w:b w:val="0"/>
          <w:bCs w:val="0"/>
          <w:color w:val="auto"/>
          <w:spacing w:val="0"/>
          <w:w w:val="100"/>
          <w:sz w:val="32"/>
          <w:szCs w:val="32"/>
          <w:highlight w:val="none"/>
          <w:lang w:eastAsia="zh-CN"/>
        </w:rPr>
        <w:t>局、市司法局</w:t>
      </w:r>
      <w:r>
        <w:rPr>
          <w:rFonts w:hint="default" w:ascii="Times New Roman" w:hAnsi="Times New Roman" w:eastAsia="楷体_GB2312" w:cs="Times New Roman"/>
          <w:b w:val="0"/>
          <w:bCs w:val="0"/>
          <w:color w:val="auto"/>
          <w:spacing w:val="0"/>
          <w:w w:val="100"/>
          <w:sz w:val="32"/>
          <w:szCs w:val="32"/>
          <w:highlight w:val="none"/>
        </w:rPr>
        <w:t>等按职责分工负责</w:t>
      </w:r>
      <w:r>
        <w:rPr>
          <w:rFonts w:hint="default" w:ascii="Times New Roman" w:hAnsi="Times New Roman" w:eastAsia="楷体_GB2312" w:cs="Times New Roman"/>
          <w:b w:val="0"/>
          <w:bCs w:val="0"/>
          <w:color w:val="auto"/>
          <w:spacing w:val="0"/>
          <w:w w:val="100"/>
          <w:sz w:val="32"/>
          <w:szCs w:val="32"/>
          <w:highlight w:val="none"/>
          <w:lang w:eastAsia="zh-CN"/>
        </w:rPr>
        <w:t>）</w:t>
      </w:r>
    </w:p>
    <w:p w14:paraId="11D5D10E">
      <w:pPr>
        <w:keepNext w:val="0"/>
        <w:keepLines w:val="0"/>
        <w:pageBreakBefore w:val="0"/>
        <w:widowControl w:val="0"/>
        <w:kinsoku/>
        <w:wordWrap/>
        <w:overflowPunct/>
        <w:topLinePunct w:val="0"/>
        <w:autoSpaceDE/>
        <w:autoSpaceDN/>
        <w:bidi w:val="0"/>
        <w:adjustRightInd/>
        <w:snapToGrid/>
        <w:spacing w:line="580" w:lineRule="exact"/>
        <w:ind w:firstLine="643" w:firstLineChars="200"/>
        <w:jc w:val="both"/>
        <w:textAlignment w:val="auto"/>
        <w:rPr>
          <w:rFonts w:hint="default" w:ascii="Times New Roman" w:hAnsi="Times New Roman" w:eastAsia="楷体_GB2312" w:cs="Times New Roman"/>
          <w:b w:val="0"/>
          <w:bCs w:val="0"/>
          <w:color w:val="auto"/>
          <w:spacing w:val="0"/>
          <w:w w:val="100"/>
          <w:sz w:val="32"/>
          <w:szCs w:val="32"/>
          <w:highlight w:val="none"/>
          <w:lang w:val="en-US" w:eastAsia="zh-CN"/>
        </w:rPr>
      </w:pPr>
      <w:r>
        <w:rPr>
          <w:rFonts w:hint="default" w:ascii="Times New Roman" w:hAnsi="Times New Roman" w:eastAsia="仿宋_GB2312" w:cs="Times New Roman"/>
          <w:b/>
          <w:bCs/>
          <w:snapToGrid w:val="0"/>
          <w:color w:val="auto"/>
          <w:spacing w:val="0"/>
          <w:w w:val="100"/>
          <w:kern w:val="0"/>
          <w:sz w:val="32"/>
          <w:szCs w:val="32"/>
          <w:highlight w:val="none"/>
          <w:lang w:val="en-US" w:eastAsia="zh-CN" w:bidi="ar-SA"/>
        </w:rPr>
        <w:t>6.集中整治滥用行政权力排除限制竞争行为。</w:t>
      </w:r>
      <w:r>
        <w:rPr>
          <w:rFonts w:hint="default" w:ascii="Times New Roman" w:hAnsi="Times New Roman" w:eastAsia="仿宋_GB2312" w:cs="Times New Roman"/>
          <w:b w:val="0"/>
          <w:bCs w:val="0"/>
          <w:snapToGrid w:val="0"/>
          <w:color w:val="auto"/>
          <w:kern w:val="0"/>
          <w:sz w:val="32"/>
          <w:szCs w:val="32"/>
          <w:highlight w:val="none"/>
          <w:lang w:val="en-US" w:eastAsia="zh-CN" w:bidi="ar-SA"/>
        </w:rPr>
        <w:t>聚焦人民群众和经营主体关心关切，依法从严纠治不当干预市场竞争行为，</w:t>
      </w:r>
      <w:r>
        <w:rPr>
          <w:rFonts w:hint="default" w:ascii="Times New Roman" w:hAnsi="Times New Roman" w:eastAsia="仿宋_GB2312" w:cs="Times New Roman"/>
          <w:snapToGrid w:val="0"/>
          <w:color w:val="auto"/>
          <w:kern w:val="0"/>
          <w:sz w:val="32"/>
          <w:szCs w:val="32"/>
          <w:highlight w:val="none"/>
          <w:lang w:val="en-US" w:eastAsia="zh-CN" w:bidi="ar-SA"/>
        </w:rPr>
        <w:t>集中解决一批民营企业反映强烈的地方保护、所有制歧视等问题。</w:t>
      </w:r>
      <w:r>
        <w:rPr>
          <w:rFonts w:hint="default" w:ascii="Times New Roman" w:hAnsi="Times New Roman" w:eastAsia="仿宋_GB2312" w:cs="Times New Roman"/>
          <w:b w:val="0"/>
          <w:bCs w:val="0"/>
          <w:snapToGrid w:val="0"/>
          <w:color w:val="auto"/>
          <w:kern w:val="0"/>
          <w:sz w:val="32"/>
          <w:szCs w:val="32"/>
          <w:highlight w:val="none"/>
          <w:lang w:val="en-US" w:eastAsia="zh-CN" w:bidi="ar-SA"/>
        </w:rPr>
        <w:t>常态化清理地方政府隐性壁垒，全面废止各类妨碍商品和要素自由流动，限制经营主体依法平等准入、退出和迁移，地方保护和市场分割违规政策，支持各类经营主体在公平竞争中成长壮大。</w:t>
      </w:r>
      <w:r>
        <w:rPr>
          <w:rFonts w:hint="default" w:ascii="Times New Roman" w:hAnsi="Times New Roman" w:eastAsia="楷体_GB2312" w:cs="Times New Roman"/>
          <w:b w:val="0"/>
          <w:bCs w:val="0"/>
          <w:snapToGrid w:val="0"/>
          <w:color w:val="auto"/>
          <w:spacing w:val="0"/>
          <w:w w:val="100"/>
          <w:kern w:val="0"/>
          <w:sz w:val="32"/>
          <w:szCs w:val="32"/>
          <w:highlight w:val="none"/>
          <w:lang w:val="en-US" w:eastAsia="zh-CN" w:bidi="ar-SA"/>
        </w:rPr>
        <w:t>（市市场监管局牵头负责）</w:t>
      </w:r>
    </w:p>
    <w:p w14:paraId="389A0999">
      <w:pPr>
        <w:pStyle w:val="2"/>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43" w:firstLineChars="200"/>
        <w:jc w:val="both"/>
        <w:textAlignment w:val="baseline"/>
        <w:rPr>
          <w:rFonts w:hint="default" w:ascii="Times New Roman" w:hAnsi="Times New Roman" w:eastAsia="楷体_GB2312" w:cs="Times New Roman"/>
          <w:b w:val="0"/>
          <w:bCs w:val="0"/>
          <w:color w:val="auto"/>
          <w:spacing w:val="0"/>
          <w:w w:val="100"/>
          <w:sz w:val="32"/>
          <w:szCs w:val="32"/>
          <w:highlight w:val="none"/>
          <w:lang w:eastAsia="zh-CN"/>
        </w:rPr>
      </w:pPr>
      <w:r>
        <w:rPr>
          <w:rFonts w:hint="default" w:ascii="Times New Roman" w:hAnsi="Times New Roman" w:eastAsia="仿宋_GB2312" w:cs="Times New Roman"/>
          <w:b/>
          <w:bCs/>
          <w:color w:val="auto"/>
          <w:spacing w:val="0"/>
          <w:w w:val="100"/>
          <w:sz w:val="32"/>
          <w:szCs w:val="32"/>
          <w:highlight w:val="none"/>
          <w:lang w:val="en-US" w:eastAsia="zh-CN"/>
        </w:rPr>
        <w:t>7</w:t>
      </w:r>
      <w:r>
        <w:rPr>
          <w:rFonts w:hint="default" w:ascii="Times New Roman" w:hAnsi="Times New Roman" w:eastAsia="仿宋_GB2312" w:cs="Times New Roman"/>
          <w:b/>
          <w:bCs/>
          <w:color w:val="auto"/>
          <w:spacing w:val="0"/>
          <w:w w:val="100"/>
          <w:sz w:val="32"/>
          <w:szCs w:val="32"/>
          <w:highlight w:val="none"/>
        </w:rPr>
        <w:t>.</w:t>
      </w:r>
      <w:r>
        <w:rPr>
          <w:rFonts w:hint="default" w:ascii="Times New Roman" w:hAnsi="Times New Roman" w:eastAsia="仿宋_GB2312" w:cs="Times New Roman"/>
          <w:b/>
          <w:bCs/>
          <w:color w:val="auto"/>
          <w:spacing w:val="0"/>
          <w:w w:val="100"/>
          <w:sz w:val="32"/>
          <w:szCs w:val="32"/>
          <w:highlight w:val="none"/>
          <w:lang w:eastAsia="zh-CN"/>
        </w:rPr>
        <w:t>加快</w:t>
      </w:r>
      <w:r>
        <w:rPr>
          <w:rFonts w:hint="default" w:ascii="Times New Roman" w:hAnsi="Times New Roman" w:eastAsia="仿宋_GB2312" w:cs="Times New Roman"/>
          <w:b/>
          <w:bCs/>
          <w:color w:val="auto"/>
          <w:spacing w:val="0"/>
          <w:w w:val="100"/>
          <w:sz w:val="32"/>
          <w:szCs w:val="32"/>
          <w:highlight w:val="none"/>
          <w:lang w:val="en-US" w:eastAsia="zh-CN"/>
        </w:rPr>
        <w:t>融入</w:t>
      </w:r>
      <w:r>
        <w:rPr>
          <w:rFonts w:hint="default" w:ascii="Times New Roman" w:hAnsi="Times New Roman" w:eastAsia="仿宋_GB2312" w:cs="Times New Roman"/>
          <w:b/>
          <w:bCs/>
          <w:color w:val="auto"/>
          <w:spacing w:val="0"/>
          <w:w w:val="100"/>
          <w:sz w:val="32"/>
          <w:szCs w:val="32"/>
          <w:highlight w:val="none"/>
          <w:lang w:eastAsia="zh-CN"/>
        </w:rPr>
        <w:t>服务全国统一大市场建设</w:t>
      </w:r>
      <w:r>
        <w:rPr>
          <w:rFonts w:hint="default" w:ascii="Times New Roman" w:hAnsi="Times New Roman" w:eastAsia="仿宋_GB2312" w:cs="Times New Roman"/>
          <w:b/>
          <w:bCs/>
          <w:color w:val="auto"/>
          <w:spacing w:val="0"/>
          <w:w w:val="100"/>
          <w:sz w:val="32"/>
          <w:szCs w:val="32"/>
          <w:highlight w:val="none"/>
        </w:rPr>
        <w:t>。</w:t>
      </w:r>
      <w:r>
        <w:rPr>
          <w:rFonts w:hint="default" w:ascii="Times New Roman" w:hAnsi="Times New Roman" w:eastAsia="仿宋_GB2312" w:cs="Times New Roman"/>
          <w:snapToGrid w:val="0"/>
          <w:color w:val="auto"/>
          <w:kern w:val="0"/>
          <w:sz w:val="32"/>
          <w:szCs w:val="32"/>
          <w:highlight w:val="none"/>
          <w:lang w:val="en-US" w:eastAsia="zh-CN" w:bidi="ar-SA"/>
        </w:rPr>
        <w:t>建立不当干预全国统一大市场建设行为问题线索发现归集核查通报机制，</w:t>
      </w:r>
      <w:r>
        <w:rPr>
          <w:rFonts w:hint="default" w:ascii="Times New Roman" w:hAnsi="Times New Roman" w:eastAsia="仿宋_GB2312" w:cs="Times New Roman"/>
          <w:b w:val="0"/>
          <w:bCs w:val="0"/>
          <w:color w:val="auto"/>
          <w:spacing w:val="0"/>
          <w:w w:val="100"/>
          <w:sz w:val="32"/>
          <w:szCs w:val="32"/>
          <w:highlight w:val="none"/>
          <w:lang w:eastAsia="zh-CN"/>
        </w:rPr>
        <w:t>畅通问题收集渠道，定期发布一批损害信阳市场形象的负面典型</w:t>
      </w:r>
      <w:r>
        <w:rPr>
          <w:rFonts w:hint="default" w:ascii="Times New Roman" w:hAnsi="Times New Roman" w:eastAsia="仿宋_GB2312" w:cs="Times New Roman"/>
          <w:b w:val="0"/>
          <w:bCs w:val="0"/>
          <w:color w:val="auto"/>
          <w:spacing w:val="0"/>
          <w:w w:val="100"/>
          <w:sz w:val="32"/>
          <w:szCs w:val="32"/>
          <w:highlight w:val="none"/>
        </w:rPr>
        <w:t>。</w:t>
      </w:r>
      <w:r>
        <w:rPr>
          <w:rFonts w:hint="default" w:ascii="Times New Roman" w:hAnsi="Times New Roman" w:eastAsia="仿宋_GB2312" w:cs="Times New Roman"/>
          <w:b w:val="0"/>
          <w:bCs w:val="0"/>
          <w:color w:val="auto"/>
          <w:spacing w:val="0"/>
          <w:w w:val="100"/>
          <w:sz w:val="32"/>
          <w:szCs w:val="32"/>
          <w:highlight w:val="none"/>
          <w:lang w:eastAsia="zh-CN"/>
        </w:rPr>
        <w:t>进一步规范地方政府招商引资行为，常态化清理歧视外资和外地企业、实行地方保护的各类优惠政策，统筹协调解决我市促进招商引资高质量发展相关问题堵点。</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发展改革委、</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市场监管局、</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司法</w:t>
      </w:r>
      <w:r>
        <w:rPr>
          <w:rFonts w:hint="default" w:ascii="Times New Roman" w:hAnsi="Times New Roman" w:eastAsia="楷体_GB2312" w:cs="Times New Roman"/>
          <w:b w:val="0"/>
          <w:bCs w:val="0"/>
          <w:color w:val="auto"/>
          <w:spacing w:val="0"/>
          <w:w w:val="100"/>
          <w:sz w:val="32"/>
          <w:szCs w:val="32"/>
          <w:highlight w:val="none"/>
          <w:lang w:eastAsia="zh-CN"/>
        </w:rPr>
        <w:t>局、市商务局</w:t>
      </w:r>
      <w:r>
        <w:rPr>
          <w:rFonts w:hint="default" w:ascii="Times New Roman" w:hAnsi="Times New Roman" w:eastAsia="楷体_GB2312" w:cs="Times New Roman"/>
          <w:b w:val="0"/>
          <w:bCs w:val="0"/>
          <w:color w:val="auto"/>
          <w:spacing w:val="0"/>
          <w:w w:val="100"/>
          <w:sz w:val="32"/>
          <w:szCs w:val="32"/>
          <w:highlight w:val="none"/>
        </w:rPr>
        <w:t>等按职责分工负责</w:t>
      </w:r>
      <w:r>
        <w:rPr>
          <w:rFonts w:hint="default" w:ascii="Times New Roman" w:hAnsi="Times New Roman" w:eastAsia="楷体_GB2312" w:cs="Times New Roman"/>
          <w:b w:val="0"/>
          <w:bCs w:val="0"/>
          <w:color w:val="auto"/>
          <w:spacing w:val="0"/>
          <w:w w:val="100"/>
          <w:sz w:val="32"/>
          <w:szCs w:val="32"/>
          <w:highlight w:val="none"/>
          <w:lang w:eastAsia="zh-CN"/>
        </w:rPr>
        <w:t>）</w:t>
      </w:r>
    </w:p>
    <w:p w14:paraId="157893F3">
      <w:pPr>
        <w:pStyle w:val="2"/>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43" w:firstLineChars="200"/>
        <w:jc w:val="both"/>
        <w:textAlignment w:val="baseline"/>
        <w:outlineLvl w:val="1"/>
        <w:rPr>
          <w:rFonts w:hint="default" w:ascii="Times New Roman" w:hAnsi="Times New Roman" w:eastAsia="楷体_GB2312" w:cs="Times New Roman"/>
          <w:b w:val="0"/>
          <w:bCs w:val="0"/>
          <w:color w:val="auto"/>
          <w:spacing w:val="0"/>
          <w:w w:val="100"/>
          <w:sz w:val="32"/>
          <w:szCs w:val="32"/>
          <w:highlight w:val="none"/>
          <w:lang w:eastAsia="zh-CN"/>
        </w:rPr>
      </w:pPr>
      <w:r>
        <w:rPr>
          <w:rFonts w:hint="default" w:ascii="Times New Roman" w:hAnsi="Times New Roman" w:eastAsia="仿宋_GB2312" w:cs="Times New Roman"/>
          <w:b/>
          <w:bCs/>
          <w:color w:val="auto"/>
          <w:spacing w:val="0"/>
          <w:w w:val="100"/>
          <w:sz w:val="32"/>
          <w:szCs w:val="32"/>
          <w:highlight w:val="none"/>
          <w:lang w:val="en-US" w:eastAsia="zh-CN"/>
        </w:rPr>
        <w:t>8.深化</w:t>
      </w:r>
      <w:r>
        <w:rPr>
          <w:rFonts w:hint="default" w:ascii="Times New Roman" w:hAnsi="Times New Roman" w:eastAsia="仿宋_GB2312" w:cs="Times New Roman"/>
          <w:b/>
          <w:bCs/>
          <w:color w:val="auto"/>
          <w:spacing w:val="0"/>
          <w:w w:val="100"/>
          <w:sz w:val="32"/>
          <w:szCs w:val="32"/>
          <w:highlight w:val="none"/>
          <w:lang w:val="en-US" w:eastAsia="en-US"/>
        </w:rPr>
        <w:t>招</w:t>
      </w:r>
      <w:r>
        <w:rPr>
          <w:rFonts w:hint="default" w:ascii="Times New Roman" w:hAnsi="Times New Roman" w:eastAsia="仿宋_GB2312" w:cs="Times New Roman"/>
          <w:b/>
          <w:bCs/>
          <w:color w:val="auto"/>
          <w:spacing w:val="0"/>
          <w:w w:val="100"/>
          <w:sz w:val="32"/>
          <w:szCs w:val="32"/>
          <w:highlight w:val="none"/>
          <w:lang w:val="en-US" w:eastAsia="zh-CN"/>
        </w:rPr>
        <w:t>标</w:t>
      </w:r>
      <w:r>
        <w:rPr>
          <w:rFonts w:hint="default" w:ascii="Times New Roman" w:hAnsi="Times New Roman" w:eastAsia="仿宋_GB2312" w:cs="Times New Roman"/>
          <w:b/>
          <w:bCs/>
          <w:color w:val="auto"/>
          <w:spacing w:val="0"/>
          <w:w w:val="100"/>
          <w:sz w:val="32"/>
          <w:szCs w:val="32"/>
          <w:highlight w:val="none"/>
          <w:lang w:val="en-US" w:eastAsia="en-US"/>
        </w:rPr>
        <w:t>投标</w:t>
      </w:r>
      <w:r>
        <w:rPr>
          <w:rFonts w:hint="default" w:ascii="Times New Roman" w:hAnsi="Times New Roman" w:eastAsia="仿宋_GB2312" w:cs="Times New Roman"/>
          <w:b/>
          <w:bCs/>
          <w:color w:val="auto"/>
          <w:spacing w:val="0"/>
          <w:w w:val="100"/>
          <w:sz w:val="32"/>
          <w:szCs w:val="32"/>
          <w:highlight w:val="none"/>
          <w:lang w:val="en-US" w:eastAsia="zh-CN"/>
        </w:rPr>
        <w:t>系统整治。</w:t>
      </w:r>
      <w:r>
        <w:rPr>
          <w:rFonts w:hint="default" w:ascii="Times New Roman" w:hAnsi="Times New Roman" w:eastAsia="仿宋_GB2312" w:cs="Times New Roman"/>
          <w:b w:val="0"/>
          <w:bCs w:val="0"/>
          <w:color w:val="auto"/>
          <w:spacing w:val="0"/>
          <w:w w:val="100"/>
          <w:sz w:val="32"/>
          <w:szCs w:val="32"/>
          <w:highlight w:val="none"/>
          <w:lang w:val="en-US" w:eastAsia="zh-CN"/>
        </w:rPr>
        <w:t>持续清理废除违反法律法规规定，限制或排斥民营企业参与招标投标的文件。加强招标投标过程公开，开展招标计划发布和招标文件公示，扩大评标结果公开范围，加大合同变更、履约信息公开力度，推进交易阳光透明运行。</w:t>
      </w:r>
      <w:r>
        <w:rPr>
          <w:rFonts w:hint="default" w:ascii="Times New Roman" w:hAnsi="Times New Roman" w:eastAsia="仿宋_GB2312" w:cs="Times New Roman"/>
          <w:b w:val="0"/>
          <w:bCs w:val="0"/>
          <w:color w:val="auto"/>
          <w:spacing w:val="0"/>
          <w:w w:val="100"/>
          <w:sz w:val="32"/>
          <w:szCs w:val="32"/>
          <w:highlight w:val="none"/>
        </w:rPr>
        <w:t>常态化推进远程异地评标，实现跨区域、跨层级专家资源共享，减少人为因素对评标活动的干扰。</w:t>
      </w:r>
      <w:r>
        <w:rPr>
          <w:rFonts w:hint="default" w:ascii="Times New Roman" w:hAnsi="Times New Roman" w:eastAsia="仿宋_GB2312" w:cs="Times New Roman"/>
          <w:b w:val="0"/>
          <w:bCs w:val="0"/>
          <w:color w:val="auto"/>
          <w:spacing w:val="0"/>
          <w:w w:val="100"/>
          <w:sz w:val="32"/>
          <w:szCs w:val="32"/>
          <w:highlight w:val="none"/>
          <w:lang w:val="en-US" w:eastAsia="zh-CN"/>
        </w:rPr>
        <w:t>落实《</w:t>
      </w:r>
      <w:r>
        <w:rPr>
          <w:rFonts w:hint="default" w:ascii="Times New Roman" w:hAnsi="Times New Roman" w:eastAsia="仿宋_GB2312" w:cs="Times New Roman"/>
          <w:b w:val="0"/>
          <w:bCs w:val="0"/>
          <w:snapToGrid w:val="0"/>
          <w:color w:val="auto"/>
          <w:spacing w:val="0"/>
          <w:w w:val="100"/>
          <w:kern w:val="0"/>
          <w:sz w:val="32"/>
          <w:szCs w:val="32"/>
          <w:highlight w:val="none"/>
          <w:lang w:val="en-US" w:eastAsia="zh-CN" w:bidi="ar-SA"/>
        </w:rPr>
        <w:t>信阳市政府投资工程建设项目招标投标“评定分离”规范指引（试行）》，压实招标人主体责任，优化中标人确定程序，提高招标投标的透明度和公正性。规范招标代理机构管理，将招标代理行为作为“双随机、一公开”监管的重点内容，对扰乱市场秩序的行为依法实施行政处罚和信用惩戒。畅通举报渠道，接受社会监督，依法处理招标投标违法行为投诉。</w:t>
      </w:r>
      <w:r>
        <w:rPr>
          <w:rFonts w:hint="default" w:ascii="Times New Roman" w:hAnsi="Times New Roman" w:eastAsia="仿宋_GB2312" w:cs="Times New Roman"/>
          <w:b w:val="0"/>
          <w:bCs w:val="0"/>
          <w:color w:val="auto"/>
          <w:spacing w:val="0"/>
          <w:w w:val="100"/>
          <w:sz w:val="32"/>
          <w:szCs w:val="32"/>
          <w:highlight w:val="none"/>
        </w:rPr>
        <w:t>建立行政监督与纪检监察、公安机关协调联动机制，加大对围标串标等违法行为的打击力度。</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发展改革委</w:t>
      </w:r>
      <w:r>
        <w:rPr>
          <w:rFonts w:hint="default" w:ascii="Times New Roman" w:hAnsi="Times New Roman" w:eastAsia="楷体_GB2312" w:cs="Times New Roman"/>
          <w:b w:val="0"/>
          <w:bCs w:val="0"/>
          <w:color w:val="auto"/>
          <w:spacing w:val="0"/>
          <w:w w:val="100"/>
          <w:sz w:val="32"/>
          <w:szCs w:val="32"/>
          <w:highlight w:val="none"/>
          <w:lang w:eastAsia="zh-CN"/>
        </w:rPr>
        <w:t>、市市场监管局、市公共资源交易中心、市住建局、市交通运输局、市水利局、市农业农村局</w:t>
      </w:r>
      <w:r>
        <w:rPr>
          <w:rFonts w:hint="default" w:ascii="Times New Roman" w:hAnsi="Times New Roman" w:eastAsia="楷体_GB2312" w:cs="Times New Roman"/>
          <w:b w:val="0"/>
          <w:bCs w:val="0"/>
          <w:color w:val="auto"/>
          <w:spacing w:val="0"/>
          <w:w w:val="100"/>
          <w:sz w:val="32"/>
          <w:szCs w:val="32"/>
          <w:highlight w:val="none"/>
        </w:rPr>
        <w:t>等按职责分工负责</w:t>
      </w:r>
      <w:r>
        <w:rPr>
          <w:rFonts w:hint="default" w:ascii="Times New Roman" w:hAnsi="Times New Roman" w:eastAsia="楷体_GB2312" w:cs="Times New Roman"/>
          <w:b w:val="0"/>
          <w:bCs w:val="0"/>
          <w:color w:val="auto"/>
          <w:spacing w:val="0"/>
          <w:w w:val="100"/>
          <w:sz w:val="32"/>
          <w:szCs w:val="32"/>
          <w:highlight w:val="none"/>
          <w:lang w:eastAsia="zh-CN"/>
        </w:rPr>
        <w:t>）</w:t>
      </w:r>
    </w:p>
    <w:p w14:paraId="33FE2169">
      <w:pPr>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43" w:firstLineChars="200"/>
        <w:jc w:val="both"/>
        <w:textAlignment w:val="baseline"/>
        <w:rPr>
          <w:rFonts w:hint="default" w:ascii="Times New Roman" w:hAnsi="Times New Roman" w:eastAsia="楷体_GB2312" w:cs="Times New Roman"/>
          <w:b/>
          <w:bCs/>
          <w:color w:val="auto"/>
          <w:spacing w:val="0"/>
          <w:w w:val="100"/>
          <w:sz w:val="32"/>
          <w:szCs w:val="32"/>
          <w:highlight w:val="none"/>
          <w:lang w:eastAsia="zh-CN"/>
        </w:rPr>
      </w:pPr>
      <w:r>
        <w:rPr>
          <w:rFonts w:hint="default" w:ascii="Times New Roman" w:hAnsi="Times New Roman" w:eastAsia="楷体_GB2312" w:cs="Times New Roman"/>
          <w:b/>
          <w:bCs/>
          <w:color w:val="auto"/>
          <w:spacing w:val="0"/>
          <w:w w:val="100"/>
          <w:sz w:val="32"/>
          <w:szCs w:val="32"/>
          <w:highlight w:val="none"/>
          <w:lang w:eastAsia="zh-CN"/>
        </w:rPr>
        <w:t>（三）推进</w:t>
      </w:r>
      <w:r>
        <w:rPr>
          <w:rFonts w:hint="default" w:ascii="Times New Roman" w:hAnsi="Times New Roman" w:eastAsia="楷体_GB2312" w:cs="Times New Roman"/>
          <w:b/>
          <w:bCs/>
          <w:color w:val="auto"/>
          <w:spacing w:val="0"/>
          <w:w w:val="100"/>
          <w:sz w:val="32"/>
          <w:szCs w:val="32"/>
          <w:highlight w:val="none"/>
        </w:rPr>
        <w:t>科技创新赋能</w:t>
      </w:r>
      <w:r>
        <w:rPr>
          <w:rFonts w:hint="default" w:ascii="Times New Roman" w:hAnsi="Times New Roman" w:eastAsia="楷体_GB2312" w:cs="Times New Roman"/>
          <w:b/>
          <w:bCs/>
          <w:color w:val="auto"/>
          <w:spacing w:val="0"/>
          <w:w w:val="100"/>
          <w:sz w:val="32"/>
          <w:szCs w:val="32"/>
          <w:highlight w:val="none"/>
          <w:lang w:eastAsia="zh-CN"/>
        </w:rPr>
        <w:t>民营企业</w:t>
      </w:r>
    </w:p>
    <w:p w14:paraId="3F334C85">
      <w:pPr>
        <w:pStyle w:val="2"/>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43" w:firstLineChars="200"/>
        <w:jc w:val="both"/>
        <w:textAlignment w:val="baseline"/>
        <w:rPr>
          <w:rFonts w:hint="default" w:ascii="Times New Roman" w:hAnsi="Times New Roman" w:eastAsia="仿宋_GB2312" w:cs="Times New Roman"/>
          <w:b w:val="0"/>
          <w:bCs w:val="0"/>
          <w:snapToGrid w:val="0"/>
          <w:color w:val="auto"/>
          <w:spacing w:val="0"/>
          <w:w w:val="100"/>
          <w:kern w:val="0"/>
          <w:sz w:val="32"/>
          <w:szCs w:val="32"/>
          <w:highlight w:val="none"/>
          <w:lang w:val="en-US" w:eastAsia="zh-CN" w:bidi="ar-SA"/>
        </w:rPr>
      </w:pPr>
      <w:r>
        <w:rPr>
          <w:rFonts w:hint="default" w:ascii="Times New Roman" w:hAnsi="Times New Roman" w:eastAsia="仿宋_GB2312" w:cs="Times New Roman"/>
          <w:b/>
          <w:bCs/>
          <w:color w:val="auto"/>
          <w:spacing w:val="0"/>
          <w:w w:val="100"/>
          <w:sz w:val="32"/>
          <w:szCs w:val="32"/>
          <w:highlight w:val="none"/>
          <w:lang w:val="en-US" w:eastAsia="zh-CN"/>
        </w:rPr>
        <w:t>1.支持民营企业开展关键核心技术攻关。</w:t>
      </w:r>
      <w:r>
        <w:rPr>
          <w:rFonts w:hint="default" w:ascii="Times New Roman" w:hAnsi="Times New Roman" w:eastAsia="仿宋_GB2312" w:cs="Times New Roman"/>
          <w:b w:val="0"/>
          <w:bCs w:val="0"/>
          <w:snapToGrid w:val="0"/>
          <w:color w:val="auto"/>
          <w:spacing w:val="0"/>
          <w:w w:val="100"/>
          <w:kern w:val="0"/>
          <w:sz w:val="32"/>
          <w:szCs w:val="32"/>
          <w:highlight w:val="none"/>
          <w:lang w:val="en-US" w:eastAsia="zh-CN" w:bidi="ar-SA"/>
        </w:rPr>
        <w:t>支持企业成为科技创新“出题者”，聚焦国家和省、市明确支持的领域方向，通过实施重点产业关键技术“揭榜挂帅”攻关项目，跨领域、跨学科、跨区域开展关键核心技术攻关和产业化应用。加强“PI制”“赛马制”等项目组织方式的运用，完善民营企业参与重大科研攻关需求征集与榜单编制机制，引导民营企业围绕我市关键产业、关键环节“卡点”“堵点”开展重大技术创新，提升民营企业主导产学研协同攻关项目比重，积极承担国家、省、市级重大科技项目。</w:t>
      </w:r>
      <w:r>
        <w:rPr>
          <w:rFonts w:hint="default" w:ascii="Times New Roman" w:hAnsi="Times New Roman" w:eastAsia="CESI楷体-GB2312" w:cs="Times New Roman"/>
          <w:b w:val="0"/>
          <w:bCs w:val="0"/>
          <w:snapToGrid w:val="0"/>
          <w:color w:val="auto"/>
          <w:spacing w:val="0"/>
          <w:w w:val="100"/>
          <w:kern w:val="0"/>
          <w:sz w:val="32"/>
          <w:szCs w:val="32"/>
          <w:highlight w:val="none"/>
          <w:lang w:val="en-US" w:eastAsia="zh-CN" w:bidi="ar-SA"/>
        </w:rPr>
        <w:t>（市科技局、市发展改革委、市工信局</w:t>
      </w:r>
      <w:r>
        <w:rPr>
          <w:rFonts w:hint="default" w:ascii="Times New Roman" w:hAnsi="Times New Roman" w:eastAsia="CESI楷体-GB2312" w:cs="Times New Roman"/>
          <w:b w:val="0"/>
          <w:bCs w:val="0"/>
          <w:color w:val="auto"/>
          <w:spacing w:val="0"/>
          <w:w w:val="100"/>
          <w:sz w:val="32"/>
          <w:szCs w:val="32"/>
          <w:highlight w:val="none"/>
        </w:rPr>
        <w:t>等按职责分工负责</w:t>
      </w:r>
      <w:r>
        <w:rPr>
          <w:rFonts w:hint="default" w:ascii="Times New Roman" w:hAnsi="Times New Roman" w:eastAsia="CESI楷体-GB2312" w:cs="Times New Roman"/>
          <w:b w:val="0"/>
          <w:bCs w:val="0"/>
          <w:snapToGrid w:val="0"/>
          <w:color w:val="auto"/>
          <w:spacing w:val="0"/>
          <w:w w:val="100"/>
          <w:kern w:val="0"/>
          <w:sz w:val="32"/>
          <w:szCs w:val="32"/>
          <w:highlight w:val="none"/>
          <w:lang w:val="en-US" w:eastAsia="zh-CN" w:bidi="ar-SA"/>
        </w:rPr>
        <w:t>）</w:t>
      </w:r>
    </w:p>
    <w:p w14:paraId="6105D092">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3" w:firstLineChars="200"/>
        <w:jc w:val="both"/>
        <w:textAlignment w:val="auto"/>
        <w:rPr>
          <w:rFonts w:hint="default" w:ascii="Times New Roman" w:hAnsi="Times New Roman" w:eastAsia="楷体" w:cs="Times New Roman"/>
          <w:color w:val="auto"/>
          <w:kern w:val="2"/>
          <w:sz w:val="32"/>
          <w:szCs w:val="32"/>
          <w:highlight w:val="none"/>
          <w:lang w:val="en-US" w:eastAsia="zh-CN" w:bidi="ar-SA"/>
        </w:rPr>
      </w:pPr>
      <w:r>
        <w:rPr>
          <w:rFonts w:hint="default" w:ascii="Times New Roman" w:hAnsi="Times New Roman" w:eastAsia="仿宋_GB2312" w:cs="Times New Roman"/>
          <w:b/>
          <w:bCs/>
          <w:snapToGrid w:val="0"/>
          <w:color w:val="auto"/>
          <w:spacing w:val="0"/>
          <w:w w:val="100"/>
          <w:kern w:val="0"/>
          <w:sz w:val="32"/>
          <w:szCs w:val="32"/>
          <w:highlight w:val="none"/>
          <w:lang w:val="en-US" w:eastAsia="zh-CN" w:bidi="ar-SA"/>
        </w:rPr>
        <w:t>2.加快创新平台建设布局。</w:t>
      </w:r>
      <w:r>
        <w:rPr>
          <w:rFonts w:hint="default" w:ascii="Times New Roman" w:hAnsi="Times New Roman" w:eastAsia="仿宋_GB2312" w:cs="Times New Roman"/>
          <w:b w:val="0"/>
          <w:bCs w:val="0"/>
          <w:snapToGrid w:val="0"/>
          <w:color w:val="auto"/>
          <w:spacing w:val="0"/>
          <w:w w:val="100"/>
          <w:kern w:val="0"/>
          <w:sz w:val="32"/>
          <w:szCs w:val="32"/>
          <w:highlight w:val="none"/>
          <w:lang w:val="en-US" w:eastAsia="zh-CN" w:bidi="ar-SA"/>
        </w:rPr>
        <w:t>鼓励优秀民营龙头企业牵头联合产业链内上下游企业、高校院所等组建“体系化、任务型、开放式”创新联合体。支持民营企业参与全国重点实验室、省实验室、省重点实验室、市重点实验室建设，提升原始创新能力。依托民营龙头骨干企业，加快建设省技术创新中心、产业研究院、制造业创新中心、产业创新中心、校企研发中心、协同创新中心、企业技术中心、工程（技术）研究中心、工业设计中心等高能级创新平台，突破行业关键共性技术。聚焦产业链关键环节，依托民营企业建设一批中试基地、概念验证中心，打通科技成果转化“最初一公里”和“最后一公里”，实现“研发—验证—中试—产业化”全链条贯通。</w:t>
      </w:r>
      <w:r>
        <w:rPr>
          <w:rFonts w:hint="default" w:ascii="Times New Roman" w:hAnsi="Times New Roman" w:eastAsia="仿宋_GB2312" w:cs="Times New Roman"/>
          <w:snapToGrid w:val="0"/>
          <w:color w:val="auto"/>
          <w:kern w:val="0"/>
          <w:sz w:val="32"/>
          <w:szCs w:val="32"/>
          <w:highlight w:val="none"/>
          <w:lang w:val="en-US" w:eastAsia="zh-CN" w:bidi="ar-SA"/>
        </w:rPr>
        <w:t>推动各类非民营创新平台向民营企业开放共享试验场地、仪器设备等有助于企业科技研发的基础设施及相关资源。</w:t>
      </w:r>
      <w:r>
        <w:rPr>
          <w:rFonts w:hint="default" w:ascii="Times New Roman" w:hAnsi="Times New Roman" w:eastAsia="楷体_GB2312" w:cs="Times New Roman"/>
          <w:color w:val="auto"/>
          <w:kern w:val="2"/>
          <w:sz w:val="32"/>
          <w:szCs w:val="32"/>
          <w:highlight w:val="none"/>
          <w:lang w:val="en-US" w:eastAsia="zh-CN" w:bidi="ar-SA"/>
        </w:rPr>
        <w:t>（市科技局、市发展改革委、市工信局</w:t>
      </w:r>
      <w:r>
        <w:rPr>
          <w:rFonts w:hint="default" w:ascii="Times New Roman" w:hAnsi="Times New Roman" w:eastAsia="楷体_GB2312" w:cs="Times New Roman"/>
          <w:b w:val="0"/>
          <w:bCs w:val="0"/>
          <w:color w:val="auto"/>
          <w:spacing w:val="0"/>
          <w:w w:val="100"/>
          <w:sz w:val="32"/>
          <w:szCs w:val="32"/>
          <w:highlight w:val="none"/>
        </w:rPr>
        <w:t>等按职责分工负责</w:t>
      </w:r>
      <w:r>
        <w:rPr>
          <w:rFonts w:hint="default" w:ascii="Times New Roman" w:hAnsi="Times New Roman" w:eastAsia="楷体_GB2312" w:cs="Times New Roman"/>
          <w:color w:val="auto"/>
          <w:kern w:val="2"/>
          <w:sz w:val="32"/>
          <w:szCs w:val="32"/>
          <w:highlight w:val="none"/>
          <w:lang w:val="en-US" w:eastAsia="zh-CN" w:bidi="ar-SA"/>
        </w:rPr>
        <w:t>）</w:t>
      </w:r>
    </w:p>
    <w:p w14:paraId="5531BB8E">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3" w:firstLineChars="200"/>
        <w:jc w:val="both"/>
        <w:textAlignment w:val="auto"/>
        <w:rPr>
          <w:rFonts w:hint="default" w:ascii="Times New Roman" w:hAnsi="Times New Roman" w:eastAsia="楷体_GB2312" w:cs="Times New Roman"/>
          <w:color w:val="auto"/>
          <w:kern w:val="2"/>
          <w:sz w:val="32"/>
          <w:szCs w:val="32"/>
          <w:highlight w:val="none"/>
          <w:lang w:val="en-US" w:eastAsia="zh-CN" w:bidi="ar-SA"/>
        </w:rPr>
      </w:pPr>
      <w:r>
        <w:rPr>
          <w:rFonts w:hint="default" w:ascii="Times New Roman" w:hAnsi="Times New Roman" w:eastAsia="仿宋_GB2312" w:cs="Times New Roman"/>
          <w:b/>
          <w:bCs/>
          <w:snapToGrid w:val="0"/>
          <w:color w:val="auto"/>
          <w:spacing w:val="0"/>
          <w:w w:val="100"/>
          <w:kern w:val="0"/>
          <w:sz w:val="32"/>
          <w:szCs w:val="32"/>
          <w:highlight w:val="none"/>
          <w:lang w:val="en-US" w:eastAsia="zh-CN" w:bidi="ar-SA"/>
        </w:rPr>
        <w:t>3.支持企业加大研发投入。</w:t>
      </w:r>
      <w:r>
        <w:rPr>
          <w:rFonts w:hint="default" w:ascii="Times New Roman" w:hAnsi="Times New Roman" w:eastAsia="仿宋_GB2312" w:cs="Times New Roman"/>
          <w:b w:val="0"/>
          <w:bCs w:val="0"/>
          <w:color w:val="auto"/>
          <w:sz w:val="32"/>
          <w:szCs w:val="32"/>
          <w:highlight w:val="none"/>
          <w:lang w:val="en-US" w:eastAsia="zh-CN"/>
        </w:rPr>
        <w:t>提</w:t>
      </w:r>
      <w:r>
        <w:rPr>
          <w:rFonts w:hint="default" w:ascii="Times New Roman" w:hAnsi="Times New Roman" w:eastAsia="仿宋_GB2312" w:cs="Times New Roman"/>
          <w:color w:val="auto"/>
          <w:sz w:val="32"/>
          <w:szCs w:val="32"/>
          <w:highlight w:val="none"/>
          <w:lang w:val="en-US" w:eastAsia="zh-CN"/>
        </w:rPr>
        <w:t>高规上工业企业研发活动覆盖率和质效，引导企业建立研发准备金制度，加快实现营收1亿元以上企业有研发机构、5亿元以上企业有标志性研发成果、10亿元以上企业有创新联合体、100亿元以上企业成为科技领军企业。强化创新龙头企业和“瞪羚”企业引领支撑作用，“一企一策”进行重点扶持，支持其围绕行业关键共性技术，加强核心技术研发、建设重大创新平台，提升产业链整合能力，培育打造一批科技领军企业。加强对高新技术企业、科技型中小企业的支持培育，精准落实研发费用加计扣除、高新技术企业减按15%优惠税率征收企业所得税、居民企业技术转让所得减免企业所得税等税收优惠政策。对研发经费投入在500万元以上，且占比高、增速快的规上工业企业，争取省财政奖补支持，激励企业加大研发投入力度。</w:t>
      </w:r>
      <w:r>
        <w:rPr>
          <w:rFonts w:hint="default" w:ascii="Times New Roman" w:hAnsi="Times New Roman" w:eastAsia="楷体_GB2312" w:cs="Times New Roman"/>
          <w:color w:val="auto"/>
          <w:kern w:val="2"/>
          <w:sz w:val="32"/>
          <w:szCs w:val="32"/>
          <w:highlight w:val="none"/>
          <w:lang w:val="en-US" w:eastAsia="zh-CN" w:bidi="ar-SA"/>
        </w:rPr>
        <w:t>（市科技局、市发展改革委、市工信局、市财政局、市税务局</w:t>
      </w:r>
      <w:r>
        <w:rPr>
          <w:rFonts w:hint="default" w:ascii="Times New Roman" w:hAnsi="Times New Roman" w:eastAsia="楷体_GB2312" w:cs="Times New Roman"/>
          <w:b w:val="0"/>
          <w:bCs w:val="0"/>
          <w:color w:val="auto"/>
          <w:spacing w:val="0"/>
          <w:w w:val="100"/>
          <w:sz w:val="32"/>
          <w:szCs w:val="32"/>
          <w:highlight w:val="none"/>
        </w:rPr>
        <w:t>等按职责分工负责</w:t>
      </w:r>
      <w:r>
        <w:rPr>
          <w:rFonts w:hint="default" w:ascii="Times New Roman" w:hAnsi="Times New Roman" w:eastAsia="楷体_GB2312" w:cs="Times New Roman"/>
          <w:color w:val="auto"/>
          <w:kern w:val="2"/>
          <w:sz w:val="32"/>
          <w:szCs w:val="32"/>
          <w:highlight w:val="none"/>
          <w:lang w:val="en-US" w:eastAsia="zh-CN" w:bidi="ar-SA"/>
        </w:rPr>
        <w:t>）</w:t>
      </w:r>
    </w:p>
    <w:p w14:paraId="64522603">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3" w:firstLineChars="200"/>
        <w:jc w:val="both"/>
        <w:textAlignment w:val="auto"/>
        <w:rPr>
          <w:rFonts w:hint="default" w:ascii="Times New Roman" w:hAnsi="Times New Roman" w:eastAsia="楷体" w:cs="Times New Roman"/>
          <w:color w:val="auto"/>
          <w:kern w:val="2"/>
          <w:sz w:val="32"/>
          <w:szCs w:val="32"/>
          <w:highlight w:val="none"/>
          <w:lang w:val="en-US" w:eastAsia="zh-CN" w:bidi="ar-SA"/>
        </w:rPr>
      </w:pPr>
      <w:r>
        <w:rPr>
          <w:rFonts w:hint="default" w:ascii="Times New Roman" w:hAnsi="Times New Roman" w:eastAsia="仿宋_GB2312" w:cs="Times New Roman"/>
          <w:b/>
          <w:bCs/>
          <w:snapToGrid w:val="0"/>
          <w:color w:val="auto"/>
          <w:spacing w:val="0"/>
          <w:w w:val="100"/>
          <w:kern w:val="0"/>
          <w:sz w:val="32"/>
          <w:szCs w:val="32"/>
          <w:highlight w:val="none"/>
          <w:lang w:val="en-US" w:eastAsia="zh-CN" w:bidi="ar-SA"/>
        </w:rPr>
        <w:t>4.</w:t>
      </w:r>
      <w:r>
        <w:rPr>
          <w:rFonts w:hint="default" w:ascii="Times New Roman" w:hAnsi="Times New Roman" w:eastAsia="仿宋_GB2312" w:cs="Times New Roman"/>
          <w:b/>
          <w:bCs/>
          <w:color w:val="auto"/>
          <w:kern w:val="0"/>
          <w:sz w:val="32"/>
          <w:szCs w:val="32"/>
          <w:highlight w:val="none"/>
          <w:lang w:val="en-US" w:eastAsia="zh-CN" w:bidi="ar"/>
        </w:rPr>
        <w:t>加快科技成果向企业转移转化。</w:t>
      </w:r>
      <w:r>
        <w:rPr>
          <w:rFonts w:hint="default" w:ascii="Times New Roman" w:hAnsi="Times New Roman" w:eastAsia="仿宋_GB2312" w:cs="Times New Roman"/>
          <w:b w:val="0"/>
          <w:bCs w:val="0"/>
          <w:color w:val="auto"/>
          <w:sz w:val="32"/>
          <w:szCs w:val="32"/>
          <w:highlight w:val="none"/>
          <w:lang w:val="en-US" w:eastAsia="zh-CN"/>
        </w:rPr>
        <w:t>用</w:t>
      </w:r>
      <w:r>
        <w:rPr>
          <w:rFonts w:hint="default" w:ascii="Times New Roman" w:hAnsi="Times New Roman" w:eastAsia="仿宋_GB2312" w:cs="Times New Roman"/>
          <w:color w:val="auto"/>
          <w:sz w:val="32"/>
          <w:szCs w:val="32"/>
          <w:highlight w:val="none"/>
          <w:lang w:val="en-US" w:eastAsia="zh-CN"/>
        </w:rPr>
        <w:t>好科技成果转移转化公共服务平台，完善科技计划项目成果登记汇交机制，促进研发机构和生产企业供需双方精准对接。</w:t>
      </w:r>
      <w:r>
        <w:rPr>
          <w:rFonts w:hint="default" w:ascii="Times New Roman" w:hAnsi="Times New Roman" w:eastAsia="仿宋_GB2312" w:cs="Times New Roman"/>
          <w:b w:val="0"/>
          <w:bCs w:val="0"/>
          <w:color w:val="auto"/>
          <w:spacing w:val="0"/>
          <w:sz w:val="32"/>
          <w:szCs w:val="32"/>
          <w:highlight w:val="none"/>
          <w:lang w:val="en-US" w:eastAsia="zh-CN"/>
        </w:rPr>
        <w:t>完善产学研供需收集、快速对接、精准匹配机制，推动产学研深度融合和科技成果转化。</w:t>
      </w:r>
      <w:r>
        <w:rPr>
          <w:rFonts w:hint="default" w:ascii="Times New Roman" w:hAnsi="Times New Roman" w:eastAsia="仿宋_GB2312" w:cs="Times New Roman"/>
          <w:color w:val="auto"/>
          <w:sz w:val="32"/>
          <w:szCs w:val="32"/>
          <w:highlight w:val="none"/>
          <w:lang w:val="en" w:eastAsia="zh-CN"/>
        </w:rPr>
        <w:t>加快推动“科技成果转化”等“高效办成一件事”改革，</w:t>
      </w:r>
      <w:r>
        <w:rPr>
          <w:rFonts w:hint="default" w:ascii="Times New Roman" w:hAnsi="Times New Roman" w:eastAsia="仿宋_GB2312" w:cs="Times New Roman"/>
          <w:color w:val="auto"/>
          <w:sz w:val="32"/>
          <w:szCs w:val="32"/>
          <w:highlight w:val="none"/>
          <w:lang w:val="en-US" w:eastAsia="zh-CN"/>
        </w:rPr>
        <w:t>修订出台《信阳市科技成果登记管理办法》，加强我市科技成果登记管理，更好服务民营经济科技成果转化。探索开展专利成果“先免费试用、后付费转化”试点，鼓励高校、科研院所、医疗卫生机构将专利许可给民营中小微企业使用。</w:t>
      </w:r>
      <w:r>
        <w:rPr>
          <w:rFonts w:hint="default" w:ascii="Times New Roman" w:hAnsi="Times New Roman" w:eastAsia="楷体_GB2312" w:cs="Times New Roman"/>
          <w:color w:val="auto"/>
          <w:kern w:val="2"/>
          <w:sz w:val="32"/>
          <w:szCs w:val="32"/>
          <w:highlight w:val="none"/>
          <w:lang w:val="en-US" w:eastAsia="zh-CN" w:bidi="ar-SA"/>
        </w:rPr>
        <w:t>（市科技局、市财政局</w:t>
      </w:r>
      <w:r>
        <w:rPr>
          <w:rFonts w:hint="default" w:ascii="Times New Roman" w:hAnsi="Times New Roman" w:eastAsia="楷体_GB2312" w:cs="Times New Roman"/>
          <w:b w:val="0"/>
          <w:bCs w:val="0"/>
          <w:color w:val="auto"/>
          <w:spacing w:val="0"/>
          <w:w w:val="100"/>
          <w:sz w:val="32"/>
          <w:szCs w:val="32"/>
          <w:highlight w:val="none"/>
        </w:rPr>
        <w:t>等按职责分工负责</w:t>
      </w:r>
      <w:r>
        <w:rPr>
          <w:rFonts w:hint="default" w:ascii="Times New Roman" w:hAnsi="Times New Roman" w:eastAsia="楷体_GB2312" w:cs="Times New Roman"/>
          <w:color w:val="auto"/>
          <w:kern w:val="2"/>
          <w:sz w:val="32"/>
          <w:szCs w:val="32"/>
          <w:highlight w:val="none"/>
          <w:lang w:val="en-US" w:eastAsia="zh-CN" w:bidi="ar-SA"/>
        </w:rPr>
        <w:t xml:space="preserve">） </w:t>
      </w:r>
    </w:p>
    <w:p w14:paraId="275477C6">
      <w:pPr>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43" w:firstLineChars="200"/>
        <w:jc w:val="both"/>
        <w:textAlignment w:val="baseline"/>
        <w:outlineLvl w:val="1"/>
        <w:rPr>
          <w:rFonts w:hint="default" w:ascii="Times New Roman" w:hAnsi="Times New Roman" w:eastAsia="楷体_GB2312" w:cs="Times New Roman"/>
          <w:b/>
          <w:bCs/>
          <w:color w:val="auto"/>
          <w:spacing w:val="0"/>
          <w:w w:val="100"/>
          <w:sz w:val="32"/>
          <w:szCs w:val="32"/>
          <w:highlight w:val="none"/>
        </w:rPr>
      </w:pPr>
      <w:r>
        <w:rPr>
          <w:rFonts w:hint="default" w:ascii="Times New Roman" w:hAnsi="Times New Roman" w:eastAsia="楷体_GB2312" w:cs="Times New Roman"/>
          <w:b/>
          <w:bCs/>
          <w:color w:val="auto"/>
          <w:spacing w:val="0"/>
          <w:w w:val="100"/>
          <w:sz w:val="32"/>
          <w:szCs w:val="32"/>
          <w:highlight w:val="none"/>
          <w:lang w:eastAsia="zh-CN"/>
        </w:rPr>
        <w:t>（四）坚定维护民营市场主体</w:t>
      </w:r>
      <w:r>
        <w:rPr>
          <w:rFonts w:hint="default" w:ascii="Times New Roman" w:hAnsi="Times New Roman" w:eastAsia="楷体_GB2312" w:cs="Times New Roman"/>
          <w:b/>
          <w:bCs/>
          <w:color w:val="auto"/>
          <w:spacing w:val="0"/>
          <w:w w:val="100"/>
          <w:sz w:val="32"/>
          <w:szCs w:val="32"/>
          <w:highlight w:val="none"/>
        </w:rPr>
        <w:t>合法权益</w:t>
      </w:r>
    </w:p>
    <w:p w14:paraId="1AF6D300">
      <w:pPr>
        <w:pStyle w:val="2"/>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43" w:firstLineChars="200"/>
        <w:jc w:val="both"/>
        <w:textAlignment w:val="baseline"/>
        <w:rPr>
          <w:rFonts w:hint="default" w:ascii="Times New Roman" w:hAnsi="Times New Roman" w:eastAsia="仿宋_GB2312" w:cs="Times New Roman"/>
          <w:b w:val="0"/>
          <w:bCs w:val="0"/>
          <w:color w:val="auto"/>
          <w:spacing w:val="0"/>
          <w:w w:val="100"/>
          <w:sz w:val="32"/>
          <w:szCs w:val="32"/>
          <w:highlight w:val="none"/>
        </w:rPr>
      </w:pPr>
      <w:r>
        <w:rPr>
          <w:rFonts w:hint="default" w:ascii="Times New Roman" w:hAnsi="Times New Roman" w:eastAsia="仿宋_GB2312" w:cs="Times New Roman"/>
          <w:b/>
          <w:bCs/>
          <w:color w:val="auto"/>
          <w:spacing w:val="0"/>
          <w:w w:val="100"/>
          <w:sz w:val="32"/>
          <w:szCs w:val="32"/>
          <w:highlight w:val="none"/>
        </w:rPr>
        <w:t>1.优化民营经济发展法治环境。</w:t>
      </w:r>
      <w:r>
        <w:rPr>
          <w:rFonts w:hint="default" w:ascii="Times New Roman" w:hAnsi="Times New Roman" w:eastAsia="仿宋_GB2312" w:cs="Times New Roman"/>
          <w:snapToGrid w:val="0"/>
          <w:color w:val="auto"/>
          <w:kern w:val="0"/>
          <w:sz w:val="32"/>
          <w:szCs w:val="32"/>
          <w:highlight w:val="none"/>
          <w:lang w:val="en-US" w:eastAsia="zh-CN" w:bidi="ar-SA"/>
        </w:rPr>
        <w:t>加大对民营企业商标、专利等知识产权保护力度，全面推行知识产权民事、行政和刑事审判“三合一”工作机制，依法严惩侵犯知识产权的犯罪行为。</w:t>
      </w:r>
      <w:r>
        <w:rPr>
          <w:rFonts w:hint="default" w:ascii="Times New Roman" w:hAnsi="Times New Roman" w:eastAsia="仿宋_GB2312" w:cs="Times New Roman"/>
          <w:b w:val="0"/>
          <w:bCs w:val="0"/>
          <w:color w:val="auto"/>
          <w:sz w:val="32"/>
          <w:szCs w:val="32"/>
          <w:highlight w:val="none"/>
          <w:lang w:val="en-US" w:eastAsia="zh-CN"/>
        </w:rPr>
        <w:t>落实知识产权侵权惩罚性赔偿、行为保全等制度。严把民企案件质量关，</w:t>
      </w:r>
      <w:r>
        <w:rPr>
          <w:rFonts w:hint="default" w:ascii="Times New Roman" w:hAnsi="Times New Roman" w:eastAsia="仿宋_GB2312" w:cs="Times New Roman"/>
          <w:snapToGrid w:val="0"/>
          <w:color w:val="auto"/>
          <w:kern w:val="0"/>
          <w:sz w:val="32"/>
          <w:szCs w:val="32"/>
          <w:highlight w:val="none"/>
          <w:lang w:val="en-US" w:eastAsia="zh-CN" w:bidi="ar-SA"/>
        </w:rPr>
        <w:t>畅通案件申诉渠道，对判决、裁定确有错误的，依法及时监督纠正。加强立案监督和侦查活动监督，防止以行政或刑事手段干预经济纠纷。持续开展涉企刑事“挂案”专项清理行动。</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司法</w:t>
      </w:r>
      <w:r>
        <w:rPr>
          <w:rFonts w:hint="default" w:ascii="Times New Roman" w:hAnsi="Times New Roman" w:eastAsia="楷体_GB2312" w:cs="Times New Roman"/>
          <w:b w:val="0"/>
          <w:bCs w:val="0"/>
          <w:color w:val="auto"/>
          <w:spacing w:val="0"/>
          <w:w w:val="100"/>
          <w:sz w:val="32"/>
          <w:szCs w:val="32"/>
          <w:highlight w:val="none"/>
          <w:lang w:eastAsia="zh-CN"/>
        </w:rPr>
        <w:t>局、</w:t>
      </w:r>
      <w:r>
        <w:rPr>
          <w:rFonts w:hint="default" w:ascii="Times New Roman" w:hAnsi="Times New Roman" w:eastAsia="楷体_GB2312" w:cs="Times New Roman"/>
          <w:b w:val="0"/>
          <w:bCs w:val="0"/>
          <w:color w:val="auto"/>
          <w:spacing w:val="0"/>
          <w:w w:val="100"/>
          <w:sz w:val="32"/>
          <w:szCs w:val="32"/>
          <w:highlight w:val="none"/>
          <w:lang w:val="en-US" w:eastAsia="zh-CN"/>
        </w:rPr>
        <w:t>市</w:t>
      </w:r>
      <w:r>
        <w:rPr>
          <w:rFonts w:hint="default" w:ascii="Times New Roman" w:hAnsi="Times New Roman" w:eastAsia="楷体_GB2312" w:cs="Times New Roman"/>
          <w:b w:val="0"/>
          <w:bCs w:val="0"/>
          <w:color w:val="auto"/>
          <w:spacing w:val="0"/>
          <w:w w:val="100"/>
          <w:sz w:val="32"/>
          <w:szCs w:val="32"/>
          <w:highlight w:val="none"/>
        </w:rPr>
        <w:t>市场监管局、</w:t>
      </w:r>
      <w:r>
        <w:rPr>
          <w:rFonts w:hint="default" w:ascii="Times New Roman" w:hAnsi="Times New Roman" w:eastAsia="楷体_GB2312" w:cs="Times New Roman"/>
          <w:b w:val="0"/>
          <w:bCs w:val="0"/>
          <w:color w:val="auto"/>
          <w:spacing w:val="0"/>
          <w:w w:val="100"/>
          <w:sz w:val="32"/>
          <w:szCs w:val="32"/>
          <w:highlight w:val="none"/>
          <w:lang w:eastAsia="zh-CN"/>
        </w:rPr>
        <w:t>市中级</w:t>
      </w:r>
      <w:r>
        <w:rPr>
          <w:rFonts w:hint="default" w:ascii="Times New Roman" w:hAnsi="Times New Roman" w:eastAsia="楷体_GB2312" w:cs="Times New Roman"/>
          <w:b w:val="0"/>
          <w:bCs w:val="0"/>
          <w:color w:val="auto"/>
          <w:spacing w:val="0"/>
          <w:w w:val="100"/>
          <w:sz w:val="32"/>
          <w:szCs w:val="32"/>
          <w:highlight w:val="none"/>
        </w:rPr>
        <w:t>人民法院、</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检察院、</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公安</w:t>
      </w:r>
      <w:r>
        <w:rPr>
          <w:rFonts w:hint="default" w:ascii="Times New Roman" w:hAnsi="Times New Roman" w:eastAsia="楷体_GB2312" w:cs="Times New Roman"/>
          <w:b w:val="0"/>
          <w:bCs w:val="0"/>
          <w:color w:val="auto"/>
          <w:spacing w:val="0"/>
          <w:w w:val="100"/>
          <w:sz w:val="32"/>
          <w:szCs w:val="32"/>
          <w:highlight w:val="none"/>
          <w:lang w:eastAsia="zh-CN"/>
        </w:rPr>
        <w:t>局</w:t>
      </w:r>
      <w:r>
        <w:rPr>
          <w:rFonts w:hint="default" w:ascii="Times New Roman" w:hAnsi="Times New Roman" w:eastAsia="楷体_GB2312" w:cs="Times New Roman"/>
          <w:b w:val="0"/>
          <w:bCs w:val="0"/>
          <w:color w:val="auto"/>
          <w:spacing w:val="0"/>
          <w:w w:val="100"/>
          <w:sz w:val="32"/>
          <w:szCs w:val="32"/>
          <w:highlight w:val="none"/>
        </w:rPr>
        <w:t>等按职责分工负责</w:t>
      </w:r>
      <w:r>
        <w:rPr>
          <w:rFonts w:hint="default" w:ascii="Times New Roman" w:hAnsi="Times New Roman" w:eastAsia="楷体_GB2312" w:cs="Times New Roman"/>
          <w:b w:val="0"/>
          <w:bCs w:val="0"/>
          <w:color w:val="auto"/>
          <w:spacing w:val="0"/>
          <w:w w:val="100"/>
          <w:sz w:val="32"/>
          <w:szCs w:val="32"/>
          <w:highlight w:val="none"/>
          <w:lang w:eastAsia="zh-CN"/>
        </w:rPr>
        <w:t>）</w:t>
      </w:r>
    </w:p>
    <w:p w14:paraId="58DD02F5">
      <w:pPr>
        <w:pStyle w:val="2"/>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43" w:firstLineChars="200"/>
        <w:jc w:val="both"/>
        <w:textAlignment w:val="baseline"/>
        <w:rPr>
          <w:rFonts w:hint="default" w:ascii="Times New Roman" w:hAnsi="Times New Roman" w:eastAsia="仿宋_GB2312" w:cs="Times New Roman"/>
          <w:b w:val="0"/>
          <w:bCs w:val="0"/>
          <w:color w:val="auto"/>
          <w:spacing w:val="0"/>
          <w:w w:val="100"/>
          <w:sz w:val="32"/>
          <w:szCs w:val="32"/>
          <w:highlight w:val="none"/>
        </w:rPr>
      </w:pPr>
      <w:r>
        <w:rPr>
          <w:rFonts w:hint="default" w:ascii="Times New Roman" w:hAnsi="Times New Roman" w:eastAsia="仿宋_GB2312" w:cs="Times New Roman"/>
          <w:b/>
          <w:bCs/>
          <w:color w:val="auto"/>
          <w:spacing w:val="0"/>
          <w:w w:val="100"/>
          <w:sz w:val="32"/>
          <w:szCs w:val="32"/>
          <w:highlight w:val="none"/>
        </w:rPr>
        <w:t>2.依法严惩影响民营经济健康发展的违法犯罪。</w:t>
      </w:r>
      <w:r>
        <w:rPr>
          <w:rFonts w:hint="default" w:ascii="Times New Roman" w:hAnsi="Times New Roman" w:eastAsia="仿宋_GB2312" w:cs="Times New Roman"/>
          <w:snapToGrid w:val="0"/>
          <w:color w:val="auto"/>
          <w:kern w:val="0"/>
          <w:sz w:val="32"/>
          <w:szCs w:val="32"/>
          <w:highlight w:val="none"/>
          <w:lang w:val="en-US" w:eastAsia="zh-CN" w:bidi="ar-SA"/>
        </w:rPr>
        <w:t>组织开展落实“昆仑”“剑网”等专项行动，依法打击侵犯民营企业和企业家合法权益的各类犯罪活动，严厉打击破坏企业生产经营、侵吞企业资产、损害企业商誉、侵犯企业知识产权等犯罪。依法加大对民营企业工作人员职务侵占、挪用资金、受贿等内部职务犯罪的惩处力度，推动加强法律风险防控。</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委政法委、</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公安</w:t>
      </w:r>
      <w:r>
        <w:rPr>
          <w:rFonts w:hint="default" w:ascii="Times New Roman" w:hAnsi="Times New Roman" w:eastAsia="楷体_GB2312" w:cs="Times New Roman"/>
          <w:b w:val="0"/>
          <w:bCs w:val="0"/>
          <w:color w:val="auto"/>
          <w:spacing w:val="0"/>
          <w:w w:val="100"/>
          <w:sz w:val="32"/>
          <w:szCs w:val="32"/>
          <w:highlight w:val="none"/>
          <w:lang w:eastAsia="zh-CN"/>
        </w:rPr>
        <w:t>局</w:t>
      </w:r>
      <w:r>
        <w:rPr>
          <w:rFonts w:hint="default" w:ascii="Times New Roman" w:hAnsi="Times New Roman" w:eastAsia="楷体_GB2312" w:cs="Times New Roman"/>
          <w:b w:val="0"/>
          <w:bCs w:val="0"/>
          <w:color w:val="auto"/>
          <w:spacing w:val="0"/>
          <w:w w:val="100"/>
          <w:sz w:val="32"/>
          <w:szCs w:val="32"/>
          <w:highlight w:val="none"/>
        </w:rPr>
        <w:t>、</w:t>
      </w:r>
      <w:r>
        <w:rPr>
          <w:rFonts w:hint="default" w:ascii="Times New Roman" w:hAnsi="Times New Roman" w:eastAsia="楷体_GB2312" w:cs="Times New Roman"/>
          <w:b w:val="0"/>
          <w:bCs w:val="0"/>
          <w:color w:val="auto"/>
          <w:spacing w:val="0"/>
          <w:w w:val="100"/>
          <w:sz w:val="32"/>
          <w:szCs w:val="32"/>
          <w:highlight w:val="none"/>
          <w:lang w:eastAsia="zh-CN"/>
        </w:rPr>
        <w:t>市中级</w:t>
      </w:r>
      <w:r>
        <w:rPr>
          <w:rFonts w:hint="default" w:ascii="Times New Roman" w:hAnsi="Times New Roman" w:eastAsia="楷体_GB2312" w:cs="Times New Roman"/>
          <w:b w:val="0"/>
          <w:bCs w:val="0"/>
          <w:color w:val="auto"/>
          <w:spacing w:val="0"/>
          <w:w w:val="100"/>
          <w:sz w:val="32"/>
          <w:szCs w:val="32"/>
          <w:highlight w:val="none"/>
        </w:rPr>
        <w:t>人民法院、</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检察院等按职责分工负责</w:t>
      </w:r>
      <w:r>
        <w:rPr>
          <w:rFonts w:hint="default" w:ascii="Times New Roman" w:hAnsi="Times New Roman" w:eastAsia="楷体_GB2312" w:cs="Times New Roman"/>
          <w:b w:val="0"/>
          <w:bCs w:val="0"/>
          <w:color w:val="auto"/>
          <w:spacing w:val="0"/>
          <w:w w:val="100"/>
          <w:sz w:val="32"/>
          <w:szCs w:val="32"/>
          <w:highlight w:val="none"/>
          <w:lang w:eastAsia="zh-CN"/>
        </w:rPr>
        <w:t>）</w:t>
      </w:r>
    </w:p>
    <w:p w14:paraId="7BD4BC05">
      <w:pPr>
        <w:pStyle w:val="2"/>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43" w:firstLineChars="200"/>
        <w:jc w:val="both"/>
        <w:textAlignment w:val="baseline"/>
        <w:rPr>
          <w:rFonts w:hint="default" w:ascii="Times New Roman" w:hAnsi="Times New Roman" w:eastAsia="仿宋_GB2312" w:cs="Times New Roman"/>
          <w:b w:val="0"/>
          <w:bCs w:val="0"/>
          <w:color w:val="auto"/>
          <w:spacing w:val="0"/>
          <w:w w:val="100"/>
          <w:sz w:val="32"/>
          <w:szCs w:val="32"/>
          <w:highlight w:val="none"/>
        </w:rPr>
      </w:pPr>
      <w:r>
        <w:rPr>
          <w:rFonts w:hint="default" w:ascii="Times New Roman" w:hAnsi="Times New Roman" w:eastAsia="仿宋_GB2312" w:cs="Times New Roman"/>
          <w:b/>
          <w:bCs/>
          <w:color w:val="auto"/>
          <w:spacing w:val="0"/>
          <w:w w:val="100"/>
          <w:sz w:val="32"/>
          <w:szCs w:val="32"/>
          <w:highlight w:val="none"/>
        </w:rPr>
        <w:t>3.</w:t>
      </w:r>
      <w:r>
        <w:rPr>
          <w:rFonts w:hint="default" w:ascii="Times New Roman" w:hAnsi="Times New Roman" w:eastAsia="仿宋_GB2312" w:cs="Times New Roman"/>
          <w:b/>
          <w:bCs/>
          <w:color w:val="auto"/>
          <w:spacing w:val="0"/>
          <w:w w:val="100"/>
          <w:sz w:val="32"/>
          <w:szCs w:val="32"/>
          <w:highlight w:val="none"/>
          <w:lang w:eastAsia="zh-CN"/>
        </w:rPr>
        <w:t>组织</w:t>
      </w:r>
      <w:r>
        <w:rPr>
          <w:rFonts w:hint="default" w:ascii="Times New Roman" w:hAnsi="Times New Roman" w:eastAsia="仿宋_GB2312" w:cs="Times New Roman"/>
          <w:b/>
          <w:bCs/>
          <w:color w:val="auto"/>
          <w:spacing w:val="0"/>
          <w:w w:val="100"/>
          <w:sz w:val="32"/>
          <w:szCs w:val="32"/>
          <w:highlight w:val="none"/>
        </w:rPr>
        <w:t>涉企执法司法专项监督。</w:t>
      </w:r>
      <w:r>
        <w:rPr>
          <w:rFonts w:hint="default" w:ascii="Times New Roman" w:hAnsi="Times New Roman" w:eastAsia="仿宋_GB2312" w:cs="Times New Roman"/>
          <w:snapToGrid w:val="0"/>
          <w:color w:val="auto"/>
          <w:kern w:val="0"/>
          <w:sz w:val="32"/>
          <w:szCs w:val="32"/>
          <w:highlight w:val="none"/>
          <w:lang w:val="en-US" w:eastAsia="zh-CN" w:bidi="ar-SA"/>
        </w:rPr>
        <w:t>开展重点案件（线索）评查核查，排查整治违规异地执法、趋利执法等突出问题。加强全流程检察监督，健全和落实重大跨区域涉企案件省级把关、重点监督线索上提一级把关等制度机制，健全涉案财物审查和追缴处置机制。持续推进“检察护企”专项行动暨民营经济司法保障专项监督，及时发现和纠正应当立案而不立案、不应当立案而立案、长期“挂案”、违法查封扣押冻结等情形，坚决防止和纠正利用行政、刑事手段干预经济纠纷等违法情形。</w:t>
      </w:r>
      <w:r>
        <w:rPr>
          <w:rFonts w:hint="default" w:ascii="Times New Roman" w:hAnsi="Times New Roman" w:eastAsia="楷体_GB2312" w:cs="Times New Roman"/>
          <w:b w:val="0"/>
          <w:bCs w:val="0"/>
          <w:color w:val="auto"/>
          <w:spacing w:val="0"/>
          <w:w w:val="100"/>
          <w:sz w:val="32"/>
          <w:szCs w:val="32"/>
          <w:highlight w:val="none"/>
          <w:lang w:eastAsia="zh-CN"/>
        </w:rPr>
        <w:t>（市委</w:t>
      </w:r>
      <w:r>
        <w:rPr>
          <w:rFonts w:hint="default" w:ascii="Times New Roman" w:hAnsi="Times New Roman" w:eastAsia="楷体_GB2312" w:cs="Times New Roman"/>
          <w:b w:val="0"/>
          <w:bCs w:val="0"/>
          <w:color w:val="auto"/>
          <w:spacing w:val="0"/>
          <w:w w:val="100"/>
          <w:sz w:val="32"/>
          <w:szCs w:val="32"/>
          <w:highlight w:val="none"/>
        </w:rPr>
        <w:t>政法委、</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公安</w:t>
      </w:r>
      <w:r>
        <w:rPr>
          <w:rFonts w:hint="default" w:ascii="Times New Roman" w:hAnsi="Times New Roman" w:eastAsia="楷体_GB2312" w:cs="Times New Roman"/>
          <w:b w:val="0"/>
          <w:bCs w:val="0"/>
          <w:color w:val="auto"/>
          <w:spacing w:val="0"/>
          <w:w w:val="100"/>
          <w:sz w:val="32"/>
          <w:szCs w:val="32"/>
          <w:highlight w:val="none"/>
          <w:lang w:eastAsia="zh-CN"/>
        </w:rPr>
        <w:t>局</w:t>
      </w:r>
      <w:r>
        <w:rPr>
          <w:rFonts w:hint="default" w:ascii="Times New Roman" w:hAnsi="Times New Roman" w:eastAsia="楷体_GB2312" w:cs="Times New Roman"/>
          <w:b w:val="0"/>
          <w:bCs w:val="0"/>
          <w:color w:val="auto"/>
          <w:spacing w:val="0"/>
          <w:w w:val="100"/>
          <w:sz w:val="32"/>
          <w:szCs w:val="32"/>
          <w:highlight w:val="none"/>
        </w:rPr>
        <w:t>、</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检察院、</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司法</w:t>
      </w:r>
      <w:r>
        <w:rPr>
          <w:rFonts w:hint="default" w:ascii="Times New Roman" w:hAnsi="Times New Roman" w:eastAsia="楷体_GB2312" w:cs="Times New Roman"/>
          <w:b w:val="0"/>
          <w:bCs w:val="0"/>
          <w:color w:val="auto"/>
          <w:spacing w:val="0"/>
          <w:w w:val="100"/>
          <w:sz w:val="32"/>
          <w:szCs w:val="32"/>
          <w:highlight w:val="none"/>
          <w:lang w:eastAsia="zh-CN"/>
        </w:rPr>
        <w:t>局</w:t>
      </w:r>
      <w:r>
        <w:rPr>
          <w:rFonts w:hint="default" w:ascii="Times New Roman" w:hAnsi="Times New Roman" w:eastAsia="楷体_GB2312" w:cs="Times New Roman"/>
          <w:b w:val="0"/>
          <w:bCs w:val="0"/>
          <w:color w:val="auto"/>
          <w:spacing w:val="0"/>
          <w:w w:val="100"/>
          <w:sz w:val="32"/>
          <w:szCs w:val="32"/>
          <w:highlight w:val="none"/>
        </w:rPr>
        <w:t>、</w:t>
      </w:r>
      <w:r>
        <w:rPr>
          <w:rFonts w:hint="default" w:ascii="Times New Roman" w:hAnsi="Times New Roman" w:eastAsia="楷体_GB2312" w:cs="Times New Roman"/>
          <w:b w:val="0"/>
          <w:bCs w:val="0"/>
          <w:color w:val="auto"/>
          <w:spacing w:val="0"/>
          <w:w w:val="100"/>
          <w:sz w:val="32"/>
          <w:szCs w:val="32"/>
          <w:highlight w:val="none"/>
          <w:lang w:eastAsia="zh-CN"/>
        </w:rPr>
        <w:t>市中级</w:t>
      </w:r>
      <w:r>
        <w:rPr>
          <w:rFonts w:hint="default" w:ascii="Times New Roman" w:hAnsi="Times New Roman" w:eastAsia="楷体_GB2312" w:cs="Times New Roman"/>
          <w:b w:val="0"/>
          <w:bCs w:val="0"/>
          <w:color w:val="auto"/>
          <w:spacing w:val="0"/>
          <w:w w:val="100"/>
          <w:sz w:val="32"/>
          <w:szCs w:val="32"/>
          <w:highlight w:val="none"/>
        </w:rPr>
        <w:t>人民法院等按职责分工负责</w:t>
      </w:r>
      <w:r>
        <w:rPr>
          <w:rFonts w:hint="default" w:ascii="Times New Roman" w:hAnsi="Times New Roman" w:eastAsia="楷体_GB2312" w:cs="Times New Roman"/>
          <w:b w:val="0"/>
          <w:bCs w:val="0"/>
          <w:color w:val="auto"/>
          <w:spacing w:val="0"/>
          <w:w w:val="100"/>
          <w:sz w:val="32"/>
          <w:szCs w:val="32"/>
          <w:highlight w:val="none"/>
          <w:lang w:eastAsia="zh-CN"/>
        </w:rPr>
        <w:t>）</w:t>
      </w:r>
    </w:p>
    <w:p w14:paraId="3891E738">
      <w:pPr>
        <w:pStyle w:val="2"/>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43" w:firstLineChars="200"/>
        <w:jc w:val="both"/>
        <w:textAlignment w:val="baseline"/>
        <w:rPr>
          <w:rFonts w:hint="default" w:ascii="Times New Roman" w:hAnsi="Times New Roman" w:eastAsia="仿宋_GB2312" w:cs="Times New Roman"/>
          <w:b w:val="0"/>
          <w:bCs w:val="0"/>
          <w:color w:val="auto"/>
          <w:spacing w:val="0"/>
          <w:w w:val="100"/>
          <w:sz w:val="32"/>
          <w:szCs w:val="32"/>
          <w:highlight w:val="none"/>
        </w:rPr>
      </w:pPr>
      <w:r>
        <w:rPr>
          <w:rFonts w:hint="default" w:ascii="Times New Roman" w:hAnsi="Times New Roman" w:eastAsia="仿宋_GB2312" w:cs="Times New Roman"/>
          <w:b/>
          <w:bCs/>
          <w:color w:val="auto"/>
          <w:spacing w:val="0"/>
          <w:w w:val="100"/>
          <w:sz w:val="32"/>
          <w:szCs w:val="32"/>
          <w:highlight w:val="none"/>
        </w:rPr>
        <w:t>4.</w:t>
      </w:r>
      <w:r>
        <w:rPr>
          <w:rFonts w:hint="default" w:ascii="Times New Roman" w:hAnsi="Times New Roman" w:eastAsia="仿宋_GB2312" w:cs="Times New Roman"/>
          <w:b/>
          <w:bCs/>
          <w:color w:val="auto"/>
          <w:spacing w:val="0"/>
          <w:w w:val="100"/>
          <w:sz w:val="32"/>
          <w:szCs w:val="32"/>
          <w:highlight w:val="none"/>
          <w:lang w:eastAsia="zh-CN"/>
        </w:rPr>
        <w:t>优化</w:t>
      </w:r>
      <w:r>
        <w:rPr>
          <w:rFonts w:hint="default" w:ascii="Times New Roman" w:hAnsi="Times New Roman" w:eastAsia="仿宋_GB2312" w:cs="Times New Roman"/>
          <w:b/>
          <w:bCs/>
          <w:color w:val="auto"/>
          <w:spacing w:val="0"/>
          <w:w w:val="100"/>
          <w:sz w:val="32"/>
          <w:szCs w:val="32"/>
          <w:highlight w:val="none"/>
        </w:rPr>
        <w:t>涉企法律服务。</w:t>
      </w:r>
      <w:r>
        <w:rPr>
          <w:rFonts w:hint="default" w:ascii="Times New Roman" w:hAnsi="Times New Roman" w:eastAsia="仿宋_GB2312" w:cs="Times New Roman"/>
          <w:b w:val="0"/>
          <w:bCs w:val="0"/>
          <w:color w:val="auto"/>
          <w:spacing w:val="0"/>
          <w:w w:val="100"/>
          <w:sz w:val="32"/>
          <w:szCs w:val="32"/>
          <w:highlight w:val="none"/>
        </w:rPr>
        <w:t>深化“万所联万会”机制建设，常态化开展民营企业“法治体检”，引导广大律师持续做好民营经济法律服务保障工作。建立健全企业破产处置府院联动机制，加强企业重整识别机制，依法拯救陷入财务困境但有挽救价值的民营企业。监督指导律师</w:t>
      </w:r>
      <w:r>
        <w:rPr>
          <w:rFonts w:hint="default" w:ascii="Times New Roman" w:hAnsi="Times New Roman" w:eastAsia="仿宋_GB2312" w:cs="Times New Roman"/>
          <w:b w:val="0"/>
          <w:bCs w:val="0"/>
          <w:color w:val="auto"/>
          <w:spacing w:val="0"/>
          <w:w w:val="100"/>
          <w:sz w:val="32"/>
          <w:szCs w:val="32"/>
          <w:highlight w:val="none"/>
          <w:lang w:eastAsia="zh-CN"/>
        </w:rPr>
        <w:t>和</w:t>
      </w:r>
      <w:r>
        <w:rPr>
          <w:rFonts w:hint="default" w:ascii="Times New Roman" w:hAnsi="Times New Roman" w:eastAsia="仿宋_GB2312" w:cs="Times New Roman"/>
          <w:b w:val="0"/>
          <w:bCs w:val="0"/>
          <w:color w:val="auto"/>
          <w:spacing w:val="0"/>
          <w:w w:val="100"/>
          <w:sz w:val="32"/>
          <w:szCs w:val="32"/>
          <w:highlight w:val="none"/>
        </w:rPr>
        <w:t>公证、司法鉴定、仲裁机构等依法依规提供便捷优质高效服务，优化省涉外法律服务中心运行机制。</w:t>
      </w:r>
      <w:r>
        <w:rPr>
          <w:rFonts w:hint="default" w:ascii="Times New Roman" w:hAnsi="Times New Roman" w:eastAsia="仿宋_GB2312" w:cs="Times New Roman"/>
          <w:b w:val="0"/>
          <w:bCs w:val="0"/>
          <w:color w:val="auto"/>
          <w:spacing w:val="0"/>
          <w:w w:val="100"/>
          <w:sz w:val="32"/>
          <w:szCs w:val="32"/>
          <w:highlight w:val="none"/>
          <w:lang w:val="en-US" w:eastAsia="zh-CN"/>
        </w:rPr>
        <w:t>支持有条件的商会建立法律调解中心。</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委政法委、</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司法</w:t>
      </w:r>
      <w:r>
        <w:rPr>
          <w:rFonts w:hint="default" w:ascii="Times New Roman" w:hAnsi="Times New Roman" w:eastAsia="楷体_GB2312" w:cs="Times New Roman"/>
          <w:b w:val="0"/>
          <w:bCs w:val="0"/>
          <w:color w:val="auto"/>
          <w:spacing w:val="0"/>
          <w:w w:val="100"/>
          <w:sz w:val="32"/>
          <w:szCs w:val="32"/>
          <w:highlight w:val="none"/>
          <w:lang w:eastAsia="zh-CN"/>
        </w:rPr>
        <w:t>局</w:t>
      </w:r>
      <w:r>
        <w:rPr>
          <w:rFonts w:hint="default" w:ascii="Times New Roman" w:hAnsi="Times New Roman" w:eastAsia="楷体_GB2312" w:cs="Times New Roman"/>
          <w:b w:val="0"/>
          <w:bCs w:val="0"/>
          <w:color w:val="auto"/>
          <w:spacing w:val="0"/>
          <w:w w:val="100"/>
          <w:sz w:val="32"/>
          <w:szCs w:val="32"/>
          <w:highlight w:val="none"/>
        </w:rPr>
        <w:t>、</w:t>
      </w:r>
      <w:r>
        <w:rPr>
          <w:rFonts w:hint="default" w:ascii="Times New Roman" w:hAnsi="Times New Roman" w:eastAsia="楷体_GB2312" w:cs="Times New Roman"/>
          <w:b w:val="0"/>
          <w:bCs w:val="0"/>
          <w:color w:val="auto"/>
          <w:spacing w:val="0"/>
          <w:w w:val="100"/>
          <w:sz w:val="32"/>
          <w:szCs w:val="32"/>
          <w:highlight w:val="none"/>
          <w:lang w:eastAsia="zh-CN"/>
        </w:rPr>
        <w:t>市中级</w:t>
      </w:r>
      <w:r>
        <w:rPr>
          <w:rFonts w:hint="default" w:ascii="Times New Roman" w:hAnsi="Times New Roman" w:eastAsia="楷体_GB2312" w:cs="Times New Roman"/>
          <w:b w:val="0"/>
          <w:bCs w:val="0"/>
          <w:color w:val="auto"/>
          <w:spacing w:val="0"/>
          <w:w w:val="100"/>
          <w:sz w:val="32"/>
          <w:szCs w:val="32"/>
          <w:highlight w:val="none"/>
        </w:rPr>
        <w:t>人民法院</w:t>
      </w:r>
      <w:r>
        <w:rPr>
          <w:rFonts w:hint="default" w:ascii="Times New Roman" w:hAnsi="Times New Roman" w:eastAsia="楷体_GB2312" w:cs="Times New Roman"/>
          <w:b w:val="0"/>
          <w:bCs w:val="0"/>
          <w:color w:val="auto"/>
          <w:spacing w:val="0"/>
          <w:w w:val="100"/>
          <w:sz w:val="32"/>
          <w:szCs w:val="32"/>
          <w:highlight w:val="none"/>
          <w:lang w:eastAsia="zh-CN"/>
        </w:rPr>
        <w:t>、市工商联</w:t>
      </w:r>
      <w:r>
        <w:rPr>
          <w:rFonts w:hint="default" w:ascii="Times New Roman" w:hAnsi="Times New Roman" w:eastAsia="楷体_GB2312" w:cs="Times New Roman"/>
          <w:b w:val="0"/>
          <w:bCs w:val="0"/>
          <w:color w:val="auto"/>
          <w:spacing w:val="0"/>
          <w:w w:val="100"/>
          <w:sz w:val="32"/>
          <w:szCs w:val="32"/>
          <w:highlight w:val="none"/>
        </w:rPr>
        <w:t>牵头负责</w:t>
      </w:r>
      <w:r>
        <w:rPr>
          <w:rFonts w:hint="default" w:ascii="Times New Roman" w:hAnsi="Times New Roman" w:eastAsia="楷体_GB2312" w:cs="Times New Roman"/>
          <w:b w:val="0"/>
          <w:bCs w:val="0"/>
          <w:color w:val="auto"/>
          <w:spacing w:val="0"/>
          <w:w w:val="100"/>
          <w:sz w:val="32"/>
          <w:szCs w:val="32"/>
          <w:highlight w:val="none"/>
          <w:lang w:eastAsia="zh-CN"/>
        </w:rPr>
        <w:t>）</w:t>
      </w:r>
    </w:p>
    <w:p w14:paraId="13E8F9FC">
      <w:pPr>
        <w:pStyle w:val="2"/>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43" w:firstLineChars="200"/>
        <w:jc w:val="both"/>
        <w:textAlignment w:val="baseline"/>
        <w:rPr>
          <w:rFonts w:hint="default" w:ascii="Times New Roman" w:hAnsi="Times New Roman" w:eastAsia="仿宋_GB2312" w:cs="Times New Roman"/>
          <w:b w:val="0"/>
          <w:bCs w:val="0"/>
          <w:color w:val="auto"/>
          <w:spacing w:val="0"/>
          <w:w w:val="100"/>
          <w:sz w:val="32"/>
          <w:szCs w:val="32"/>
          <w:highlight w:val="none"/>
        </w:rPr>
      </w:pPr>
      <w:r>
        <w:rPr>
          <w:rFonts w:hint="default" w:ascii="Times New Roman" w:hAnsi="Times New Roman" w:eastAsia="仿宋_GB2312" w:cs="Times New Roman"/>
          <w:b/>
          <w:bCs/>
          <w:snapToGrid w:val="0"/>
          <w:color w:val="auto"/>
          <w:spacing w:val="0"/>
          <w:w w:val="100"/>
          <w:kern w:val="0"/>
          <w:sz w:val="32"/>
          <w:szCs w:val="32"/>
          <w:highlight w:val="none"/>
          <w:lang w:val="en-US" w:eastAsia="zh-CN" w:bidi="ar-SA"/>
        </w:rPr>
        <w:t>5.着力</w:t>
      </w:r>
      <w:r>
        <w:rPr>
          <w:rFonts w:hint="default" w:ascii="Times New Roman" w:hAnsi="Times New Roman" w:eastAsia="仿宋_GB2312" w:cs="Times New Roman"/>
          <w:b/>
          <w:bCs/>
          <w:snapToGrid w:val="0"/>
          <w:color w:val="auto"/>
          <w:spacing w:val="0"/>
          <w:w w:val="100"/>
          <w:kern w:val="0"/>
          <w:sz w:val="32"/>
          <w:szCs w:val="32"/>
          <w:highlight w:val="none"/>
          <w:lang w:val="en-US" w:eastAsia="en-US" w:bidi="ar-SA"/>
        </w:rPr>
        <w:t>解决拖欠账款</w:t>
      </w:r>
      <w:r>
        <w:rPr>
          <w:rFonts w:hint="default" w:ascii="Times New Roman" w:hAnsi="Times New Roman" w:eastAsia="仿宋_GB2312" w:cs="Times New Roman"/>
          <w:b/>
          <w:bCs/>
          <w:snapToGrid w:val="0"/>
          <w:color w:val="auto"/>
          <w:spacing w:val="0"/>
          <w:w w:val="100"/>
          <w:kern w:val="0"/>
          <w:sz w:val="32"/>
          <w:szCs w:val="32"/>
          <w:highlight w:val="none"/>
          <w:lang w:val="en-US" w:eastAsia="zh-CN" w:bidi="ar-SA"/>
        </w:rPr>
        <w:t>问题。</w:t>
      </w:r>
      <w:r>
        <w:rPr>
          <w:rFonts w:hint="default" w:ascii="Times New Roman" w:hAnsi="Times New Roman" w:eastAsia="仿宋_GB2312" w:cs="Times New Roman"/>
          <w:b w:val="0"/>
          <w:bCs w:val="0"/>
          <w:color w:val="auto"/>
          <w:spacing w:val="0"/>
          <w:w w:val="100"/>
          <w:sz w:val="32"/>
          <w:szCs w:val="32"/>
          <w:highlight w:val="none"/>
        </w:rPr>
        <w:t>进一步摸清地方政府拖欠企业账款底数，完善拖欠企业账款明细台账，逐笔落实责任主体、清偿计划、资金来源、还款时限，细化具体目标任务和保障措施，推动无分歧欠款“应清尽清”。加强政府投资项目论证，严格控制项目概预算</w:t>
      </w:r>
      <w:r>
        <w:rPr>
          <w:rFonts w:hint="default" w:ascii="Times New Roman" w:hAnsi="Times New Roman" w:eastAsia="仿宋_GB2312" w:cs="Times New Roman"/>
          <w:b w:val="0"/>
          <w:bCs w:val="0"/>
          <w:color w:val="auto"/>
          <w:spacing w:val="0"/>
          <w:w w:val="100"/>
          <w:sz w:val="32"/>
          <w:szCs w:val="32"/>
          <w:highlight w:val="none"/>
          <w:lang w:eastAsia="zh-CN"/>
        </w:rPr>
        <w:t>，</w:t>
      </w:r>
      <w:r>
        <w:rPr>
          <w:rFonts w:hint="default" w:ascii="Times New Roman" w:hAnsi="Times New Roman" w:eastAsia="仿宋_GB2312" w:cs="Times New Roman"/>
          <w:b w:val="0"/>
          <w:bCs w:val="0"/>
          <w:color w:val="auto"/>
          <w:spacing w:val="0"/>
          <w:w w:val="100"/>
          <w:sz w:val="32"/>
          <w:szCs w:val="32"/>
          <w:highlight w:val="none"/>
        </w:rPr>
        <w:t>量入为出，严禁未批先建、先开工后立项，严禁以各种方式要求企业垫资建设政府投资项目。加强政府投资项目监管，防止因投资超预算、资金不到位、支付不及时、拖延验收审计等形成拖欠。发挥违约拖欠中小企业账款登记</w:t>
      </w:r>
      <w:r>
        <w:rPr>
          <w:rFonts w:hint="default" w:ascii="Times New Roman" w:hAnsi="Times New Roman" w:eastAsia="仿宋_GB2312" w:cs="Times New Roman"/>
          <w:b w:val="0"/>
          <w:bCs w:val="0"/>
          <w:color w:val="auto"/>
          <w:spacing w:val="0"/>
          <w:w w:val="100"/>
          <w:sz w:val="32"/>
          <w:szCs w:val="32"/>
          <w:highlight w:val="none"/>
          <w:lang w:eastAsia="zh-CN"/>
        </w:rPr>
        <w:t>（</w:t>
      </w:r>
      <w:r>
        <w:rPr>
          <w:rFonts w:hint="default" w:ascii="Times New Roman" w:hAnsi="Times New Roman" w:eastAsia="仿宋_GB2312" w:cs="Times New Roman"/>
          <w:b w:val="0"/>
          <w:bCs w:val="0"/>
          <w:color w:val="auto"/>
          <w:spacing w:val="0"/>
          <w:w w:val="100"/>
          <w:sz w:val="32"/>
          <w:szCs w:val="32"/>
          <w:highlight w:val="none"/>
        </w:rPr>
        <w:t>投诉</w:t>
      </w:r>
      <w:r>
        <w:rPr>
          <w:rFonts w:hint="default" w:ascii="Times New Roman" w:hAnsi="Times New Roman" w:eastAsia="仿宋_GB2312" w:cs="Times New Roman"/>
          <w:b w:val="0"/>
          <w:bCs w:val="0"/>
          <w:color w:val="auto"/>
          <w:spacing w:val="0"/>
          <w:w w:val="100"/>
          <w:sz w:val="32"/>
          <w:szCs w:val="32"/>
          <w:highlight w:val="none"/>
          <w:lang w:eastAsia="zh-CN"/>
        </w:rPr>
        <w:t>）</w:t>
      </w:r>
      <w:r>
        <w:rPr>
          <w:rFonts w:hint="default" w:ascii="Times New Roman" w:hAnsi="Times New Roman" w:eastAsia="仿宋_GB2312" w:cs="Times New Roman"/>
          <w:b w:val="0"/>
          <w:bCs w:val="0"/>
          <w:color w:val="auto"/>
          <w:spacing w:val="0"/>
          <w:w w:val="100"/>
          <w:sz w:val="32"/>
          <w:szCs w:val="32"/>
          <w:highlight w:val="none"/>
        </w:rPr>
        <w:t>平台作用，加强投诉事项的分办、催办、督办和反馈。加大对拖欠主体的函询、约谈、督导和通报力度，依法公布大型企业逾期未支付个体工商户和小微企业款项信息。建立涉党政机关、事业单位、国有企业拖欠民营企业账款执行案件专项管理制度。建立健全解决企业账款拖欠问题长效机制</w:t>
      </w:r>
      <w:r>
        <w:rPr>
          <w:rFonts w:hint="default" w:ascii="Times New Roman" w:hAnsi="Times New Roman" w:eastAsia="仿宋_GB2312" w:cs="Times New Roman"/>
          <w:b w:val="0"/>
          <w:bCs w:val="0"/>
          <w:color w:val="auto"/>
          <w:spacing w:val="0"/>
          <w:w w:val="100"/>
          <w:sz w:val="32"/>
          <w:szCs w:val="32"/>
          <w:highlight w:val="none"/>
          <w:lang w:eastAsia="zh-CN"/>
        </w:rPr>
        <w:t>和</w:t>
      </w:r>
      <w:r>
        <w:rPr>
          <w:rFonts w:hint="default" w:ascii="Times New Roman" w:hAnsi="Times New Roman" w:eastAsia="仿宋_GB2312" w:cs="Times New Roman"/>
          <w:b w:val="0"/>
          <w:bCs w:val="0"/>
          <w:color w:val="auto"/>
          <w:spacing w:val="0"/>
          <w:w w:val="100"/>
          <w:sz w:val="32"/>
          <w:szCs w:val="32"/>
          <w:highlight w:val="none"/>
        </w:rPr>
        <w:t>大型企业拖欠中小微企业账款案件快立、快审、快执工作机制</w:t>
      </w:r>
      <w:r>
        <w:rPr>
          <w:rFonts w:hint="default" w:ascii="Times New Roman" w:hAnsi="Times New Roman" w:eastAsia="仿宋_GB2312" w:cs="Times New Roman"/>
          <w:b w:val="0"/>
          <w:bCs w:val="0"/>
          <w:color w:val="auto"/>
          <w:spacing w:val="0"/>
          <w:w w:val="100"/>
          <w:sz w:val="32"/>
          <w:szCs w:val="32"/>
          <w:highlight w:val="none"/>
          <w:lang w:eastAsia="zh-CN"/>
        </w:rPr>
        <w:t>，</w:t>
      </w:r>
      <w:r>
        <w:rPr>
          <w:rFonts w:hint="default" w:ascii="Times New Roman" w:hAnsi="Times New Roman" w:eastAsia="仿宋_GB2312" w:cs="Times New Roman"/>
          <w:b w:val="0"/>
          <w:bCs w:val="0"/>
          <w:color w:val="auto"/>
          <w:spacing w:val="0"/>
          <w:w w:val="100"/>
          <w:sz w:val="32"/>
          <w:szCs w:val="32"/>
          <w:highlight w:val="none"/>
        </w:rPr>
        <w:t>提升拖欠中小微企业账款案件纠纷实质化解水平。将防范和化解拖欠中小企业账款纳入全市企业服务考核指标和营商环境评价体系</w:t>
      </w:r>
      <w:r>
        <w:rPr>
          <w:rFonts w:hint="default" w:ascii="Times New Roman" w:hAnsi="Times New Roman" w:eastAsia="仿宋_GB2312" w:cs="Times New Roman"/>
          <w:b w:val="0"/>
          <w:bCs w:val="0"/>
          <w:color w:val="auto"/>
          <w:spacing w:val="0"/>
          <w:w w:val="100"/>
          <w:sz w:val="32"/>
          <w:szCs w:val="32"/>
          <w:highlight w:val="none"/>
          <w:lang w:eastAsia="zh-CN"/>
        </w:rPr>
        <w:t>，</w:t>
      </w:r>
      <w:r>
        <w:rPr>
          <w:rFonts w:hint="default" w:ascii="Times New Roman" w:hAnsi="Times New Roman" w:eastAsia="仿宋_GB2312" w:cs="Times New Roman"/>
          <w:b w:val="0"/>
          <w:bCs w:val="0"/>
          <w:color w:val="auto"/>
          <w:spacing w:val="0"/>
          <w:w w:val="100"/>
          <w:sz w:val="32"/>
          <w:szCs w:val="32"/>
          <w:highlight w:val="none"/>
        </w:rPr>
        <w:t>将各地欠款化解情况列入高质量发展综合绩效考核评价体系。将大型企业逾期未支付中小企业款项年报公示纳入年度经营主体年报公示工作。将</w:t>
      </w:r>
      <w:r>
        <w:rPr>
          <w:rFonts w:hint="default" w:ascii="Times New Roman" w:hAnsi="Times New Roman" w:eastAsia="仿宋_GB2312" w:cs="Times New Roman"/>
          <w:b w:val="0"/>
          <w:bCs w:val="0"/>
          <w:color w:val="auto"/>
          <w:spacing w:val="0"/>
          <w:w w:val="100"/>
          <w:sz w:val="32"/>
          <w:szCs w:val="32"/>
          <w:highlight w:val="none"/>
          <w:lang w:eastAsia="zh-CN"/>
        </w:rPr>
        <w:t>市</w:t>
      </w:r>
      <w:r>
        <w:rPr>
          <w:rFonts w:hint="default" w:ascii="Times New Roman" w:hAnsi="Times New Roman" w:eastAsia="仿宋_GB2312" w:cs="Times New Roman"/>
          <w:b w:val="0"/>
          <w:bCs w:val="0"/>
          <w:color w:val="auto"/>
          <w:spacing w:val="0"/>
          <w:w w:val="100"/>
          <w:sz w:val="32"/>
          <w:szCs w:val="32"/>
          <w:highlight w:val="none"/>
        </w:rPr>
        <w:t>管企业清理拖欠账款工作情况与年度经营业绩考核挂钩。对</w:t>
      </w:r>
      <w:r>
        <w:rPr>
          <w:rFonts w:hint="default" w:ascii="Times New Roman" w:hAnsi="Times New Roman" w:eastAsia="仿宋_GB2312" w:cs="Times New Roman"/>
          <w:b w:val="0"/>
          <w:bCs w:val="0"/>
          <w:color w:val="auto"/>
          <w:spacing w:val="0"/>
          <w:w w:val="100"/>
          <w:sz w:val="32"/>
          <w:szCs w:val="32"/>
          <w:highlight w:val="none"/>
          <w:lang w:eastAsia="zh-CN"/>
        </w:rPr>
        <w:t>“</w:t>
      </w:r>
      <w:r>
        <w:rPr>
          <w:rFonts w:hint="default" w:ascii="Times New Roman" w:hAnsi="Times New Roman" w:eastAsia="仿宋_GB2312" w:cs="Times New Roman"/>
          <w:b w:val="0"/>
          <w:bCs w:val="0"/>
          <w:color w:val="auto"/>
          <w:spacing w:val="0"/>
          <w:w w:val="100"/>
          <w:sz w:val="32"/>
          <w:szCs w:val="32"/>
          <w:highlight w:val="none"/>
        </w:rPr>
        <w:t>新官不理旧账</w:t>
      </w:r>
      <w:r>
        <w:rPr>
          <w:rFonts w:hint="default" w:ascii="Times New Roman" w:hAnsi="Times New Roman" w:eastAsia="仿宋_GB2312" w:cs="Times New Roman"/>
          <w:b w:val="0"/>
          <w:bCs w:val="0"/>
          <w:color w:val="auto"/>
          <w:spacing w:val="0"/>
          <w:w w:val="100"/>
          <w:sz w:val="32"/>
          <w:szCs w:val="32"/>
          <w:highlight w:val="none"/>
          <w:lang w:eastAsia="zh-CN"/>
        </w:rPr>
        <w:t>”</w:t>
      </w:r>
      <w:r>
        <w:rPr>
          <w:rFonts w:hint="default" w:ascii="Times New Roman" w:hAnsi="Times New Roman" w:eastAsia="仿宋_GB2312" w:cs="Times New Roman"/>
          <w:b w:val="0"/>
          <w:bCs w:val="0"/>
          <w:color w:val="auto"/>
          <w:spacing w:val="0"/>
          <w:w w:val="100"/>
          <w:sz w:val="32"/>
          <w:szCs w:val="32"/>
          <w:highlight w:val="none"/>
        </w:rPr>
        <w:t>和违规拒绝或延迟支付中小企业款项等行为，依规依纪</w:t>
      </w:r>
      <w:r>
        <w:rPr>
          <w:rFonts w:hint="default" w:ascii="Times New Roman" w:hAnsi="Times New Roman" w:eastAsia="仿宋_GB2312" w:cs="Times New Roman"/>
          <w:b w:val="0"/>
          <w:bCs w:val="0"/>
          <w:color w:val="auto"/>
          <w:spacing w:val="0"/>
          <w:w w:val="100"/>
          <w:sz w:val="32"/>
          <w:szCs w:val="32"/>
          <w:highlight w:val="none"/>
          <w:lang w:eastAsia="zh-CN"/>
        </w:rPr>
        <w:t>依法</w:t>
      </w:r>
      <w:r>
        <w:rPr>
          <w:rFonts w:hint="default" w:ascii="Times New Roman" w:hAnsi="Times New Roman" w:eastAsia="仿宋_GB2312" w:cs="Times New Roman"/>
          <w:b w:val="0"/>
          <w:bCs w:val="0"/>
          <w:color w:val="auto"/>
          <w:spacing w:val="0"/>
          <w:w w:val="100"/>
          <w:sz w:val="32"/>
          <w:szCs w:val="32"/>
          <w:highlight w:val="none"/>
        </w:rPr>
        <w:t>追责问责。</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纪委监委</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工信</w:t>
      </w:r>
      <w:r>
        <w:rPr>
          <w:rFonts w:hint="default" w:ascii="Times New Roman" w:hAnsi="Times New Roman" w:eastAsia="楷体_GB2312" w:cs="Times New Roman"/>
          <w:b w:val="0"/>
          <w:bCs w:val="0"/>
          <w:color w:val="auto"/>
          <w:spacing w:val="0"/>
          <w:w w:val="100"/>
          <w:sz w:val="32"/>
          <w:szCs w:val="32"/>
          <w:highlight w:val="none"/>
          <w:lang w:eastAsia="zh-CN"/>
        </w:rPr>
        <w:t>局</w:t>
      </w:r>
      <w:r>
        <w:rPr>
          <w:rFonts w:hint="default" w:ascii="Times New Roman" w:hAnsi="Times New Roman" w:eastAsia="楷体_GB2312" w:cs="Times New Roman"/>
          <w:b w:val="0"/>
          <w:bCs w:val="0"/>
          <w:color w:val="auto"/>
          <w:spacing w:val="0"/>
          <w:w w:val="100"/>
          <w:sz w:val="32"/>
          <w:szCs w:val="32"/>
          <w:highlight w:val="none"/>
        </w:rPr>
        <w:t>、</w:t>
      </w:r>
      <w:r>
        <w:rPr>
          <w:rFonts w:hint="default" w:ascii="Times New Roman" w:hAnsi="Times New Roman" w:eastAsia="楷体_GB2312" w:cs="Times New Roman"/>
          <w:b w:val="0"/>
          <w:bCs w:val="0"/>
          <w:color w:val="auto"/>
          <w:spacing w:val="0"/>
          <w:w w:val="100"/>
          <w:sz w:val="32"/>
          <w:szCs w:val="32"/>
          <w:highlight w:val="none"/>
          <w:lang w:eastAsia="zh-CN"/>
        </w:rPr>
        <w:t>市市场监管局、市</w:t>
      </w:r>
      <w:r>
        <w:rPr>
          <w:rFonts w:hint="default" w:ascii="Times New Roman" w:hAnsi="Times New Roman" w:eastAsia="楷体_GB2312" w:cs="Times New Roman"/>
          <w:b w:val="0"/>
          <w:bCs w:val="0"/>
          <w:color w:val="auto"/>
          <w:spacing w:val="0"/>
          <w:w w:val="100"/>
          <w:sz w:val="32"/>
          <w:szCs w:val="32"/>
          <w:highlight w:val="none"/>
        </w:rPr>
        <w:t>发展改革委、</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财政</w:t>
      </w:r>
      <w:r>
        <w:rPr>
          <w:rFonts w:hint="default" w:ascii="Times New Roman" w:hAnsi="Times New Roman" w:eastAsia="楷体_GB2312" w:cs="Times New Roman"/>
          <w:b w:val="0"/>
          <w:bCs w:val="0"/>
          <w:color w:val="auto"/>
          <w:spacing w:val="0"/>
          <w:w w:val="100"/>
          <w:sz w:val="32"/>
          <w:szCs w:val="32"/>
          <w:highlight w:val="none"/>
          <w:lang w:eastAsia="zh-CN"/>
        </w:rPr>
        <w:t>局</w:t>
      </w:r>
      <w:r>
        <w:rPr>
          <w:rFonts w:hint="default" w:ascii="Times New Roman" w:hAnsi="Times New Roman" w:eastAsia="楷体_GB2312" w:cs="Times New Roman"/>
          <w:b w:val="0"/>
          <w:bCs w:val="0"/>
          <w:color w:val="auto"/>
          <w:spacing w:val="0"/>
          <w:w w:val="100"/>
          <w:sz w:val="32"/>
          <w:szCs w:val="32"/>
          <w:highlight w:val="none"/>
        </w:rPr>
        <w:t>、</w:t>
      </w:r>
      <w:r>
        <w:rPr>
          <w:rFonts w:hint="default" w:ascii="Times New Roman" w:hAnsi="Times New Roman" w:eastAsia="楷体_GB2312" w:cs="Times New Roman"/>
          <w:b w:val="0"/>
          <w:bCs w:val="0"/>
          <w:color w:val="auto"/>
          <w:spacing w:val="0"/>
          <w:w w:val="100"/>
          <w:sz w:val="32"/>
          <w:szCs w:val="32"/>
          <w:highlight w:val="none"/>
          <w:lang w:eastAsia="zh-CN"/>
        </w:rPr>
        <w:t>市中级</w:t>
      </w:r>
      <w:r>
        <w:rPr>
          <w:rFonts w:hint="default" w:ascii="Times New Roman" w:hAnsi="Times New Roman" w:eastAsia="楷体_GB2312" w:cs="Times New Roman"/>
          <w:b w:val="0"/>
          <w:bCs w:val="0"/>
          <w:color w:val="auto"/>
          <w:spacing w:val="0"/>
          <w:w w:val="100"/>
          <w:sz w:val="32"/>
          <w:szCs w:val="32"/>
          <w:highlight w:val="none"/>
        </w:rPr>
        <w:t>人民法院按职责分工负责</w:t>
      </w:r>
      <w:r>
        <w:rPr>
          <w:rFonts w:hint="default" w:ascii="Times New Roman" w:hAnsi="Times New Roman" w:eastAsia="楷体_GB2312" w:cs="Times New Roman"/>
          <w:b w:val="0"/>
          <w:bCs w:val="0"/>
          <w:color w:val="auto"/>
          <w:spacing w:val="0"/>
          <w:w w:val="100"/>
          <w:sz w:val="32"/>
          <w:szCs w:val="32"/>
          <w:highlight w:val="none"/>
          <w:lang w:eastAsia="zh-CN"/>
        </w:rPr>
        <w:t>）</w:t>
      </w:r>
    </w:p>
    <w:p w14:paraId="58F10293">
      <w:pPr>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43" w:firstLineChars="200"/>
        <w:jc w:val="both"/>
        <w:textAlignment w:val="baseline"/>
        <w:outlineLvl w:val="1"/>
        <w:rPr>
          <w:rFonts w:hint="default" w:ascii="Times New Roman" w:hAnsi="Times New Roman" w:eastAsia="楷体_GB2312" w:cs="Times New Roman"/>
          <w:b/>
          <w:bCs/>
          <w:color w:val="auto"/>
          <w:spacing w:val="0"/>
          <w:w w:val="100"/>
          <w:sz w:val="32"/>
          <w:szCs w:val="32"/>
          <w:highlight w:val="none"/>
          <w:lang w:eastAsia="zh-CN"/>
        </w:rPr>
      </w:pPr>
      <w:r>
        <w:rPr>
          <w:rFonts w:hint="default" w:ascii="Times New Roman" w:hAnsi="Times New Roman" w:eastAsia="楷体_GB2312" w:cs="Times New Roman"/>
          <w:b/>
          <w:bCs/>
          <w:color w:val="auto"/>
          <w:spacing w:val="0"/>
          <w:w w:val="100"/>
          <w:sz w:val="32"/>
          <w:szCs w:val="32"/>
          <w:highlight w:val="none"/>
          <w:lang w:eastAsia="zh-CN"/>
        </w:rPr>
        <w:t>（五）健全公正司法体制机制</w:t>
      </w:r>
    </w:p>
    <w:p w14:paraId="3E9F2F44">
      <w:pPr>
        <w:pStyle w:val="2"/>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43" w:firstLineChars="200"/>
        <w:jc w:val="both"/>
        <w:textAlignment w:val="baseline"/>
        <w:rPr>
          <w:rFonts w:hint="default" w:ascii="Times New Roman" w:hAnsi="Times New Roman" w:eastAsia="楷体_GB2312" w:cs="Times New Roman"/>
          <w:b w:val="0"/>
          <w:bCs w:val="0"/>
          <w:color w:val="auto"/>
          <w:spacing w:val="0"/>
          <w:w w:val="100"/>
          <w:sz w:val="32"/>
          <w:szCs w:val="32"/>
          <w:highlight w:val="none"/>
          <w:lang w:eastAsia="zh-CN"/>
        </w:rPr>
      </w:pPr>
      <w:r>
        <w:rPr>
          <w:rFonts w:hint="default" w:ascii="Times New Roman" w:hAnsi="Times New Roman" w:eastAsia="仿宋_GB2312" w:cs="Times New Roman"/>
          <w:b/>
          <w:bCs/>
          <w:color w:val="auto"/>
          <w:spacing w:val="0"/>
          <w:w w:val="100"/>
          <w:sz w:val="32"/>
          <w:szCs w:val="32"/>
          <w:highlight w:val="none"/>
        </w:rPr>
        <w:t>1.做实依法平等保护。</w:t>
      </w:r>
      <w:r>
        <w:rPr>
          <w:rFonts w:hint="default" w:ascii="Times New Roman" w:hAnsi="Times New Roman" w:eastAsia="仿宋_GB2312" w:cs="Times New Roman"/>
          <w:b w:val="0"/>
          <w:bCs w:val="0"/>
          <w:snapToGrid w:val="0"/>
          <w:color w:val="auto"/>
          <w:spacing w:val="0"/>
          <w:w w:val="100"/>
          <w:kern w:val="0"/>
          <w:sz w:val="32"/>
          <w:szCs w:val="32"/>
          <w:highlight w:val="none"/>
          <w:lang w:val="en-US" w:eastAsia="zh-CN" w:bidi="ar-SA"/>
        </w:rPr>
        <w:t>为融入服务全国统一大市场建设提供高质量司法服务和保障</w:t>
      </w:r>
      <w:r>
        <w:rPr>
          <w:rFonts w:hint="default" w:ascii="Times New Roman" w:hAnsi="Times New Roman" w:eastAsia="仿宋_GB2312" w:cs="Times New Roman"/>
          <w:b w:val="0"/>
          <w:bCs w:val="0"/>
          <w:snapToGrid w:val="0"/>
          <w:color w:val="auto"/>
          <w:spacing w:val="0"/>
          <w:w w:val="100"/>
          <w:kern w:val="0"/>
          <w:sz w:val="32"/>
          <w:szCs w:val="32"/>
          <w:highlight w:val="none"/>
          <w:lang w:val="en-US" w:eastAsia="en-US" w:bidi="ar-SA"/>
        </w:rPr>
        <w:t>。</w:t>
      </w:r>
      <w:r>
        <w:rPr>
          <w:rFonts w:hint="default" w:ascii="Times New Roman" w:hAnsi="Times New Roman" w:eastAsia="仿宋_GB2312" w:cs="Times New Roman"/>
          <w:b w:val="0"/>
          <w:bCs w:val="0"/>
          <w:color w:val="auto"/>
          <w:spacing w:val="0"/>
          <w:w w:val="100"/>
          <w:sz w:val="32"/>
          <w:szCs w:val="32"/>
          <w:highlight w:val="none"/>
        </w:rPr>
        <w:t>加强对涉企案件办理中疑难复杂问题的培训指导，统一裁判尺度，依法保障涉案企业合法权益。</w:t>
      </w:r>
      <w:r>
        <w:rPr>
          <w:rFonts w:hint="default" w:ascii="Times New Roman" w:hAnsi="Times New Roman" w:eastAsia="仿宋_GB2312" w:cs="Times New Roman"/>
          <w:b w:val="0"/>
          <w:bCs w:val="0"/>
          <w:snapToGrid w:val="0"/>
          <w:color w:val="auto"/>
          <w:spacing w:val="0"/>
          <w:w w:val="100"/>
          <w:kern w:val="0"/>
          <w:sz w:val="32"/>
          <w:szCs w:val="32"/>
          <w:highlight w:val="none"/>
          <w:lang w:val="en-US" w:eastAsia="en-US" w:bidi="ar-SA"/>
        </w:rPr>
        <w:t>办理涉企案件中</w:t>
      </w:r>
      <w:r>
        <w:rPr>
          <w:rFonts w:hint="default" w:ascii="Times New Roman" w:hAnsi="Times New Roman" w:eastAsia="仿宋_GB2312" w:cs="Times New Roman"/>
          <w:b w:val="0"/>
          <w:bCs w:val="0"/>
          <w:snapToGrid w:val="0"/>
          <w:color w:val="auto"/>
          <w:spacing w:val="0"/>
          <w:w w:val="100"/>
          <w:kern w:val="0"/>
          <w:sz w:val="32"/>
          <w:szCs w:val="32"/>
          <w:highlight w:val="none"/>
          <w:lang w:val="en-US" w:eastAsia="zh-CN" w:bidi="ar-SA"/>
        </w:rPr>
        <w:t>，</w:t>
      </w:r>
      <w:r>
        <w:rPr>
          <w:rFonts w:hint="default" w:ascii="Times New Roman" w:hAnsi="Times New Roman" w:eastAsia="仿宋_GB2312" w:cs="Times New Roman"/>
          <w:b w:val="0"/>
          <w:bCs w:val="0"/>
          <w:snapToGrid w:val="0"/>
          <w:color w:val="auto"/>
          <w:spacing w:val="0"/>
          <w:w w:val="100"/>
          <w:kern w:val="0"/>
          <w:sz w:val="32"/>
          <w:szCs w:val="32"/>
          <w:highlight w:val="none"/>
          <w:lang w:val="en-US" w:eastAsia="en-US" w:bidi="ar-SA"/>
        </w:rPr>
        <w:t>对本地</w:t>
      </w:r>
      <w:r>
        <w:rPr>
          <w:rFonts w:hint="default" w:ascii="Times New Roman" w:hAnsi="Times New Roman" w:eastAsia="仿宋_GB2312" w:cs="Times New Roman"/>
          <w:b w:val="0"/>
          <w:bCs w:val="0"/>
          <w:snapToGrid w:val="0"/>
          <w:color w:val="auto"/>
          <w:spacing w:val="0"/>
          <w:w w:val="100"/>
          <w:kern w:val="0"/>
          <w:sz w:val="32"/>
          <w:szCs w:val="32"/>
          <w:highlight w:val="none"/>
          <w:lang w:val="en-US" w:eastAsia="zh-CN" w:bidi="ar-SA"/>
        </w:rPr>
        <w:t>和</w:t>
      </w:r>
      <w:r>
        <w:rPr>
          <w:rFonts w:hint="default" w:ascii="Times New Roman" w:hAnsi="Times New Roman" w:eastAsia="仿宋_GB2312" w:cs="Times New Roman"/>
          <w:b w:val="0"/>
          <w:bCs w:val="0"/>
          <w:snapToGrid w:val="0"/>
          <w:color w:val="auto"/>
          <w:spacing w:val="0"/>
          <w:w w:val="100"/>
          <w:kern w:val="0"/>
          <w:sz w:val="32"/>
          <w:szCs w:val="32"/>
          <w:highlight w:val="none"/>
          <w:lang w:val="en-US" w:eastAsia="en-US" w:bidi="ar-SA"/>
        </w:rPr>
        <w:t>外地企业、大</w:t>
      </w:r>
      <w:r>
        <w:rPr>
          <w:rFonts w:hint="default" w:ascii="Times New Roman" w:hAnsi="Times New Roman" w:eastAsia="仿宋_GB2312" w:cs="Times New Roman"/>
          <w:b w:val="0"/>
          <w:bCs w:val="0"/>
          <w:snapToGrid w:val="0"/>
          <w:color w:val="auto"/>
          <w:spacing w:val="0"/>
          <w:w w:val="100"/>
          <w:kern w:val="0"/>
          <w:sz w:val="32"/>
          <w:szCs w:val="32"/>
          <w:highlight w:val="none"/>
          <w:lang w:val="en-US" w:eastAsia="zh-CN" w:bidi="ar-SA"/>
        </w:rPr>
        <w:t>型和中小微</w:t>
      </w:r>
      <w:r>
        <w:rPr>
          <w:rFonts w:hint="default" w:ascii="Times New Roman" w:hAnsi="Times New Roman" w:eastAsia="仿宋_GB2312" w:cs="Times New Roman"/>
          <w:b w:val="0"/>
          <w:bCs w:val="0"/>
          <w:snapToGrid w:val="0"/>
          <w:color w:val="auto"/>
          <w:spacing w:val="0"/>
          <w:w w:val="100"/>
          <w:kern w:val="0"/>
          <w:sz w:val="32"/>
          <w:szCs w:val="32"/>
          <w:highlight w:val="none"/>
          <w:lang w:val="en-US" w:eastAsia="en-US" w:bidi="ar-SA"/>
        </w:rPr>
        <w:t>企业、国有和民营企业等各类企业</w:t>
      </w:r>
      <w:r>
        <w:rPr>
          <w:rFonts w:hint="default" w:ascii="Times New Roman" w:hAnsi="Times New Roman" w:eastAsia="仿宋_GB2312" w:cs="Times New Roman"/>
          <w:b w:val="0"/>
          <w:bCs w:val="0"/>
          <w:snapToGrid w:val="0"/>
          <w:color w:val="auto"/>
          <w:spacing w:val="0"/>
          <w:w w:val="100"/>
          <w:kern w:val="0"/>
          <w:sz w:val="32"/>
          <w:szCs w:val="32"/>
          <w:highlight w:val="none"/>
          <w:lang w:val="en-US" w:eastAsia="zh-CN" w:bidi="ar-SA"/>
        </w:rPr>
        <w:t>要</w:t>
      </w:r>
      <w:r>
        <w:rPr>
          <w:rFonts w:hint="default" w:ascii="Times New Roman" w:hAnsi="Times New Roman" w:eastAsia="仿宋_GB2312" w:cs="Times New Roman"/>
          <w:b w:val="0"/>
          <w:bCs w:val="0"/>
          <w:snapToGrid w:val="0"/>
          <w:color w:val="auto"/>
          <w:spacing w:val="0"/>
          <w:w w:val="100"/>
          <w:kern w:val="0"/>
          <w:sz w:val="32"/>
          <w:szCs w:val="32"/>
          <w:highlight w:val="none"/>
          <w:lang w:val="en-US" w:eastAsia="en-US" w:bidi="ar-SA"/>
        </w:rPr>
        <w:t>一视同仁</w:t>
      </w:r>
      <w:r>
        <w:rPr>
          <w:rFonts w:hint="default" w:ascii="Times New Roman" w:hAnsi="Times New Roman" w:eastAsia="仿宋_GB2312" w:cs="Times New Roman"/>
          <w:b w:val="0"/>
          <w:bCs w:val="0"/>
          <w:snapToGrid w:val="0"/>
          <w:color w:val="auto"/>
          <w:spacing w:val="0"/>
          <w:w w:val="100"/>
          <w:kern w:val="0"/>
          <w:sz w:val="32"/>
          <w:szCs w:val="32"/>
          <w:highlight w:val="none"/>
          <w:lang w:val="en-US" w:eastAsia="zh-CN" w:bidi="ar-SA"/>
        </w:rPr>
        <w:t>对待</w:t>
      </w:r>
      <w:r>
        <w:rPr>
          <w:rFonts w:hint="default" w:ascii="Times New Roman" w:hAnsi="Times New Roman" w:eastAsia="仿宋_GB2312" w:cs="Times New Roman"/>
          <w:b w:val="0"/>
          <w:bCs w:val="0"/>
          <w:snapToGrid w:val="0"/>
          <w:color w:val="auto"/>
          <w:spacing w:val="0"/>
          <w:w w:val="100"/>
          <w:kern w:val="0"/>
          <w:sz w:val="32"/>
          <w:szCs w:val="32"/>
          <w:highlight w:val="none"/>
          <w:lang w:val="en-US" w:eastAsia="en-US" w:bidi="ar-SA"/>
        </w:rPr>
        <w:t>、依法平等保护。</w:t>
      </w:r>
      <w:r>
        <w:rPr>
          <w:rFonts w:hint="default" w:ascii="Times New Roman" w:hAnsi="Times New Roman" w:eastAsia="仿宋_GB2312" w:cs="Times New Roman"/>
          <w:b w:val="0"/>
          <w:bCs w:val="0"/>
          <w:snapToGrid w:val="0"/>
          <w:color w:val="auto"/>
          <w:spacing w:val="0"/>
          <w:w w:val="100"/>
          <w:kern w:val="0"/>
          <w:sz w:val="32"/>
          <w:szCs w:val="32"/>
          <w:highlight w:val="none"/>
          <w:lang w:val="en-US" w:eastAsia="zh-CN" w:bidi="ar-SA"/>
        </w:rPr>
        <w:t>诉讼中发现大型企业与中小企业约定以收到合同外第三方支付款项为合同付款义务方付款前提的，应依法认定该“背靠背”条款无效，并公布相关</w:t>
      </w:r>
      <w:r>
        <w:rPr>
          <w:rFonts w:hint="default" w:ascii="Times New Roman" w:hAnsi="Times New Roman" w:eastAsia="仿宋_GB2312" w:cs="Times New Roman"/>
          <w:b w:val="0"/>
          <w:bCs w:val="0"/>
          <w:snapToGrid w:val="0"/>
          <w:color w:val="auto"/>
          <w:spacing w:val="0"/>
          <w:w w:val="100"/>
          <w:kern w:val="0"/>
          <w:sz w:val="32"/>
          <w:szCs w:val="32"/>
          <w:highlight w:val="none"/>
          <w:lang w:val="en-US" w:eastAsia="en-US" w:bidi="ar-SA"/>
        </w:rPr>
        <w:t>典型案例，助推大企业向中小企业付款。</w:t>
      </w:r>
      <w:r>
        <w:rPr>
          <w:rFonts w:hint="default" w:ascii="Times New Roman" w:hAnsi="Times New Roman" w:eastAsia="楷体_GB2312" w:cs="Times New Roman"/>
          <w:b w:val="0"/>
          <w:bCs w:val="0"/>
          <w:color w:val="auto"/>
          <w:spacing w:val="0"/>
          <w:w w:val="100"/>
          <w:sz w:val="32"/>
          <w:szCs w:val="32"/>
          <w:highlight w:val="none"/>
          <w:lang w:eastAsia="zh-CN"/>
        </w:rPr>
        <w:t>（市中级</w:t>
      </w:r>
      <w:r>
        <w:rPr>
          <w:rFonts w:hint="default" w:ascii="Times New Roman" w:hAnsi="Times New Roman" w:eastAsia="楷体_GB2312" w:cs="Times New Roman"/>
          <w:b w:val="0"/>
          <w:bCs w:val="0"/>
          <w:color w:val="auto"/>
          <w:spacing w:val="0"/>
          <w:w w:val="100"/>
          <w:sz w:val="32"/>
          <w:szCs w:val="32"/>
          <w:highlight w:val="none"/>
        </w:rPr>
        <w:t>人民法院牵头负责</w:t>
      </w:r>
      <w:r>
        <w:rPr>
          <w:rFonts w:hint="default" w:ascii="Times New Roman" w:hAnsi="Times New Roman" w:eastAsia="楷体_GB2312" w:cs="Times New Roman"/>
          <w:b w:val="0"/>
          <w:bCs w:val="0"/>
          <w:color w:val="auto"/>
          <w:spacing w:val="0"/>
          <w:w w:val="100"/>
          <w:sz w:val="32"/>
          <w:szCs w:val="32"/>
          <w:highlight w:val="none"/>
          <w:lang w:eastAsia="zh-CN"/>
        </w:rPr>
        <w:t>）</w:t>
      </w:r>
    </w:p>
    <w:p w14:paraId="60782BB5">
      <w:pPr>
        <w:pStyle w:val="2"/>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43" w:firstLineChars="200"/>
        <w:jc w:val="both"/>
        <w:textAlignment w:val="baseline"/>
        <w:rPr>
          <w:rFonts w:hint="default" w:ascii="Times New Roman" w:hAnsi="Times New Roman" w:eastAsia="仿宋_GB2312" w:cs="Times New Roman"/>
          <w:b w:val="0"/>
          <w:bCs w:val="0"/>
          <w:color w:val="auto"/>
          <w:spacing w:val="0"/>
          <w:w w:val="100"/>
          <w:sz w:val="32"/>
          <w:szCs w:val="32"/>
          <w:highlight w:val="none"/>
        </w:rPr>
      </w:pPr>
      <w:r>
        <w:rPr>
          <w:rFonts w:hint="default" w:ascii="Times New Roman" w:hAnsi="Times New Roman" w:eastAsia="仿宋_GB2312" w:cs="Times New Roman"/>
          <w:b/>
          <w:bCs/>
          <w:color w:val="auto"/>
          <w:spacing w:val="0"/>
          <w:w w:val="100"/>
          <w:sz w:val="32"/>
          <w:szCs w:val="32"/>
          <w:highlight w:val="none"/>
        </w:rPr>
        <w:t>2.规范保全和强制执行措施。</w:t>
      </w:r>
      <w:r>
        <w:rPr>
          <w:rFonts w:hint="default" w:ascii="Times New Roman" w:hAnsi="Times New Roman" w:eastAsia="仿宋_GB2312" w:cs="Times New Roman"/>
          <w:b w:val="0"/>
          <w:bCs w:val="0"/>
          <w:snapToGrid w:val="0"/>
          <w:color w:val="auto"/>
          <w:spacing w:val="0"/>
          <w:w w:val="100"/>
          <w:kern w:val="0"/>
          <w:sz w:val="32"/>
          <w:szCs w:val="32"/>
          <w:highlight w:val="none"/>
          <w:lang w:val="en-US" w:eastAsia="zh-CN" w:bidi="ar-SA"/>
        </w:rPr>
        <w:t>严格遵守民事诉讼法所规定的保全条件和保全范围，规范财产保全程序。</w:t>
      </w:r>
      <w:r>
        <w:rPr>
          <w:rFonts w:hint="default" w:ascii="Times New Roman" w:hAnsi="Times New Roman" w:eastAsia="仿宋_GB2312" w:cs="Times New Roman"/>
          <w:b w:val="0"/>
          <w:bCs w:val="0"/>
          <w:snapToGrid w:val="0"/>
          <w:color w:val="auto"/>
          <w:spacing w:val="0"/>
          <w:w w:val="100"/>
          <w:kern w:val="0"/>
          <w:sz w:val="32"/>
          <w:szCs w:val="32"/>
          <w:highlight w:val="none"/>
          <w:lang w:val="en-US" w:eastAsia="en-US" w:bidi="ar-SA"/>
        </w:rPr>
        <w:t>持续开展超标的、超期限查封专项整治活动。对企业经营性财产尽量采取</w:t>
      </w:r>
      <w:r>
        <w:rPr>
          <w:rFonts w:hint="default" w:ascii="Times New Roman" w:hAnsi="Times New Roman" w:eastAsia="仿宋_GB2312" w:cs="Times New Roman"/>
          <w:b w:val="0"/>
          <w:bCs w:val="0"/>
          <w:snapToGrid w:val="0"/>
          <w:color w:val="auto"/>
          <w:spacing w:val="0"/>
          <w:w w:val="100"/>
          <w:kern w:val="0"/>
          <w:sz w:val="32"/>
          <w:szCs w:val="32"/>
          <w:highlight w:val="none"/>
          <w:lang w:val="en-US" w:eastAsia="zh-CN" w:bidi="ar-SA"/>
        </w:rPr>
        <w:t>“</w:t>
      </w:r>
      <w:r>
        <w:rPr>
          <w:rFonts w:hint="default" w:ascii="Times New Roman" w:hAnsi="Times New Roman" w:eastAsia="仿宋_GB2312" w:cs="Times New Roman"/>
          <w:b w:val="0"/>
          <w:bCs w:val="0"/>
          <w:snapToGrid w:val="0"/>
          <w:color w:val="auto"/>
          <w:spacing w:val="0"/>
          <w:w w:val="100"/>
          <w:kern w:val="0"/>
          <w:sz w:val="32"/>
          <w:szCs w:val="32"/>
          <w:highlight w:val="none"/>
          <w:lang w:val="en-US" w:eastAsia="en-US" w:bidi="ar-SA"/>
        </w:rPr>
        <w:t>活查封</w:t>
      </w:r>
      <w:r>
        <w:rPr>
          <w:rFonts w:hint="default" w:ascii="Times New Roman" w:hAnsi="Times New Roman" w:eastAsia="仿宋_GB2312" w:cs="Times New Roman"/>
          <w:b w:val="0"/>
          <w:bCs w:val="0"/>
          <w:snapToGrid w:val="0"/>
          <w:color w:val="auto"/>
          <w:spacing w:val="0"/>
          <w:w w:val="100"/>
          <w:kern w:val="0"/>
          <w:sz w:val="32"/>
          <w:szCs w:val="32"/>
          <w:highlight w:val="none"/>
          <w:lang w:val="en-US" w:eastAsia="zh-CN" w:bidi="ar-SA"/>
        </w:rPr>
        <w:t>”</w:t>
      </w:r>
      <w:r>
        <w:rPr>
          <w:rFonts w:hint="default" w:ascii="Times New Roman" w:hAnsi="Times New Roman" w:eastAsia="仿宋_GB2312" w:cs="Times New Roman"/>
          <w:b w:val="0"/>
          <w:bCs w:val="0"/>
          <w:snapToGrid w:val="0"/>
          <w:color w:val="auto"/>
          <w:spacing w:val="0"/>
          <w:w w:val="100"/>
          <w:kern w:val="0"/>
          <w:sz w:val="32"/>
          <w:szCs w:val="32"/>
          <w:highlight w:val="none"/>
          <w:lang w:val="en-US" w:eastAsia="en-US" w:bidi="ar-SA"/>
        </w:rPr>
        <w:t>措施</w:t>
      </w:r>
      <w:r>
        <w:rPr>
          <w:rFonts w:hint="default" w:ascii="Times New Roman" w:hAnsi="Times New Roman" w:eastAsia="仿宋_GB2312" w:cs="Times New Roman"/>
          <w:b w:val="0"/>
          <w:bCs w:val="0"/>
          <w:snapToGrid w:val="0"/>
          <w:color w:val="auto"/>
          <w:spacing w:val="0"/>
          <w:w w:val="100"/>
          <w:kern w:val="0"/>
          <w:sz w:val="32"/>
          <w:szCs w:val="32"/>
          <w:highlight w:val="none"/>
          <w:lang w:val="en-US" w:eastAsia="zh-CN" w:bidi="ar-SA"/>
        </w:rPr>
        <w:t>，查封被执行企业厂房、机器设备等生产资料的，在被执行企业继续使用对该财产价值无重大影响的，可以允许其使用</w:t>
      </w:r>
      <w:r>
        <w:rPr>
          <w:rFonts w:hint="default" w:ascii="Times New Roman" w:hAnsi="Times New Roman" w:eastAsia="仿宋_GB2312" w:cs="Times New Roman"/>
          <w:b w:val="0"/>
          <w:bCs w:val="0"/>
          <w:snapToGrid w:val="0"/>
          <w:color w:val="auto"/>
          <w:spacing w:val="0"/>
          <w:w w:val="100"/>
          <w:kern w:val="0"/>
          <w:sz w:val="32"/>
          <w:szCs w:val="32"/>
          <w:highlight w:val="none"/>
          <w:lang w:val="en-US" w:eastAsia="en-US" w:bidi="ar-SA"/>
        </w:rPr>
        <w:t>。合理选择对被执行企业生产影响较小的财产执行措施，在依法保障胜诉方权益实现的同时，最大限度减少对</w:t>
      </w:r>
      <w:r>
        <w:rPr>
          <w:rFonts w:hint="default" w:ascii="Times New Roman" w:hAnsi="Times New Roman" w:eastAsia="仿宋_GB2312" w:cs="Times New Roman"/>
          <w:b w:val="0"/>
          <w:bCs w:val="0"/>
          <w:snapToGrid w:val="0"/>
          <w:color w:val="auto"/>
          <w:spacing w:val="0"/>
          <w:w w:val="100"/>
          <w:kern w:val="0"/>
          <w:sz w:val="32"/>
          <w:szCs w:val="32"/>
          <w:highlight w:val="none"/>
          <w:lang w:val="en-US" w:eastAsia="zh-CN" w:bidi="ar-SA"/>
        </w:rPr>
        <w:t>被</w:t>
      </w:r>
      <w:r>
        <w:rPr>
          <w:rFonts w:hint="default" w:ascii="Times New Roman" w:hAnsi="Times New Roman" w:eastAsia="仿宋_GB2312" w:cs="Times New Roman"/>
          <w:b w:val="0"/>
          <w:bCs w:val="0"/>
          <w:snapToGrid w:val="0"/>
          <w:color w:val="auto"/>
          <w:spacing w:val="0"/>
          <w:w w:val="100"/>
          <w:kern w:val="0"/>
          <w:sz w:val="32"/>
          <w:szCs w:val="32"/>
          <w:highlight w:val="none"/>
          <w:lang w:val="en-US" w:eastAsia="en-US" w:bidi="ar-SA"/>
        </w:rPr>
        <w:t>执行企业正常生产经营的影响。</w:t>
      </w:r>
      <w:r>
        <w:rPr>
          <w:rFonts w:hint="default" w:ascii="Times New Roman" w:hAnsi="Times New Roman" w:eastAsia="仿宋_GB2312" w:cs="Times New Roman"/>
          <w:b w:val="0"/>
          <w:bCs w:val="0"/>
          <w:snapToGrid w:val="0"/>
          <w:color w:val="auto"/>
          <w:spacing w:val="0"/>
          <w:w w:val="100"/>
          <w:kern w:val="0"/>
          <w:sz w:val="32"/>
          <w:szCs w:val="32"/>
          <w:highlight w:val="none"/>
          <w:lang w:val="en-US" w:eastAsia="zh-CN" w:bidi="ar-SA"/>
        </w:rPr>
        <w:t>严格履行银行账户冻结划扣法律程序。</w:t>
      </w:r>
      <w:r>
        <w:rPr>
          <w:rFonts w:hint="default" w:ascii="Times New Roman" w:hAnsi="Times New Roman" w:eastAsia="楷体_GB2312" w:cs="Times New Roman"/>
          <w:b w:val="0"/>
          <w:bCs w:val="0"/>
          <w:color w:val="auto"/>
          <w:spacing w:val="0"/>
          <w:w w:val="100"/>
          <w:sz w:val="32"/>
          <w:szCs w:val="32"/>
          <w:highlight w:val="none"/>
          <w:lang w:eastAsia="zh-CN"/>
        </w:rPr>
        <w:t>（市中级人民法院</w:t>
      </w:r>
      <w:r>
        <w:rPr>
          <w:rFonts w:hint="default" w:ascii="Times New Roman" w:hAnsi="Times New Roman" w:eastAsia="楷体_GB2312" w:cs="Times New Roman"/>
          <w:b w:val="0"/>
          <w:bCs w:val="0"/>
          <w:color w:val="auto"/>
          <w:spacing w:val="0"/>
          <w:w w:val="100"/>
          <w:sz w:val="32"/>
          <w:szCs w:val="32"/>
          <w:highlight w:val="none"/>
        </w:rPr>
        <w:t>牵头负责</w:t>
      </w:r>
      <w:r>
        <w:rPr>
          <w:rFonts w:hint="default" w:ascii="Times New Roman" w:hAnsi="Times New Roman" w:eastAsia="楷体_GB2312" w:cs="Times New Roman"/>
          <w:b w:val="0"/>
          <w:bCs w:val="0"/>
          <w:color w:val="auto"/>
          <w:spacing w:val="0"/>
          <w:w w:val="100"/>
          <w:sz w:val="32"/>
          <w:szCs w:val="32"/>
          <w:highlight w:val="none"/>
          <w:lang w:eastAsia="zh-CN"/>
        </w:rPr>
        <w:t>）</w:t>
      </w:r>
    </w:p>
    <w:p w14:paraId="26BD2A97">
      <w:pPr>
        <w:pStyle w:val="2"/>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43" w:firstLineChars="200"/>
        <w:jc w:val="both"/>
        <w:textAlignment w:val="baseline"/>
        <w:rPr>
          <w:rFonts w:hint="default" w:ascii="Times New Roman" w:hAnsi="Times New Roman" w:eastAsia="仿宋_GB2312" w:cs="Times New Roman"/>
          <w:b w:val="0"/>
          <w:bCs w:val="0"/>
          <w:color w:val="auto"/>
          <w:spacing w:val="0"/>
          <w:w w:val="100"/>
          <w:sz w:val="32"/>
          <w:szCs w:val="32"/>
          <w:highlight w:val="none"/>
        </w:rPr>
      </w:pPr>
      <w:r>
        <w:rPr>
          <w:rFonts w:hint="default" w:ascii="Times New Roman" w:hAnsi="Times New Roman" w:eastAsia="仿宋_GB2312" w:cs="Times New Roman"/>
          <w:b/>
          <w:bCs/>
          <w:color w:val="auto"/>
          <w:spacing w:val="0"/>
          <w:w w:val="100"/>
          <w:sz w:val="32"/>
          <w:szCs w:val="32"/>
          <w:highlight w:val="none"/>
        </w:rPr>
        <w:t>3.精准</w:t>
      </w:r>
      <w:r>
        <w:rPr>
          <w:rFonts w:hint="default" w:ascii="Times New Roman" w:hAnsi="Times New Roman" w:eastAsia="仿宋_GB2312" w:cs="Times New Roman"/>
          <w:b/>
          <w:bCs/>
          <w:color w:val="auto"/>
          <w:spacing w:val="0"/>
          <w:w w:val="100"/>
          <w:sz w:val="32"/>
          <w:szCs w:val="32"/>
          <w:highlight w:val="none"/>
          <w:lang w:eastAsia="zh-CN"/>
        </w:rPr>
        <w:t>慎用</w:t>
      </w:r>
      <w:r>
        <w:rPr>
          <w:rFonts w:hint="default" w:ascii="Times New Roman" w:hAnsi="Times New Roman" w:eastAsia="仿宋_GB2312" w:cs="Times New Roman"/>
          <w:b/>
          <w:bCs/>
          <w:color w:val="auto"/>
          <w:spacing w:val="0"/>
          <w:w w:val="100"/>
          <w:sz w:val="32"/>
          <w:szCs w:val="32"/>
          <w:highlight w:val="none"/>
        </w:rPr>
        <w:t>失信惩戒措施。</w:t>
      </w:r>
      <w:r>
        <w:rPr>
          <w:rFonts w:hint="default" w:ascii="Times New Roman" w:hAnsi="Times New Roman" w:eastAsia="仿宋_GB2312" w:cs="Times New Roman"/>
          <w:b w:val="0"/>
          <w:bCs w:val="0"/>
          <w:snapToGrid w:val="0"/>
          <w:color w:val="auto"/>
          <w:spacing w:val="0"/>
          <w:w w:val="100"/>
          <w:kern w:val="0"/>
          <w:sz w:val="32"/>
          <w:szCs w:val="32"/>
          <w:highlight w:val="none"/>
          <w:lang w:val="en-US" w:eastAsia="zh-CN" w:bidi="ar-SA"/>
        </w:rPr>
        <w:t>精准区分“失信”和确无财产可供执行的“失能”，避免把“失能”但无“失信”的被执行企业纳入失信被执行人名单。</w:t>
      </w:r>
      <w:r>
        <w:rPr>
          <w:rFonts w:hint="default" w:ascii="Times New Roman" w:hAnsi="Times New Roman" w:eastAsia="仿宋_GB2312" w:cs="Times New Roman"/>
          <w:b w:val="0"/>
          <w:bCs w:val="0"/>
          <w:snapToGrid w:val="0"/>
          <w:color w:val="auto"/>
          <w:spacing w:val="0"/>
          <w:w w:val="100"/>
          <w:kern w:val="0"/>
          <w:sz w:val="32"/>
          <w:szCs w:val="32"/>
          <w:highlight w:val="none"/>
          <w:lang w:val="en-US" w:eastAsia="en-US" w:bidi="ar-SA"/>
        </w:rPr>
        <w:t>慎用纳入失信被执行人名单、限制高消费惩戒措施，查控的财产足以清偿债务或申请执行人同意不采取惩戒措施的，不得对被执行企业采取限制高消费措施。实行宽限期制度，对决定采取纳入失信被执行人名单、限制高消费的被执行企业和人员，可给予1—3个月宽限期，期满后其履行义务情况</w:t>
      </w:r>
      <w:r>
        <w:rPr>
          <w:rFonts w:hint="default" w:ascii="Times New Roman" w:hAnsi="Times New Roman" w:eastAsia="仿宋_GB2312" w:cs="Times New Roman"/>
          <w:b w:val="0"/>
          <w:bCs w:val="0"/>
          <w:snapToGrid w:val="0"/>
          <w:color w:val="auto"/>
          <w:spacing w:val="0"/>
          <w:w w:val="100"/>
          <w:kern w:val="0"/>
          <w:sz w:val="32"/>
          <w:szCs w:val="32"/>
          <w:highlight w:val="none"/>
          <w:lang w:val="en-US" w:eastAsia="zh-CN" w:bidi="ar-SA"/>
        </w:rPr>
        <w:t>良好</w:t>
      </w:r>
      <w:r>
        <w:rPr>
          <w:rFonts w:hint="default" w:ascii="Times New Roman" w:hAnsi="Times New Roman" w:eastAsia="仿宋_GB2312" w:cs="Times New Roman"/>
          <w:b w:val="0"/>
          <w:bCs w:val="0"/>
          <w:snapToGrid w:val="0"/>
          <w:color w:val="auto"/>
          <w:spacing w:val="0"/>
          <w:w w:val="100"/>
          <w:kern w:val="0"/>
          <w:sz w:val="32"/>
          <w:szCs w:val="32"/>
          <w:highlight w:val="none"/>
          <w:lang w:val="en-US" w:eastAsia="en-US" w:bidi="ar-SA"/>
        </w:rPr>
        <w:t>或申请执行人同意</w:t>
      </w:r>
      <w:r>
        <w:rPr>
          <w:rFonts w:hint="default" w:ascii="Times New Roman" w:hAnsi="Times New Roman" w:eastAsia="仿宋_GB2312" w:cs="Times New Roman"/>
          <w:b w:val="0"/>
          <w:bCs w:val="0"/>
          <w:snapToGrid w:val="0"/>
          <w:color w:val="auto"/>
          <w:spacing w:val="0"/>
          <w:w w:val="100"/>
          <w:kern w:val="0"/>
          <w:sz w:val="32"/>
          <w:szCs w:val="32"/>
          <w:highlight w:val="none"/>
          <w:lang w:val="en-US" w:eastAsia="zh-CN" w:bidi="ar-SA"/>
        </w:rPr>
        <w:t>的</w:t>
      </w:r>
      <w:r>
        <w:rPr>
          <w:rFonts w:hint="default" w:ascii="Times New Roman" w:hAnsi="Times New Roman" w:eastAsia="仿宋_GB2312" w:cs="Times New Roman"/>
          <w:b w:val="0"/>
          <w:bCs w:val="0"/>
          <w:snapToGrid w:val="0"/>
          <w:color w:val="auto"/>
          <w:spacing w:val="0"/>
          <w:w w:val="100"/>
          <w:kern w:val="0"/>
          <w:sz w:val="32"/>
          <w:szCs w:val="32"/>
          <w:highlight w:val="none"/>
          <w:lang w:val="en-US" w:eastAsia="en-US" w:bidi="ar-SA"/>
        </w:rPr>
        <w:t>，可不再采取上述措施。落实单次解禁</w:t>
      </w:r>
      <w:r>
        <w:rPr>
          <w:rFonts w:hint="default" w:ascii="Times New Roman" w:hAnsi="Times New Roman" w:eastAsia="仿宋_GB2312" w:cs="Times New Roman"/>
          <w:b w:val="0"/>
          <w:bCs w:val="0"/>
          <w:snapToGrid w:val="0"/>
          <w:color w:val="auto"/>
          <w:spacing w:val="0"/>
          <w:w w:val="100"/>
          <w:kern w:val="0"/>
          <w:sz w:val="32"/>
          <w:szCs w:val="32"/>
          <w:highlight w:val="none"/>
          <w:lang w:val="en-US" w:eastAsia="zh-CN" w:bidi="ar-SA"/>
        </w:rPr>
        <w:t>机制</w:t>
      </w:r>
      <w:r>
        <w:rPr>
          <w:rFonts w:hint="default" w:ascii="Times New Roman" w:hAnsi="Times New Roman" w:eastAsia="仿宋_GB2312" w:cs="Times New Roman"/>
          <w:b w:val="0"/>
          <w:bCs w:val="0"/>
          <w:snapToGrid w:val="0"/>
          <w:color w:val="auto"/>
          <w:spacing w:val="0"/>
          <w:w w:val="100"/>
          <w:kern w:val="0"/>
          <w:sz w:val="32"/>
          <w:szCs w:val="32"/>
          <w:highlight w:val="none"/>
          <w:lang w:val="en-US" w:eastAsia="en-US" w:bidi="ar-SA"/>
        </w:rPr>
        <w:t>，被限制高消费个人因紧急情况亟</w:t>
      </w:r>
      <w:r>
        <w:rPr>
          <w:rFonts w:hint="default" w:ascii="Times New Roman" w:hAnsi="Times New Roman" w:eastAsia="仿宋_GB2312" w:cs="Times New Roman"/>
          <w:b w:val="0"/>
          <w:bCs w:val="0"/>
          <w:snapToGrid w:val="0"/>
          <w:color w:val="auto"/>
          <w:spacing w:val="0"/>
          <w:w w:val="100"/>
          <w:kern w:val="0"/>
          <w:sz w:val="32"/>
          <w:szCs w:val="32"/>
          <w:highlight w:val="none"/>
          <w:lang w:val="en-US" w:eastAsia="zh-CN" w:bidi="ar-SA"/>
        </w:rPr>
        <w:t>需</w:t>
      </w:r>
      <w:r>
        <w:rPr>
          <w:rFonts w:hint="default" w:ascii="Times New Roman" w:hAnsi="Times New Roman" w:eastAsia="仿宋_GB2312" w:cs="Times New Roman"/>
          <w:b w:val="0"/>
          <w:bCs w:val="0"/>
          <w:snapToGrid w:val="0"/>
          <w:color w:val="auto"/>
          <w:spacing w:val="0"/>
          <w:w w:val="100"/>
          <w:kern w:val="0"/>
          <w:sz w:val="32"/>
          <w:szCs w:val="32"/>
          <w:highlight w:val="none"/>
          <w:lang w:val="en-US" w:eastAsia="en-US" w:bidi="ar-SA"/>
        </w:rPr>
        <w:t>赴外地的，经本人申请并依法审查后，可给予不超过1个月的暂时解除期限。</w:t>
      </w:r>
      <w:r>
        <w:rPr>
          <w:rFonts w:hint="default" w:ascii="Times New Roman" w:hAnsi="Times New Roman" w:eastAsia="楷体_GB2312" w:cs="Times New Roman"/>
          <w:b w:val="0"/>
          <w:bCs w:val="0"/>
          <w:color w:val="auto"/>
          <w:spacing w:val="0"/>
          <w:w w:val="100"/>
          <w:sz w:val="32"/>
          <w:szCs w:val="32"/>
          <w:highlight w:val="none"/>
          <w:lang w:eastAsia="zh-CN"/>
        </w:rPr>
        <w:t>（市中级人民法院</w:t>
      </w:r>
      <w:r>
        <w:rPr>
          <w:rFonts w:hint="default" w:ascii="Times New Roman" w:hAnsi="Times New Roman" w:eastAsia="楷体_GB2312" w:cs="Times New Roman"/>
          <w:b w:val="0"/>
          <w:bCs w:val="0"/>
          <w:color w:val="auto"/>
          <w:spacing w:val="0"/>
          <w:w w:val="100"/>
          <w:sz w:val="32"/>
          <w:szCs w:val="32"/>
          <w:highlight w:val="none"/>
        </w:rPr>
        <w:t>牵头负责</w:t>
      </w:r>
      <w:r>
        <w:rPr>
          <w:rFonts w:hint="default" w:ascii="Times New Roman" w:hAnsi="Times New Roman" w:eastAsia="楷体_GB2312" w:cs="Times New Roman"/>
          <w:b w:val="0"/>
          <w:bCs w:val="0"/>
          <w:color w:val="auto"/>
          <w:spacing w:val="0"/>
          <w:w w:val="100"/>
          <w:sz w:val="32"/>
          <w:szCs w:val="32"/>
          <w:highlight w:val="none"/>
          <w:lang w:eastAsia="zh-CN"/>
        </w:rPr>
        <w:t>）</w:t>
      </w:r>
    </w:p>
    <w:p w14:paraId="0FC991C5">
      <w:pPr>
        <w:pStyle w:val="2"/>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43" w:firstLineChars="200"/>
        <w:jc w:val="both"/>
        <w:textAlignment w:val="baseline"/>
        <w:rPr>
          <w:rFonts w:hint="default" w:ascii="Times New Roman" w:hAnsi="Times New Roman" w:eastAsia="仿宋_GB2312" w:cs="Times New Roman"/>
          <w:b w:val="0"/>
          <w:bCs w:val="0"/>
          <w:color w:val="auto"/>
          <w:spacing w:val="0"/>
          <w:w w:val="100"/>
          <w:sz w:val="32"/>
          <w:szCs w:val="32"/>
          <w:highlight w:val="none"/>
        </w:rPr>
      </w:pPr>
      <w:r>
        <w:rPr>
          <w:rFonts w:hint="default" w:ascii="Times New Roman" w:hAnsi="Times New Roman" w:eastAsia="仿宋_GB2312" w:cs="Times New Roman"/>
          <w:b/>
          <w:bCs/>
          <w:color w:val="auto"/>
          <w:spacing w:val="0"/>
          <w:w w:val="100"/>
          <w:sz w:val="32"/>
          <w:szCs w:val="32"/>
          <w:highlight w:val="none"/>
        </w:rPr>
        <w:t>4.</w:t>
      </w:r>
      <w:r>
        <w:rPr>
          <w:rFonts w:hint="default" w:ascii="Times New Roman" w:hAnsi="Times New Roman" w:eastAsia="仿宋_GB2312" w:cs="Times New Roman"/>
          <w:b/>
          <w:bCs/>
          <w:color w:val="auto"/>
          <w:spacing w:val="0"/>
          <w:w w:val="100"/>
          <w:sz w:val="32"/>
          <w:szCs w:val="32"/>
          <w:highlight w:val="none"/>
          <w:lang w:eastAsia="zh-CN"/>
        </w:rPr>
        <w:t>完善信用修复机制</w:t>
      </w:r>
      <w:r>
        <w:rPr>
          <w:rFonts w:hint="default" w:ascii="Times New Roman" w:hAnsi="Times New Roman" w:eastAsia="仿宋_GB2312" w:cs="Times New Roman"/>
          <w:b/>
          <w:bCs/>
          <w:color w:val="auto"/>
          <w:spacing w:val="0"/>
          <w:w w:val="100"/>
          <w:sz w:val="32"/>
          <w:szCs w:val="32"/>
          <w:highlight w:val="none"/>
        </w:rPr>
        <w:t>。</w:t>
      </w:r>
      <w:r>
        <w:rPr>
          <w:rFonts w:hint="default" w:ascii="Times New Roman" w:hAnsi="Times New Roman" w:eastAsia="仿宋_GB2312" w:cs="Times New Roman"/>
          <w:b w:val="0"/>
          <w:bCs w:val="0"/>
          <w:color w:val="auto"/>
          <w:spacing w:val="0"/>
          <w:w w:val="100"/>
          <w:sz w:val="32"/>
          <w:szCs w:val="32"/>
          <w:highlight w:val="none"/>
          <w:lang w:eastAsia="zh-CN"/>
        </w:rPr>
        <w:t>制定信用修复标准，</w:t>
      </w:r>
      <w:r>
        <w:rPr>
          <w:rFonts w:hint="default" w:ascii="Times New Roman" w:hAnsi="Times New Roman" w:eastAsia="仿宋_GB2312" w:cs="Times New Roman"/>
          <w:b w:val="0"/>
          <w:bCs w:val="0"/>
          <w:color w:val="auto"/>
          <w:spacing w:val="0"/>
          <w:w w:val="100"/>
          <w:sz w:val="32"/>
          <w:szCs w:val="32"/>
          <w:highlight w:val="none"/>
          <w:lang w:val="en-US" w:eastAsia="en-US"/>
        </w:rPr>
        <w:t>明确修复</w:t>
      </w:r>
      <w:r>
        <w:rPr>
          <w:rFonts w:hint="default" w:ascii="Times New Roman" w:hAnsi="Times New Roman" w:eastAsia="仿宋_GB2312" w:cs="Times New Roman"/>
          <w:b w:val="0"/>
          <w:bCs w:val="0"/>
          <w:color w:val="auto"/>
          <w:spacing w:val="0"/>
          <w:w w:val="100"/>
          <w:sz w:val="32"/>
          <w:szCs w:val="32"/>
          <w:highlight w:val="none"/>
          <w:lang w:val="en-US" w:eastAsia="zh-CN"/>
        </w:rPr>
        <w:t>适用</w:t>
      </w:r>
      <w:r>
        <w:rPr>
          <w:rFonts w:hint="default" w:ascii="Times New Roman" w:hAnsi="Times New Roman" w:eastAsia="仿宋_GB2312" w:cs="Times New Roman"/>
          <w:b w:val="0"/>
          <w:bCs w:val="0"/>
          <w:color w:val="auto"/>
          <w:spacing w:val="0"/>
          <w:w w:val="100"/>
          <w:sz w:val="32"/>
          <w:szCs w:val="32"/>
          <w:highlight w:val="none"/>
          <w:lang w:val="en-US" w:eastAsia="en-US"/>
        </w:rPr>
        <w:t>条件</w:t>
      </w:r>
      <w:r>
        <w:rPr>
          <w:rFonts w:hint="default" w:ascii="Times New Roman" w:hAnsi="Times New Roman" w:eastAsia="仿宋_GB2312" w:cs="Times New Roman"/>
          <w:b w:val="0"/>
          <w:bCs w:val="0"/>
          <w:color w:val="auto"/>
          <w:spacing w:val="0"/>
          <w:w w:val="100"/>
          <w:sz w:val="32"/>
          <w:szCs w:val="32"/>
          <w:highlight w:val="none"/>
          <w:lang w:val="en-US" w:eastAsia="zh-CN"/>
        </w:rPr>
        <w:t>，简化修复</w:t>
      </w:r>
      <w:r>
        <w:rPr>
          <w:rFonts w:hint="default" w:ascii="Times New Roman" w:hAnsi="Times New Roman" w:eastAsia="仿宋_GB2312" w:cs="Times New Roman"/>
          <w:b w:val="0"/>
          <w:bCs w:val="0"/>
          <w:color w:val="auto"/>
          <w:spacing w:val="0"/>
          <w:w w:val="100"/>
          <w:sz w:val="32"/>
          <w:szCs w:val="32"/>
          <w:highlight w:val="none"/>
          <w:lang w:val="en-US" w:eastAsia="en-US"/>
        </w:rPr>
        <w:t>申请材料、</w:t>
      </w:r>
      <w:r>
        <w:rPr>
          <w:rFonts w:hint="default" w:ascii="Times New Roman" w:hAnsi="Times New Roman" w:eastAsia="仿宋_GB2312" w:cs="Times New Roman"/>
          <w:b w:val="0"/>
          <w:bCs w:val="0"/>
          <w:color w:val="auto"/>
          <w:spacing w:val="0"/>
          <w:w w:val="100"/>
          <w:sz w:val="32"/>
          <w:szCs w:val="32"/>
          <w:highlight w:val="none"/>
          <w:lang w:val="en-US" w:eastAsia="zh-CN"/>
        </w:rPr>
        <w:t>优化线上办理</w:t>
      </w:r>
      <w:r>
        <w:rPr>
          <w:rFonts w:hint="default" w:ascii="Times New Roman" w:hAnsi="Times New Roman" w:eastAsia="仿宋_GB2312" w:cs="Times New Roman"/>
          <w:b w:val="0"/>
          <w:bCs w:val="0"/>
          <w:color w:val="auto"/>
          <w:spacing w:val="0"/>
          <w:w w:val="100"/>
          <w:sz w:val="32"/>
          <w:szCs w:val="32"/>
          <w:highlight w:val="none"/>
          <w:lang w:val="en-US" w:eastAsia="en-US"/>
        </w:rPr>
        <w:t>流程</w:t>
      </w:r>
      <w:r>
        <w:rPr>
          <w:rFonts w:hint="default" w:ascii="Times New Roman" w:hAnsi="Times New Roman" w:eastAsia="仿宋_GB2312" w:cs="Times New Roman"/>
          <w:b w:val="0"/>
          <w:bCs w:val="0"/>
          <w:color w:val="auto"/>
          <w:spacing w:val="0"/>
          <w:w w:val="100"/>
          <w:sz w:val="32"/>
          <w:szCs w:val="32"/>
          <w:highlight w:val="none"/>
          <w:lang w:val="en-US" w:eastAsia="zh-CN"/>
        </w:rPr>
        <w:t>，规范有序运行信用修复工作，减少企业跑动次数。</w:t>
      </w:r>
      <w:r>
        <w:rPr>
          <w:rFonts w:hint="default" w:ascii="Times New Roman" w:hAnsi="Times New Roman" w:eastAsia="仿宋_GB2312" w:cs="Times New Roman"/>
          <w:b w:val="0"/>
          <w:bCs w:val="0"/>
          <w:color w:val="auto"/>
          <w:spacing w:val="0"/>
          <w:w w:val="100"/>
          <w:sz w:val="32"/>
          <w:szCs w:val="32"/>
          <w:highlight w:val="none"/>
          <w:lang w:val="en-US" w:eastAsia="en-US"/>
        </w:rPr>
        <w:t>对符合信用修复条件的，</w:t>
      </w:r>
      <w:r>
        <w:rPr>
          <w:rFonts w:hint="default" w:ascii="Times New Roman" w:hAnsi="Times New Roman" w:eastAsia="仿宋_GB2312" w:cs="Times New Roman"/>
          <w:b w:val="0"/>
          <w:bCs w:val="0"/>
          <w:color w:val="auto"/>
          <w:spacing w:val="0"/>
          <w:w w:val="100"/>
          <w:sz w:val="32"/>
          <w:szCs w:val="32"/>
          <w:highlight w:val="none"/>
          <w:lang w:val="en-US" w:eastAsia="zh-CN"/>
        </w:rPr>
        <w:t>快速启</w:t>
      </w:r>
      <w:r>
        <w:rPr>
          <w:rFonts w:hint="default" w:ascii="Times New Roman" w:hAnsi="Times New Roman" w:eastAsia="仿宋_GB2312" w:cs="Times New Roman"/>
          <w:b w:val="0"/>
          <w:bCs w:val="0"/>
          <w:color w:val="auto"/>
          <w:spacing w:val="0"/>
          <w:w w:val="100"/>
          <w:sz w:val="32"/>
          <w:szCs w:val="32"/>
          <w:highlight w:val="none"/>
          <w:lang w:val="en-US" w:eastAsia="en-US"/>
        </w:rPr>
        <w:t>动修复程序，</w:t>
      </w:r>
      <w:r>
        <w:rPr>
          <w:rFonts w:hint="default" w:ascii="Times New Roman" w:hAnsi="Times New Roman" w:eastAsia="仿宋_GB2312" w:cs="Times New Roman"/>
          <w:b w:val="0"/>
          <w:bCs w:val="0"/>
          <w:color w:val="auto"/>
          <w:spacing w:val="0"/>
          <w:w w:val="100"/>
          <w:sz w:val="32"/>
          <w:szCs w:val="32"/>
          <w:highlight w:val="none"/>
          <w:lang w:val="en-US" w:eastAsia="zh-CN"/>
        </w:rPr>
        <w:t>帮助</w:t>
      </w:r>
      <w:r>
        <w:rPr>
          <w:rFonts w:hint="default" w:ascii="Times New Roman" w:hAnsi="Times New Roman" w:eastAsia="仿宋_GB2312" w:cs="Times New Roman"/>
          <w:b w:val="0"/>
          <w:bCs w:val="0"/>
          <w:color w:val="auto"/>
          <w:spacing w:val="0"/>
          <w:w w:val="100"/>
          <w:sz w:val="32"/>
          <w:szCs w:val="32"/>
          <w:highlight w:val="none"/>
          <w:lang w:val="en-US" w:eastAsia="en-US"/>
        </w:rPr>
        <w:t>企业尽快恢复</w:t>
      </w:r>
      <w:r>
        <w:rPr>
          <w:rFonts w:hint="default" w:ascii="Times New Roman" w:hAnsi="Times New Roman" w:eastAsia="仿宋_GB2312" w:cs="Times New Roman"/>
          <w:b w:val="0"/>
          <w:bCs w:val="0"/>
          <w:color w:val="auto"/>
          <w:spacing w:val="0"/>
          <w:w w:val="100"/>
          <w:sz w:val="32"/>
          <w:szCs w:val="32"/>
          <w:highlight w:val="none"/>
          <w:lang w:val="en-US" w:eastAsia="zh-CN"/>
        </w:rPr>
        <w:t>正常生产运营</w:t>
      </w:r>
      <w:r>
        <w:rPr>
          <w:rFonts w:hint="default" w:ascii="Times New Roman" w:hAnsi="Times New Roman" w:eastAsia="仿宋_GB2312" w:cs="Times New Roman"/>
          <w:b w:val="0"/>
          <w:bCs w:val="0"/>
          <w:color w:val="auto"/>
          <w:spacing w:val="0"/>
          <w:w w:val="100"/>
          <w:sz w:val="32"/>
          <w:szCs w:val="32"/>
          <w:highlight w:val="none"/>
          <w:lang w:val="en-US" w:eastAsia="en-US"/>
        </w:rPr>
        <w:t>，有效激励各类</w:t>
      </w:r>
      <w:r>
        <w:rPr>
          <w:rFonts w:hint="default" w:ascii="Times New Roman" w:hAnsi="Times New Roman" w:eastAsia="仿宋_GB2312" w:cs="Times New Roman"/>
          <w:b w:val="0"/>
          <w:bCs w:val="0"/>
          <w:color w:val="auto"/>
          <w:spacing w:val="0"/>
          <w:w w:val="100"/>
          <w:sz w:val="32"/>
          <w:szCs w:val="32"/>
          <w:highlight w:val="none"/>
          <w:lang w:val="en-US" w:eastAsia="zh-CN"/>
        </w:rPr>
        <w:t>民营经济组织</w:t>
      </w:r>
      <w:r>
        <w:rPr>
          <w:rFonts w:hint="default" w:ascii="Times New Roman" w:hAnsi="Times New Roman" w:eastAsia="仿宋_GB2312" w:cs="Times New Roman"/>
          <w:b w:val="0"/>
          <w:bCs w:val="0"/>
          <w:color w:val="auto"/>
          <w:spacing w:val="0"/>
          <w:w w:val="100"/>
          <w:sz w:val="32"/>
          <w:szCs w:val="32"/>
          <w:highlight w:val="none"/>
          <w:lang w:val="en-US" w:eastAsia="en-US"/>
        </w:rPr>
        <w:t>遵约守信经营。</w:t>
      </w:r>
      <w:r>
        <w:rPr>
          <w:rFonts w:hint="default" w:ascii="Times New Roman" w:hAnsi="Times New Roman" w:eastAsia="仿宋_GB2312" w:cs="Times New Roman"/>
          <w:b w:val="0"/>
          <w:bCs w:val="0"/>
          <w:snapToGrid w:val="0"/>
          <w:color w:val="auto"/>
          <w:spacing w:val="0"/>
          <w:w w:val="100"/>
          <w:kern w:val="0"/>
          <w:sz w:val="32"/>
          <w:szCs w:val="32"/>
          <w:highlight w:val="none"/>
          <w:lang w:val="en-US" w:eastAsia="en-US" w:bidi="ar-SA"/>
        </w:rPr>
        <w:t>对主动履行完毕义务或与申请人达成和解协议并履行完毕的失信被执行企业，及时屏蔽、删除失信信息。</w:t>
      </w:r>
      <w:r>
        <w:rPr>
          <w:rFonts w:hint="default" w:ascii="Times New Roman" w:hAnsi="Times New Roman" w:eastAsia="楷体_GB2312" w:cs="Times New Roman"/>
          <w:b w:val="0"/>
          <w:bCs w:val="0"/>
          <w:color w:val="auto"/>
          <w:spacing w:val="0"/>
          <w:w w:val="100"/>
          <w:sz w:val="32"/>
          <w:szCs w:val="32"/>
          <w:highlight w:val="none"/>
          <w:lang w:eastAsia="zh-CN"/>
        </w:rPr>
        <w:t>（市中级人民法院</w:t>
      </w:r>
      <w:r>
        <w:rPr>
          <w:rFonts w:hint="default" w:ascii="Times New Roman" w:hAnsi="Times New Roman" w:eastAsia="楷体_GB2312" w:cs="Times New Roman"/>
          <w:b w:val="0"/>
          <w:bCs w:val="0"/>
          <w:color w:val="auto"/>
          <w:spacing w:val="0"/>
          <w:w w:val="100"/>
          <w:sz w:val="32"/>
          <w:szCs w:val="32"/>
          <w:highlight w:val="none"/>
        </w:rPr>
        <w:t>牵头负责</w:t>
      </w:r>
      <w:r>
        <w:rPr>
          <w:rFonts w:hint="default" w:ascii="Times New Roman" w:hAnsi="Times New Roman" w:eastAsia="楷体_GB2312" w:cs="Times New Roman"/>
          <w:b w:val="0"/>
          <w:bCs w:val="0"/>
          <w:color w:val="auto"/>
          <w:spacing w:val="0"/>
          <w:w w:val="100"/>
          <w:sz w:val="32"/>
          <w:szCs w:val="32"/>
          <w:highlight w:val="none"/>
          <w:lang w:eastAsia="zh-CN"/>
        </w:rPr>
        <w:t>）</w:t>
      </w:r>
    </w:p>
    <w:p w14:paraId="3DE390D4">
      <w:pPr>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43" w:firstLineChars="200"/>
        <w:jc w:val="both"/>
        <w:textAlignment w:val="baseline"/>
        <w:outlineLvl w:val="1"/>
        <w:rPr>
          <w:rFonts w:hint="default" w:ascii="Times New Roman" w:hAnsi="Times New Roman" w:eastAsia="楷体_GB2312" w:cs="Times New Roman"/>
          <w:b/>
          <w:bCs/>
          <w:color w:val="auto"/>
          <w:spacing w:val="0"/>
          <w:w w:val="100"/>
          <w:sz w:val="32"/>
          <w:szCs w:val="32"/>
          <w:highlight w:val="none"/>
        </w:rPr>
      </w:pPr>
      <w:r>
        <w:rPr>
          <w:rFonts w:hint="default" w:ascii="Times New Roman" w:hAnsi="Times New Roman" w:eastAsia="楷体_GB2312" w:cs="Times New Roman"/>
          <w:b/>
          <w:bCs/>
          <w:color w:val="auto"/>
          <w:spacing w:val="0"/>
          <w:w w:val="100"/>
          <w:sz w:val="32"/>
          <w:szCs w:val="32"/>
          <w:highlight w:val="none"/>
          <w:lang w:eastAsia="zh-CN"/>
        </w:rPr>
        <w:t>（六）持续规范涉企执法行为</w:t>
      </w:r>
    </w:p>
    <w:p w14:paraId="7419F8F4">
      <w:pPr>
        <w:pStyle w:val="2"/>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43" w:firstLineChars="200"/>
        <w:jc w:val="both"/>
        <w:textAlignment w:val="baseline"/>
        <w:rPr>
          <w:rFonts w:hint="default" w:ascii="Times New Roman" w:hAnsi="Times New Roman" w:eastAsia="楷体_GB2312" w:cs="Times New Roman"/>
          <w:b w:val="0"/>
          <w:bCs w:val="0"/>
          <w:color w:val="auto"/>
          <w:spacing w:val="0"/>
          <w:w w:val="100"/>
          <w:sz w:val="32"/>
          <w:szCs w:val="32"/>
          <w:highlight w:val="none"/>
          <w:lang w:eastAsia="zh-CN"/>
        </w:rPr>
      </w:pPr>
      <w:r>
        <w:rPr>
          <w:rFonts w:hint="default" w:ascii="Times New Roman" w:hAnsi="Times New Roman" w:eastAsia="仿宋_GB2312" w:cs="Times New Roman"/>
          <w:b/>
          <w:bCs/>
          <w:color w:val="auto"/>
          <w:spacing w:val="0"/>
          <w:w w:val="100"/>
          <w:sz w:val="32"/>
          <w:szCs w:val="32"/>
          <w:highlight w:val="none"/>
        </w:rPr>
        <w:t>1.</w:t>
      </w:r>
      <w:r>
        <w:rPr>
          <w:rFonts w:hint="default" w:ascii="Times New Roman" w:hAnsi="Times New Roman" w:eastAsia="仿宋_GB2312" w:cs="Times New Roman"/>
          <w:b/>
          <w:bCs/>
          <w:color w:val="auto"/>
          <w:spacing w:val="0"/>
          <w:w w:val="100"/>
          <w:sz w:val="32"/>
          <w:szCs w:val="32"/>
          <w:highlight w:val="none"/>
          <w:lang w:eastAsia="zh-CN"/>
        </w:rPr>
        <w:t>加强涉企执法事项审查。</w:t>
      </w:r>
      <w:r>
        <w:rPr>
          <w:rFonts w:hint="default" w:ascii="Times New Roman" w:hAnsi="Times New Roman" w:eastAsia="仿宋_GB2312" w:cs="Times New Roman"/>
          <w:b w:val="0"/>
          <w:bCs w:val="0"/>
          <w:color w:val="auto"/>
          <w:spacing w:val="0"/>
          <w:w w:val="100"/>
          <w:sz w:val="32"/>
          <w:szCs w:val="32"/>
          <w:highlight w:val="none"/>
          <w:lang w:eastAsia="zh-CN"/>
        </w:rPr>
        <w:t>加强规章立法审查，特别是对规章草案中设定的罚款，坚持过罚相当，做到该宽则宽、当严则严，避免失衡。对能够通过教育劝导、责令改正、信息披露等方式管理的， 一般不设定罚款。对市级政府规章，严格落实备案审查各项规定，对超越权限、违反上位法规定、设定的处罚不适当、规定的措施不符合立法目的和实际情况的，及时按程序予以纠正。强化行政规范性文件备案审查和清理，严格落实备案审查制度，行政规范性文件违法设定涉企收费、罚款、检查和查封事项的，坚决予以纠正。</w:t>
      </w:r>
      <w:r>
        <w:rPr>
          <w:rFonts w:hint="default" w:ascii="Times New Roman" w:hAnsi="Times New Roman" w:eastAsia="楷体_GB2312" w:cs="Times New Roman"/>
          <w:b w:val="0"/>
          <w:bCs w:val="0"/>
          <w:color w:val="auto"/>
          <w:spacing w:val="0"/>
          <w:w w:val="100"/>
          <w:sz w:val="32"/>
          <w:szCs w:val="32"/>
          <w:highlight w:val="none"/>
          <w:lang w:eastAsia="zh-CN"/>
        </w:rPr>
        <w:t>（市司法局牵头，各履行行政执法职能部门按照职责分工负责）</w:t>
      </w:r>
    </w:p>
    <w:p w14:paraId="11834FEC">
      <w:pPr>
        <w:keepNext w:val="0"/>
        <w:keepLines w:val="0"/>
        <w:pageBreakBefore w:val="0"/>
        <w:widowControl w:val="0"/>
        <w:suppressLineNumbers w:val="0"/>
        <w:kinsoku/>
        <w:wordWrap/>
        <w:overflowPunct/>
        <w:topLinePunct w:val="0"/>
        <w:autoSpaceDE w:val="0"/>
        <w:autoSpaceDN w:val="0"/>
        <w:bidi w:val="0"/>
        <w:adjustRightInd w:val="0"/>
        <w:snapToGrid w:val="0"/>
        <w:spacing w:line="580" w:lineRule="exact"/>
        <w:ind w:firstLine="643" w:firstLineChars="200"/>
        <w:jc w:val="both"/>
        <w:textAlignment w:val="baseline"/>
        <w:rPr>
          <w:rFonts w:hint="default" w:ascii="Times New Roman" w:hAnsi="Times New Roman" w:eastAsia="仿宋_GB2312" w:cs="Times New Roman"/>
          <w:b w:val="0"/>
          <w:bCs w:val="0"/>
          <w:color w:val="auto"/>
          <w:spacing w:val="0"/>
          <w:w w:val="100"/>
          <w:sz w:val="32"/>
          <w:szCs w:val="32"/>
          <w:highlight w:val="none"/>
        </w:rPr>
      </w:pPr>
      <w:r>
        <w:rPr>
          <w:rFonts w:hint="default" w:ascii="Times New Roman" w:hAnsi="Times New Roman" w:eastAsia="仿宋_GB2312" w:cs="Times New Roman"/>
          <w:b/>
          <w:bCs/>
          <w:color w:val="auto"/>
          <w:spacing w:val="0"/>
          <w:w w:val="100"/>
          <w:sz w:val="32"/>
          <w:szCs w:val="32"/>
          <w:highlight w:val="none"/>
          <w:lang w:val="en-US" w:eastAsia="zh-CN"/>
        </w:rPr>
        <w:t>2.规范</w:t>
      </w:r>
      <w:r>
        <w:rPr>
          <w:rFonts w:hint="default" w:ascii="Times New Roman" w:hAnsi="Times New Roman" w:eastAsia="仿宋_GB2312" w:cs="Times New Roman"/>
          <w:b/>
          <w:bCs/>
          <w:color w:val="auto"/>
          <w:spacing w:val="0"/>
          <w:w w:val="100"/>
          <w:sz w:val="32"/>
          <w:szCs w:val="32"/>
          <w:highlight w:val="none"/>
        </w:rPr>
        <w:t>涉企收费</w:t>
      </w:r>
      <w:r>
        <w:rPr>
          <w:rFonts w:hint="default" w:ascii="Times New Roman" w:hAnsi="Times New Roman" w:eastAsia="仿宋_GB2312" w:cs="Times New Roman"/>
          <w:b/>
          <w:bCs/>
          <w:color w:val="auto"/>
          <w:spacing w:val="0"/>
          <w:w w:val="100"/>
          <w:sz w:val="32"/>
          <w:szCs w:val="32"/>
          <w:highlight w:val="none"/>
          <w:lang w:eastAsia="zh-CN"/>
        </w:rPr>
        <w:t>行为</w:t>
      </w:r>
      <w:r>
        <w:rPr>
          <w:rFonts w:hint="default" w:ascii="Times New Roman" w:hAnsi="Times New Roman" w:eastAsia="仿宋_GB2312" w:cs="Times New Roman"/>
          <w:b/>
          <w:bCs/>
          <w:color w:val="auto"/>
          <w:spacing w:val="0"/>
          <w:w w:val="100"/>
          <w:sz w:val="32"/>
          <w:szCs w:val="32"/>
          <w:highlight w:val="none"/>
        </w:rPr>
        <w:t>。</w:t>
      </w:r>
      <w:r>
        <w:rPr>
          <w:rFonts w:hint="default" w:ascii="Times New Roman" w:hAnsi="Times New Roman" w:eastAsia="仿宋_GB2312" w:cs="Times New Roman"/>
          <w:b w:val="0"/>
          <w:bCs w:val="0"/>
          <w:snapToGrid w:val="0"/>
          <w:color w:val="auto"/>
          <w:spacing w:val="0"/>
          <w:w w:val="100"/>
          <w:kern w:val="0"/>
          <w:sz w:val="32"/>
          <w:szCs w:val="32"/>
          <w:highlight w:val="none"/>
          <w:lang w:val="en-US" w:eastAsia="zh-CN" w:bidi="ar-SA"/>
        </w:rPr>
        <w:t>聚焦越权设立收费项目、擅自提高收费标准、扩大收费范围、变相收费、不落实停征免收有关收费项目、不按规定进行收费公示、未按规定使用收费票据等违规行为，加大查处力度。健全涉企收费问题线索收集和处理机制，常态化收集涉企违规收费问题线索和意见建议，细化完善登记、受理、转办、处理、反馈等各环节流程和要求，依法曝光群众反映强烈、危害性大、具有代表性的涉企违规收费典型案例。对行政事业性收费、政府性基金、涉企保证金、政府定价的经营性服务收费实行目录清单管理，及时更新收费目录清单并向社会公开，清单之外一律不得收费。</w:t>
      </w:r>
      <w:r>
        <w:rPr>
          <w:rFonts w:hint="default" w:ascii="Times New Roman" w:hAnsi="Times New Roman" w:eastAsia="仿宋_GB2312" w:cs="Times New Roman"/>
          <w:b w:val="0"/>
          <w:bCs w:val="0"/>
          <w:color w:val="auto"/>
          <w:spacing w:val="0"/>
          <w:w w:val="100"/>
          <w:sz w:val="32"/>
          <w:szCs w:val="32"/>
          <w:highlight w:val="none"/>
        </w:rPr>
        <w:t>规范行业协会、中介组织涉企收费行为。建立完善企业负担动态监测机制。</w:t>
      </w:r>
      <w:r>
        <w:rPr>
          <w:rFonts w:hint="default" w:ascii="Times New Roman" w:hAnsi="Times New Roman" w:eastAsia="楷体_GB2312" w:cs="Times New Roman"/>
          <w:b w:val="0"/>
          <w:bCs w:val="0"/>
          <w:color w:val="auto"/>
          <w:spacing w:val="0"/>
          <w:w w:val="100"/>
          <w:sz w:val="32"/>
          <w:szCs w:val="32"/>
          <w:highlight w:val="none"/>
          <w:lang w:eastAsia="zh-CN"/>
        </w:rPr>
        <w:t>（市司法局</w:t>
      </w:r>
      <w:r>
        <w:rPr>
          <w:rFonts w:hint="default" w:ascii="Times New Roman" w:hAnsi="Times New Roman" w:eastAsia="楷体_GB2312" w:cs="Times New Roman"/>
          <w:b w:val="0"/>
          <w:bCs w:val="0"/>
          <w:color w:val="auto"/>
          <w:spacing w:val="0"/>
          <w:w w:val="100"/>
          <w:sz w:val="32"/>
          <w:szCs w:val="32"/>
          <w:highlight w:val="none"/>
        </w:rPr>
        <w:t>牵头，</w:t>
      </w:r>
      <w:r>
        <w:rPr>
          <w:rFonts w:hint="default" w:ascii="Times New Roman" w:hAnsi="Times New Roman" w:eastAsia="楷体_GB2312" w:cs="Times New Roman"/>
          <w:b w:val="0"/>
          <w:bCs w:val="0"/>
          <w:color w:val="auto"/>
          <w:spacing w:val="0"/>
          <w:w w:val="100"/>
          <w:sz w:val="32"/>
          <w:szCs w:val="32"/>
          <w:highlight w:val="none"/>
          <w:lang w:eastAsia="zh-CN"/>
        </w:rPr>
        <w:t>市发展改革委、市工信局、市财政局及</w:t>
      </w:r>
      <w:r>
        <w:rPr>
          <w:rFonts w:hint="default" w:ascii="Times New Roman" w:hAnsi="Times New Roman" w:eastAsia="楷体_GB2312" w:cs="Times New Roman"/>
          <w:b w:val="0"/>
          <w:bCs w:val="0"/>
          <w:color w:val="auto"/>
          <w:spacing w:val="0"/>
          <w:w w:val="100"/>
          <w:sz w:val="32"/>
          <w:szCs w:val="32"/>
          <w:highlight w:val="none"/>
        </w:rPr>
        <w:t>各履行行政执法职能部门按职责分工负责</w:t>
      </w:r>
      <w:r>
        <w:rPr>
          <w:rFonts w:hint="default" w:ascii="Times New Roman" w:hAnsi="Times New Roman" w:eastAsia="楷体_GB2312" w:cs="Times New Roman"/>
          <w:b w:val="0"/>
          <w:bCs w:val="0"/>
          <w:color w:val="auto"/>
          <w:spacing w:val="0"/>
          <w:w w:val="100"/>
          <w:sz w:val="32"/>
          <w:szCs w:val="32"/>
          <w:highlight w:val="none"/>
          <w:lang w:eastAsia="zh-CN"/>
        </w:rPr>
        <w:t>）</w:t>
      </w:r>
    </w:p>
    <w:p w14:paraId="651A82F6">
      <w:pPr>
        <w:pStyle w:val="2"/>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43" w:firstLineChars="200"/>
        <w:jc w:val="both"/>
        <w:textAlignment w:val="baseline"/>
        <w:rPr>
          <w:rFonts w:hint="default" w:ascii="Times New Roman" w:hAnsi="Times New Roman" w:eastAsia="仿宋_GB2312" w:cs="Times New Roman"/>
          <w:b w:val="0"/>
          <w:bCs w:val="0"/>
          <w:color w:val="auto"/>
          <w:spacing w:val="0"/>
          <w:w w:val="100"/>
          <w:sz w:val="32"/>
          <w:szCs w:val="32"/>
          <w:highlight w:val="none"/>
        </w:rPr>
      </w:pPr>
      <w:r>
        <w:rPr>
          <w:rFonts w:hint="default" w:ascii="Times New Roman" w:hAnsi="Times New Roman" w:eastAsia="仿宋_GB2312" w:cs="Times New Roman"/>
          <w:b/>
          <w:bCs/>
          <w:color w:val="auto"/>
          <w:spacing w:val="0"/>
          <w:w w:val="100"/>
          <w:sz w:val="32"/>
          <w:szCs w:val="32"/>
          <w:highlight w:val="none"/>
          <w:lang w:val="en-US" w:eastAsia="zh-CN"/>
        </w:rPr>
        <w:t>3</w:t>
      </w:r>
      <w:r>
        <w:rPr>
          <w:rFonts w:hint="default" w:ascii="Times New Roman" w:hAnsi="Times New Roman" w:eastAsia="仿宋_GB2312" w:cs="Times New Roman"/>
          <w:b/>
          <w:bCs/>
          <w:color w:val="auto"/>
          <w:spacing w:val="0"/>
          <w:w w:val="100"/>
          <w:sz w:val="32"/>
          <w:szCs w:val="32"/>
          <w:highlight w:val="none"/>
        </w:rPr>
        <w:t>.</w:t>
      </w:r>
      <w:r>
        <w:rPr>
          <w:rFonts w:hint="default" w:ascii="Times New Roman" w:hAnsi="Times New Roman" w:eastAsia="仿宋_GB2312" w:cs="Times New Roman"/>
          <w:b/>
          <w:bCs/>
          <w:color w:val="auto"/>
          <w:spacing w:val="0"/>
          <w:w w:val="100"/>
          <w:sz w:val="32"/>
          <w:szCs w:val="32"/>
          <w:highlight w:val="none"/>
          <w:lang w:eastAsia="zh-CN"/>
        </w:rPr>
        <w:t>规范涉企罚款行为</w:t>
      </w:r>
      <w:r>
        <w:rPr>
          <w:rFonts w:hint="default" w:ascii="Times New Roman" w:hAnsi="Times New Roman" w:eastAsia="仿宋_GB2312" w:cs="Times New Roman"/>
          <w:b/>
          <w:bCs/>
          <w:color w:val="auto"/>
          <w:spacing w:val="0"/>
          <w:w w:val="100"/>
          <w:sz w:val="32"/>
          <w:szCs w:val="32"/>
          <w:highlight w:val="none"/>
        </w:rPr>
        <w:t>。</w:t>
      </w:r>
      <w:r>
        <w:rPr>
          <w:rFonts w:hint="default" w:ascii="Times New Roman" w:hAnsi="Times New Roman" w:eastAsia="仿宋_GB2312" w:cs="Times New Roman"/>
          <w:b w:val="0"/>
          <w:bCs w:val="0"/>
          <w:color w:val="auto"/>
          <w:spacing w:val="0"/>
          <w:w w:val="100"/>
          <w:sz w:val="32"/>
          <w:szCs w:val="32"/>
          <w:highlight w:val="none"/>
        </w:rPr>
        <w:t>聚焦违法设定罚款名目、滥用行政裁量权基准、</w:t>
      </w:r>
      <w:r>
        <w:rPr>
          <w:rFonts w:hint="default" w:ascii="Times New Roman" w:hAnsi="Times New Roman" w:eastAsia="仿宋_GB2312" w:cs="Times New Roman"/>
          <w:b w:val="0"/>
          <w:bCs w:val="0"/>
          <w:color w:val="auto"/>
          <w:spacing w:val="0"/>
          <w:w w:val="100"/>
          <w:sz w:val="32"/>
          <w:szCs w:val="32"/>
          <w:highlight w:val="none"/>
          <w:lang w:eastAsia="zh-CN"/>
        </w:rPr>
        <w:t>以罚增收、</w:t>
      </w:r>
      <w:r>
        <w:rPr>
          <w:rFonts w:hint="default" w:ascii="Times New Roman" w:hAnsi="Times New Roman" w:eastAsia="仿宋_GB2312" w:cs="Times New Roman"/>
          <w:b w:val="0"/>
          <w:bCs w:val="0"/>
          <w:color w:val="auto"/>
          <w:spacing w:val="0"/>
          <w:w w:val="100"/>
          <w:sz w:val="32"/>
          <w:szCs w:val="32"/>
          <w:highlight w:val="none"/>
        </w:rPr>
        <w:t>以罚代管</w:t>
      </w:r>
      <w:r>
        <w:rPr>
          <w:rFonts w:hint="default" w:ascii="Times New Roman" w:hAnsi="Times New Roman" w:eastAsia="仿宋_GB2312" w:cs="Times New Roman"/>
          <w:b w:val="0"/>
          <w:bCs w:val="0"/>
          <w:color w:val="auto"/>
          <w:spacing w:val="0"/>
          <w:w w:val="100"/>
          <w:sz w:val="32"/>
          <w:szCs w:val="32"/>
          <w:highlight w:val="none"/>
          <w:lang w:eastAsia="zh-CN"/>
        </w:rPr>
        <w:t>、逐利罚款</w:t>
      </w:r>
      <w:r>
        <w:rPr>
          <w:rFonts w:hint="default" w:ascii="Times New Roman" w:hAnsi="Times New Roman" w:eastAsia="仿宋_GB2312" w:cs="Times New Roman"/>
          <w:b w:val="0"/>
          <w:bCs w:val="0"/>
          <w:color w:val="auto"/>
          <w:spacing w:val="0"/>
          <w:w w:val="100"/>
          <w:sz w:val="32"/>
          <w:szCs w:val="32"/>
          <w:highlight w:val="none"/>
        </w:rPr>
        <w:t>等行为，深入开展源头治理。实行罚款情况统计制度，各级执法部门定期将罚款情况报送同级司法行政部门，可根据实际情况同时报送上一级主管部门。进一步完善行政处罚裁量基准，</w:t>
      </w:r>
      <w:r>
        <w:rPr>
          <w:rFonts w:hint="default" w:ascii="Times New Roman" w:hAnsi="Times New Roman" w:eastAsia="仿宋_GB2312" w:cs="Times New Roman"/>
          <w:b w:val="0"/>
          <w:bCs w:val="0"/>
          <w:color w:val="auto"/>
          <w:spacing w:val="0"/>
          <w:w w:val="100"/>
          <w:sz w:val="32"/>
          <w:szCs w:val="32"/>
          <w:highlight w:val="none"/>
          <w:lang w:eastAsia="zh-CN"/>
        </w:rPr>
        <w:t>按照“过罚相当”原则确定处罚限度，</w:t>
      </w:r>
      <w:r>
        <w:rPr>
          <w:rFonts w:hint="default" w:ascii="Times New Roman" w:hAnsi="Times New Roman" w:eastAsia="仿宋_GB2312" w:cs="Times New Roman"/>
          <w:b w:val="0"/>
          <w:bCs w:val="0"/>
          <w:color w:val="auto"/>
          <w:spacing w:val="0"/>
          <w:w w:val="100"/>
          <w:sz w:val="32"/>
          <w:szCs w:val="32"/>
          <w:highlight w:val="none"/>
        </w:rPr>
        <w:t>深入推行行政执法</w:t>
      </w:r>
      <w:r>
        <w:rPr>
          <w:rFonts w:hint="default" w:ascii="Times New Roman" w:hAnsi="Times New Roman" w:eastAsia="仿宋_GB2312" w:cs="Times New Roman"/>
          <w:b w:val="0"/>
          <w:bCs w:val="0"/>
          <w:color w:val="auto"/>
          <w:spacing w:val="0"/>
          <w:w w:val="100"/>
          <w:sz w:val="32"/>
          <w:szCs w:val="32"/>
          <w:highlight w:val="none"/>
          <w:lang w:eastAsia="zh-CN"/>
        </w:rPr>
        <w:t>“</w:t>
      </w:r>
      <w:r>
        <w:rPr>
          <w:rFonts w:hint="default" w:ascii="Times New Roman" w:hAnsi="Times New Roman" w:eastAsia="仿宋_GB2312" w:cs="Times New Roman"/>
          <w:b w:val="0"/>
          <w:bCs w:val="0"/>
          <w:color w:val="auto"/>
          <w:spacing w:val="0"/>
          <w:w w:val="100"/>
          <w:sz w:val="32"/>
          <w:szCs w:val="32"/>
          <w:highlight w:val="none"/>
        </w:rPr>
        <w:t>四张清单</w:t>
      </w:r>
      <w:r>
        <w:rPr>
          <w:rFonts w:hint="default" w:ascii="Times New Roman" w:hAnsi="Times New Roman" w:eastAsia="仿宋_GB2312" w:cs="Times New Roman"/>
          <w:b w:val="0"/>
          <w:bCs w:val="0"/>
          <w:color w:val="auto"/>
          <w:spacing w:val="0"/>
          <w:w w:val="100"/>
          <w:sz w:val="32"/>
          <w:szCs w:val="32"/>
          <w:highlight w:val="none"/>
          <w:lang w:eastAsia="zh-CN"/>
        </w:rPr>
        <w:t>”</w:t>
      </w:r>
      <w:r>
        <w:rPr>
          <w:rFonts w:hint="default" w:ascii="Times New Roman" w:hAnsi="Times New Roman" w:eastAsia="仿宋_GB2312" w:cs="Times New Roman"/>
          <w:b w:val="0"/>
          <w:bCs w:val="0"/>
          <w:color w:val="auto"/>
          <w:spacing w:val="0"/>
          <w:w w:val="100"/>
          <w:sz w:val="32"/>
          <w:szCs w:val="32"/>
          <w:highlight w:val="none"/>
        </w:rPr>
        <w:t>制度</w:t>
      </w:r>
      <w:r>
        <w:rPr>
          <w:rFonts w:hint="default" w:ascii="Times New Roman" w:hAnsi="Times New Roman" w:eastAsia="仿宋_GB2312" w:cs="Times New Roman"/>
          <w:b w:val="0"/>
          <w:bCs w:val="0"/>
          <w:color w:val="auto"/>
          <w:spacing w:val="0"/>
          <w:w w:val="100"/>
          <w:sz w:val="32"/>
          <w:szCs w:val="32"/>
          <w:highlight w:val="none"/>
          <w:lang w:eastAsia="zh-CN"/>
        </w:rPr>
        <w:t>，制定清单适用工作指引</w:t>
      </w:r>
      <w:r>
        <w:rPr>
          <w:rFonts w:hint="default" w:ascii="Times New Roman" w:hAnsi="Times New Roman" w:eastAsia="仿宋_GB2312" w:cs="Times New Roman"/>
          <w:b w:val="0"/>
          <w:bCs w:val="0"/>
          <w:color w:val="auto"/>
          <w:spacing w:val="0"/>
          <w:w w:val="100"/>
          <w:sz w:val="32"/>
          <w:szCs w:val="32"/>
          <w:highlight w:val="none"/>
        </w:rPr>
        <w:t>。</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司法</w:t>
      </w:r>
      <w:r>
        <w:rPr>
          <w:rFonts w:hint="default" w:ascii="Times New Roman" w:hAnsi="Times New Roman" w:eastAsia="楷体_GB2312" w:cs="Times New Roman"/>
          <w:b w:val="0"/>
          <w:bCs w:val="0"/>
          <w:color w:val="auto"/>
          <w:spacing w:val="0"/>
          <w:w w:val="100"/>
          <w:sz w:val="32"/>
          <w:szCs w:val="32"/>
          <w:highlight w:val="none"/>
          <w:lang w:eastAsia="zh-CN"/>
        </w:rPr>
        <w:t>局</w:t>
      </w:r>
      <w:r>
        <w:rPr>
          <w:rFonts w:hint="default" w:ascii="Times New Roman" w:hAnsi="Times New Roman" w:eastAsia="楷体_GB2312" w:cs="Times New Roman"/>
          <w:b w:val="0"/>
          <w:bCs w:val="0"/>
          <w:color w:val="auto"/>
          <w:spacing w:val="0"/>
          <w:w w:val="100"/>
          <w:sz w:val="32"/>
          <w:szCs w:val="32"/>
          <w:highlight w:val="none"/>
        </w:rPr>
        <w:t>牵头，各履行行政执法职能部门按职责分工负责</w:t>
      </w:r>
      <w:r>
        <w:rPr>
          <w:rFonts w:hint="default" w:ascii="Times New Roman" w:hAnsi="Times New Roman" w:eastAsia="楷体_GB2312" w:cs="Times New Roman"/>
          <w:b w:val="0"/>
          <w:bCs w:val="0"/>
          <w:color w:val="auto"/>
          <w:spacing w:val="0"/>
          <w:w w:val="100"/>
          <w:sz w:val="32"/>
          <w:szCs w:val="32"/>
          <w:highlight w:val="none"/>
          <w:lang w:eastAsia="zh-CN"/>
        </w:rPr>
        <w:t>）</w:t>
      </w:r>
    </w:p>
    <w:p w14:paraId="1CE5C415">
      <w:pPr>
        <w:keepNext w:val="0"/>
        <w:keepLines w:val="0"/>
        <w:pageBreakBefore w:val="0"/>
        <w:widowControl w:val="0"/>
        <w:suppressLineNumbers w:val="0"/>
        <w:kinsoku/>
        <w:wordWrap/>
        <w:overflowPunct/>
        <w:topLinePunct w:val="0"/>
        <w:autoSpaceDE w:val="0"/>
        <w:autoSpaceDN w:val="0"/>
        <w:bidi w:val="0"/>
        <w:adjustRightInd w:val="0"/>
        <w:snapToGrid w:val="0"/>
        <w:spacing w:line="580" w:lineRule="exact"/>
        <w:ind w:firstLine="643" w:firstLineChars="200"/>
        <w:jc w:val="both"/>
        <w:textAlignment w:val="baseline"/>
        <w:rPr>
          <w:rFonts w:hint="default" w:ascii="Times New Roman" w:hAnsi="Times New Roman" w:eastAsia="仿宋_GB2312" w:cs="Times New Roman"/>
          <w:b w:val="0"/>
          <w:bCs w:val="0"/>
          <w:color w:val="auto"/>
          <w:spacing w:val="0"/>
          <w:w w:val="100"/>
          <w:sz w:val="32"/>
          <w:szCs w:val="32"/>
          <w:highlight w:val="none"/>
        </w:rPr>
      </w:pPr>
      <w:r>
        <w:rPr>
          <w:rFonts w:hint="default" w:ascii="Times New Roman" w:hAnsi="Times New Roman" w:eastAsia="仿宋_GB2312" w:cs="Times New Roman"/>
          <w:b/>
          <w:bCs/>
          <w:color w:val="auto"/>
          <w:spacing w:val="0"/>
          <w:w w:val="100"/>
          <w:sz w:val="32"/>
          <w:szCs w:val="32"/>
          <w:highlight w:val="none"/>
          <w:lang w:val="en-US" w:eastAsia="zh-CN"/>
        </w:rPr>
        <w:t>4</w:t>
      </w:r>
      <w:r>
        <w:rPr>
          <w:rFonts w:hint="default" w:ascii="Times New Roman" w:hAnsi="Times New Roman" w:eastAsia="仿宋_GB2312" w:cs="Times New Roman"/>
          <w:b/>
          <w:bCs/>
          <w:color w:val="auto"/>
          <w:spacing w:val="0"/>
          <w:w w:val="100"/>
          <w:sz w:val="32"/>
          <w:szCs w:val="32"/>
          <w:highlight w:val="none"/>
        </w:rPr>
        <w:t>.</w:t>
      </w:r>
      <w:r>
        <w:rPr>
          <w:rFonts w:hint="default" w:ascii="Times New Roman" w:hAnsi="Times New Roman" w:eastAsia="仿宋_GB2312" w:cs="Times New Roman"/>
          <w:b/>
          <w:bCs/>
          <w:color w:val="auto"/>
          <w:spacing w:val="0"/>
          <w:w w:val="100"/>
          <w:sz w:val="32"/>
          <w:szCs w:val="32"/>
          <w:highlight w:val="none"/>
          <w:lang w:eastAsia="zh-CN"/>
        </w:rPr>
        <w:t>规范</w:t>
      </w:r>
      <w:r>
        <w:rPr>
          <w:rFonts w:hint="default" w:ascii="Times New Roman" w:hAnsi="Times New Roman" w:eastAsia="仿宋_GB2312" w:cs="Times New Roman"/>
          <w:b/>
          <w:bCs/>
          <w:color w:val="auto"/>
          <w:spacing w:val="0"/>
          <w:w w:val="100"/>
          <w:sz w:val="32"/>
          <w:szCs w:val="32"/>
          <w:highlight w:val="none"/>
        </w:rPr>
        <w:t>涉企乱</w:t>
      </w:r>
      <w:r>
        <w:rPr>
          <w:rFonts w:hint="default" w:ascii="Times New Roman" w:hAnsi="Times New Roman" w:eastAsia="仿宋_GB2312" w:cs="Times New Roman"/>
          <w:b/>
          <w:bCs/>
          <w:color w:val="auto"/>
          <w:spacing w:val="0"/>
          <w:w w:val="100"/>
          <w:sz w:val="32"/>
          <w:szCs w:val="32"/>
          <w:highlight w:val="none"/>
          <w:lang w:eastAsia="zh-CN"/>
        </w:rPr>
        <w:t>检查行为</w:t>
      </w:r>
      <w:r>
        <w:rPr>
          <w:rFonts w:hint="default" w:ascii="Times New Roman" w:hAnsi="Times New Roman" w:eastAsia="仿宋_GB2312" w:cs="Times New Roman"/>
          <w:b/>
          <w:bCs/>
          <w:color w:val="auto"/>
          <w:spacing w:val="0"/>
          <w:w w:val="100"/>
          <w:sz w:val="32"/>
          <w:szCs w:val="32"/>
          <w:highlight w:val="none"/>
        </w:rPr>
        <w:t>。</w:t>
      </w:r>
      <w:r>
        <w:rPr>
          <w:rFonts w:hint="default" w:ascii="Times New Roman" w:hAnsi="Times New Roman" w:eastAsia="仿宋_GB2312" w:cs="Times New Roman"/>
          <w:b w:val="0"/>
          <w:bCs w:val="0"/>
          <w:color w:val="auto"/>
          <w:spacing w:val="0"/>
          <w:w w:val="100"/>
          <w:sz w:val="32"/>
          <w:szCs w:val="32"/>
          <w:highlight w:val="none"/>
          <w:lang w:eastAsia="zh-CN"/>
        </w:rPr>
        <w:t>聚焦涉企行政检查事项多、频次高、随意性大以及运动式检查、以各种名义变相检查等突出问题，</w:t>
      </w:r>
      <w:r>
        <w:rPr>
          <w:rFonts w:hint="default" w:ascii="Times New Roman" w:hAnsi="Times New Roman" w:eastAsia="仿宋_GB2312" w:cs="Times New Roman"/>
          <w:b w:val="0"/>
          <w:bCs w:val="0"/>
          <w:snapToGrid w:val="0"/>
          <w:color w:val="auto"/>
          <w:spacing w:val="0"/>
          <w:w w:val="100"/>
          <w:kern w:val="0"/>
          <w:sz w:val="32"/>
          <w:szCs w:val="32"/>
          <w:highlight w:val="none"/>
          <w:lang w:val="en-US" w:eastAsia="zh-CN" w:bidi="ar-SA"/>
        </w:rPr>
        <w:t>规范涉企行政检查。</w:t>
      </w:r>
      <w:r>
        <w:rPr>
          <w:rFonts w:hint="default" w:ascii="Times New Roman" w:hAnsi="Times New Roman" w:eastAsia="仿宋_GB2312" w:cs="Times New Roman"/>
          <w:b w:val="0"/>
          <w:bCs w:val="0"/>
          <w:color w:val="auto"/>
          <w:spacing w:val="0"/>
          <w:w w:val="100"/>
          <w:sz w:val="32"/>
          <w:szCs w:val="32"/>
          <w:highlight w:val="none"/>
          <w:lang w:eastAsia="zh-CN"/>
        </w:rPr>
        <w:t>按照“谁审批、谁监管，谁主管、谁监管”的原则，厘清涉企行政检查主体职责，明确涉企行政检查范围。梳理涉企行政检查事项权责清单，对社会公布，主动接受企业和社会监督。</w:t>
      </w:r>
      <w:r>
        <w:rPr>
          <w:rFonts w:hint="default" w:ascii="Times New Roman" w:hAnsi="Times New Roman" w:eastAsia="仿宋_GB2312" w:cs="Times New Roman"/>
          <w:b w:val="0"/>
          <w:bCs w:val="0"/>
          <w:color w:val="auto"/>
          <w:spacing w:val="0"/>
          <w:w w:val="100"/>
          <w:sz w:val="32"/>
          <w:szCs w:val="32"/>
          <w:highlight w:val="none"/>
        </w:rPr>
        <w:t>推行</w:t>
      </w:r>
      <w:r>
        <w:rPr>
          <w:rFonts w:hint="default" w:ascii="Times New Roman" w:hAnsi="Times New Roman" w:eastAsia="仿宋_GB2312" w:cs="Times New Roman"/>
          <w:b w:val="0"/>
          <w:bCs w:val="0"/>
          <w:color w:val="auto"/>
          <w:spacing w:val="0"/>
          <w:w w:val="100"/>
          <w:sz w:val="32"/>
          <w:szCs w:val="32"/>
          <w:highlight w:val="none"/>
          <w:lang w:eastAsia="zh-CN"/>
        </w:rPr>
        <w:t>“</w:t>
      </w:r>
      <w:r>
        <w:rPr>
          <w:rFonts w:hint="default" w:ascii="Times New Roman" w:hAnsi="Times New Roman" w:eastAsia="仿宋_GB2312" w:cs="Times New Roman"/>
          <w:b w:val="0"/>
          <w:bCs w:val="0"/>
          <w:color w:val="auto"/>
          <w:spacing w:val="0"/>
          <w:w w:val="100"/>
          <w:sz w:val="32"/>
          <w:szCs w:val="32"/>
          <w:highlight w:val="none"/>
        </w:rPr>
        <w:t>综合查一次</w:t>
      </w:r>
      <w:r>
        <w:rPr>
          <w:rFonts w:hint="default" w:ascii="Times New Roman" w:hAnsi="Times New Roman" w:eastAsia="仿宋_GB2312" w:cs="Times New Roman"/>
          <w:b w:val="0"/>
          <w:bCs w:val="0"/>
          <w:color w:val="auto"/>
          <w:spacing w:val="0"/>
          <w:w w:val="100"/>
          <w:sz w:val="32"/>
          <w:szCs w:val="32"/>
          <w:highlight w:val="none"/>
          <w:lang w:eastAsia="zh-CN"/>
        </w:rPr>
        <w:t>”，</w:t>
      </w:r>
      <w:r>
        <w:rPr>
          <w:rFonts w:hint="default" w:ascii="Times New Roman" w:hAnsi="Times New Roman" w:eastAsia="仿宋_GB2312" w:cs="Times New Roman"/>
          <w:b w:val="0"/>
          <w:bCs w:val="0"/>
          <w:color w:val="auto"/>
          <w:spacing w:val="0"/>
          <w:w w:val="100"/>
          <w:sz w:val="32"/>
          <w:szCs w:val="32"/>
          <w:highlight w:val="none"/>
        </w:rPr>
        <w:t>推广非现场监管方式，最大限度减少入企检查频次。严格行政检查程序，加快推行</w:t>
      </w:r>
      <w:r>
        <w:rPr>
          <w:rFonts w:hint="default" w:ascii="Times New Roman" w:hAnsi="Times New Roman" w:eastAsia="仿宋_GB2312" w:cs="Times New Roman"/>
          <w:b w:val="0"/>
          <w:bCs w:val="0"/>
          <w:color w:val="auto"/>
          <w:spacing w:val="0"/>
          <w:w w:val="100"/>
          <w:sz w:val="32"/>
          <w:szCs w:val="32"/>
          <w:highlight w:val="none"/>
          <w:lang w:eastAsia="zh-CN"/>
        </w:rPr>
        <w:t>“</w:t>
      </w:r>
      <w:r>
        <w:rPr>
          <w:rFonts w:hint="default" w:ascii="Times New Roman" w:hAnsi="Times New Roman" w:eastAsia="仿宋_GB2312" w:cs="Times New Roman"/>
          <w:b w:val="0"/>
          <w:bCs w:val="0"/>
          <w:color w:val="auto"/>
          <w:spacing w:val="0"/>
          <w:w w:val="100"/>
          <w:sz w:val="32"/>
          <w:szCs w:val="32"/>
          <w:highlight w:val="none"/>
        </w:rPr>
        <w:t>扫码入企</w:t>
      </w:r>
      <w:r>
        <w:rPr>
          <w:rFonts w:hint="default" w:ascii="Times New Roman" w:hAnsi="Times New Roman" w:eastAsia="仿宋_GB2312" w:cs="Times New Roman"/>
          <w:b w:val="0"/>
          <w:bCs w:val="0"/>
          <w:color w:val="auto"/>
          <w:spacing w:val="0"/>
          <w:w w:val="100"/>
          <w:sz w:val="32"/>
          <w:szCs w:val="32"/>
          <w:highlight w:val="none"/>
          <w:lang w:eastAsia="zh-CN"/>
        </w:rPr>
        <w:t>”，杜绝随意检查。</w:t>
      </w:r>
      <w:r>
        <w:rPr>
          <w:rFonts w:hint="default" w:ascii="Times New Roman" w:hAnsi="Times New Roman" w:eastAsia="仿宋_GB2312" w:cs="Times New Roman"/>
          <w:b w:val="0"/>
          <w:bCs w:val="0"/>
          <w:color w:val="auto"/>
          <w:spacing w:val="0"/>
          <w:w w:val="100"/>
          <w:sz w:val="32"/>
          <w:szCs w:val="32"/>
          <w:highlight w:val="none"/>
        </w:rPr>
        <w:t>严控专项检查范围、内容、时限等。</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司法</w:t>
      </w:r>
      <w:r>
        <w:rPr>
          <w:rFonts w:hint="default" w:ascii="Times New Roman" w:hAnsi="Times New Roman" w:eastAsia="楷体_GB2312" w:cs="Times New Roman"/>
          <w:b w:val="0"/>
          <w:bCs w:val="0"/>
          <w:color w:val="auto"/>
          <w:spacing w:val="0"/>
          <w:w w:val="100"/>
          <w:sz w:val="32"/>
          <w:szCs w:val="32"/>
          <w:highlight w:val="none"/>
          <w:lang w:eastAsia="zh-CN"/>
        </w:rPr>
        <w:t>局</w:t>
      </w:r>
      <w:r>
        <w:rPr>
          <w:rFonts w:hint="default" w:ascii="Times New Roman" w:hAnsi="Times New Roman" w:eastAsia="楷体_GB2312" w:cs="Times New Roman"/>
          <w:b w:val="0"/>
          <w:bCs w:val="0"/>
          <w:color w:val="auto"/>
          <w:spacing w:val="0"/>
          <w:w w:val="100"/>
          <w:sz w:val="32"/>
          <w:szCs w:val="32"/>
          <w:highlight w:val="none"/>
        </w:rPr>
        <w:t>牵头，各履行行政执法职能部门按职责分工负责</w:t>
      </w:r>
      <w:r>
        <w:rPr>
          <w:rFonts w:hint="default" w:ascii="Times New Roman" w:hAnsi="Times New Roman" w:eastAsia="楷体_GB2312" w:cs="Times New Roman"/>
          <w:b w:val="0"/>
          <w:bCs w:val="0"/>
          <w:color w:val="auto"/>
          <w:spacing w:val="0"/>
          <w:w w:val="100"/>
          <w:sz w:val="32"/>
          <w:szCs w:val="32"/>
          <w:highlight w:val="none"/>
          <w:lang w:eastAsia="zh-CN"/>
        </w:rPr>
        <w:t>）</w:t>
      </w:r>
    </w:p>
    <w:p w14:paraId="1432F359">
      <w:pPr>
        <w:pStyle w:val="2"/>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43" w:firstLineChars="200"/>
        <w:jc w:val="both"/>
        <w:textAlignment w:val="baseline"/>
        <w:rPr>
          <w:rFonts w:hint="default" w:ascii="Times New Roman" w:hAnsi="Times New Roman" w:eastAsia="仿宋_GB2312" w:cs="Times New Roman"/>
          <w:b w:val="0"/>
          <w:bCs w:val="0"/>
          <w:color w:val="auto"/>
          <w:spacing w:val="0"/>
          <w:w w:val="100"/>
          <w:sz w:val="32"/>
          <w:szCs w:val="32"/>
          <w:highlight w:val="none"/>
        </w:rPr>
      </w:pPr>
      <w:r>
        <w:rPr>
          <w:rFonts w:hint="default" w:ascii="Times New Roman" w:hAnsi="Times New Roman" w:eastAsia="仿宋_GB2312" w:cs="Times New Roman"/>
          <w:b/>
          <w:bCs/>
          <w:color w:val="auto"/>
          <w:spacing w:val="0"/>
          <w:w w:val="100"/>
          <w:sz w:val="32"/>
          <w:szCs w:val="32"/>
          <w:highlight w:val="none"/>
          <w:lang w:val="en-US" w:eastAsia="zh-CN"/>
        </w:rPr>
        <w:t>5</w:t>
      </w:r>
      <w:r>
        <w:rPr>
          <w:rFonts w:hint="default" w:ascii="Times New Roman" w:hAnsi="Times New Roman" w:eastAsia="仿宋_GB2312" w:cs="Times New Roman"/>
          <w:b/>
          <w:bCs/>
          <w:color w:val="auto"/>
          <w:spacing w:val="0"/>
          <w:w w:val="100"/>
          <w:sz w:val="32"/>
          <w:szCs w:val="32"/>
          <w:highlight w:val="none"/>
        </w:rPr>
        <w:t>.</w:t>
      </w:r>
      <w:r>
        <w:rPr>
          <w:rFonts w:hint="default" w:ascii="Times New Roman" w:hAnsi="Times New Roman" w:eastAsia="仿宋_GB2312" w:cs="Times New Roman"/>
          <w:b/>
          <w:bCs/>
          <w:color w:val="auto"/>
          <w:spacing w:val="0"/>
          <w:w w:val="100"/>
          <w:sz w:val="32"/>
          <w:szCs w:val="32"/>
          <w:highlight w:val="none"/>
          <w:lang w:eastAsia="zh-CN"/>
        </w:rPr>
        <w:t>规范</w:t>
      </w:r>
      <w:r>
        <w:rPr>
          <w:rFonts w:hint="default" w:ascii="Times New Roman" w:hAnsi="Times New Roman" w:eastAsia="仿宋_GB2312" w:cs="Times New Roman"/>
          <w:b/>
          <w:bCs/>
          <w:color w:val="auto"/>
          <w:spacing w:val="0"/>
          <w:w w:val="100"/>
          <w:sz w:val="32"/>
          <w:szCs w:val="32"/>
          <w:highlight w:val="none"/>
        </w:rPr>
        <w:t>涉企查封</w:t>
      </w:r>
      <w:r>
        <w:rPr>
          <w:rFonts w:hint="default" w:ascii="Times New Roman" w:hAnsi="Times New Roman" w:eastAsia="仿宋_GB2312" w:cs="Times New Roman"/>
          <w:b/>
          <w:bCs/>
          <w:color w:val="auto"/>
          <w:spacing w:val="0"/>
          <w:w w:val="100"/>
          <w:sz w:val="32"/>
          <w:szCs w:val="32"/>
          <w:highlight w:val="none"/>
          <w:lang w:eastAsia="zh-CN"/>
        </w:rPr>
        <w:t>行为</w:t>
      </w:r>
      <w:r>
        <w:rPr>
          <w:rFonts w:hint="default" w:ascii="Times New Roman" w:hAnsi="Times New Roman" w:eastAsia="仿宋_GB2312" w:cs="Times New Roman"/>
          <w:b/>
          <w:bCs/>
          <w:color w:val="auto"/>
          <w:spacing w:val="0"/>
          <w:w w:val="100"/>
          <w:sz w:val="32"/>
          <w:szCs w:val="32"/>
          <w:highlight w:val="none"/>
        </w:rPr>
        <w:t>。</w:t>
      </w:r>
      <w:r>
        <w:rPr>
          <w:rFonts w:hint="default" w:ascii="Times New Roman" w:hAnsi="Times New Roman" w:eastAsia="仿宋_GB2312" w:cs="Times New Roman"/>
          <w:b w:val="0"/>
          <w:bCs w:val="0"/>
          <w:snapToGrid w:val="0"/>
          <w:color w:val="auto"/>
          <w:spacing w:val="0"/>
          <w:w w:val="100"/>
          <w:kern w:val="0"/>
          <w:sz w:val="32"/>
          <w:szCs w:val="32"/>
          <w:highlight w:val="none"/>
          <w:lang w:val="en-US" w:eastAsia="zh-CN" w:bidi="ar-SA"/>
        </w:rPr>
        <w:t>聚焦没有依据实施查封，违法扩大查封范围，使用或损毁查封场所、设施或财物，违反法定程序查封等行为，将查封的场所、设施或者财物据为己有，将查封财物截留私分或者变相私分等乱查封行为，开展乱查封专项监督检查。</w:t>
      </w:r>
      <w:r>
        <w:rPr>
          <w:rFonts w:hint="default" w:ascii="Times New Roman" w:hAnsi="Times New Roman" w:eastAsia="仿宋_GB2312" w:cs="Times New Roman"/>
          <w:b w:val="0"/>
          <w:bCs w:val="0"/>
          <w:color w:val="auto"/>
          <w:spacing w:val="0"/>
          <w:w w:val="100"/>
          <w:sz w:val="32"/>
          <w:szCs w:val="32"/>
          <w:highlight w:val="none"/>
        </w:rPr>
        <w:t>完善执法部门查封审批制度，未经批准不得实施查封行为。</w:t>
      </w:r>
      <w:r>
        <w:rPr>
          <w:rFonts w:hint="default" w:ascii="Times New Roman" w:hAnsi="Times New Roman" w:eastAsia="仿宋_GB2312" w:cs="Times New Roman"/>
          <w:b w:val="0"/>
          <w:bCs w:val="0"/>
          <w:color w:val="auto"/>
          <w:spacing w:val="0"/>
          <w:w w:val="100"/>
          <w:sz w:val="32"/>
          <w:szCs w:val="32"/>
          <w:highlight w:val="none"/>
          <w:lang w:eastAsia="zh-CN"/>
        </w:rPr>
        <w:t>准确把握依法查封的条件和期限，严格落实“</w:t>
      </w:r>
      <w:r>
        <w:rPr>
          <w:rFonts w:hint="default" w:ascii="Times New Roman" w:hAnsi="Times New Roman" w:eastAsia="仿宋_GB2312" w:cs="Times New Roman"/>
          <w:b w:val="0"/>
          <w:bCs w:val="0"/>
          <w:color w:val="auto"/>
          <w:spacing w:val="0"/>
          <w:w w:val="100"/>
          <w:sz w:val="32"/>
          <w:szCs w:val="32"/>
          <w:highlight w:val="none"/>
        </w:rPr>
        <w:t>最少必要</w:t>
      </w:r>
      <w:r>
        <w:rPr>
          <w:rFonts w:hint="default" w:ascii="Times New Roman" w:hAnsi="Times New Roman" w:eastAsia="仿宋_GB2312" w:cs="Times New Roman"/>
          <w:b w:val="0"/>
          <w:bCs w:val="0"/>
          <w:color w:val="auto"/>
          <w:spacing w:val="0"/>
          <w:w w:val="100"/>
          <w:sz w:val="32"/>
          <w:szCs w:val="32"/>
          <w:highlight w:val="none"/>
          <w:lang w:eastAsia="zh-CN"/>
        </w:rPr>
        <w:t>”</w:t>
      </w:r>
      <w:r>
        <w:rPr>
          <w:rFonts w:hint="default" w:ascii="Times New Roman" w:hAnsi="Times New Roman" w:eastAsia="仿宋_GB2312" w:cs="Times New Roman"/>
          <w:b w:val="0"/>
          <w:bCs w:val="0"/>
          <w:color w:val="auto"/>
          <w:spacing w:val="0"/>
          <w:w w:val="100"/>
          <w:sz w:val="32"/>
          <w:szCs w:val="32"/>
          <w:highlight w:val="none"/>
        </w:rPr>
        <w:t>原则，依法严格区分涉案财产与非涉案财产，严禁超范围查封</w:t>
      </w:r>
      <w:r>
        <w:rPr>
          <w:rFonts w:hint="default" w:ascii="Times New Roman" w:hAnsi="Times New Roman" w:eastAsia="仿宋_GB2312" w:cs="Times New Roman"/>
          <w:b w:val="0"/>
          <w:bCs w:val="0"/>
          <w:color w:val="auto"/>
          <w:spacing w:val="0"/>
          <w:w w:val="100"/>
          <w:sz w:val="32"/>
          <w:szCs w:val="32"/>
          <w:highlight w:val="none"/>
          <w:lang w:eastAsia="zh-CN"/>
        </w:rPr>
        <w:t>；</w:t>
      </w:r>
      <w:r>
        <w:rPr>
          <w:rFonts w:hint="default" w:ascii="Times New Roman" w:hAnsi="Times New Roman" w:eastAsia="仿宋_GB2312" w:cs="Times New Roman"/>
          <w:b w:val="0"/>
          <w:bCs w:val="0"/>
          <w:color w:val="auto"/>
          <w:spacing w:val="0"/>
          <w:w w:val="100"/>
          <w:sz w:val="32"/>
          <w:szCs w:val="32"/>
          <w:highlight w:val="none"/>
        </w:rPr>
        <w:t>对生产经营性设备原则上采取登记保全方式，最大限度减少对企业正常经营的影响。</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司法</w:t>
      </w:r>
      <w:r>
        <w:rPr>
          <w:rFonts w:hint="default" w:ascii="Times New Roman" w:hAnsi="Times New Roman" w:eastAsia="楷体_GB2312" w:cs="Times New Roman"/>
          <w:b w:val="0"/>
          <w:bCs w:val="0"/>
          <w:color w:val="auto"/>
          <w:spacing w:val="0"/>
          <w:w w:val="100"/>
          <w:sz w:val="32"/>
          <w:szCs w:val="32"/>
          <w:highlight w:val="none"/>
          <w:lang w:eastAsia="zh-CN"/>
        </w:rPr>
        <w:t>局</w:t>
      </w:r>
      <w:r>
        <w:rPr>
          <w:rFonts w:hint="default" w:ascii="Times New Roman" w:hAnsi="Times New Roman" w:eastAsia="楷体_GB2312" w:cs="Times New Roman"/>
          <w:b w:val="0"/>
          <w:bCs w:val="0"/>
          <w:color w:val="auto"/>
          <w:spacing w:val="0"/>
          <w:w w:val="100"/>
          <w:sz w:val="32"/>
          <w:szCs w:val="32"/>
          <w:highlight w:val="none"/>
        </w:rPr>
        <w:t>牵头，各履行行政执法职能部门按职责分工负责</w:t>
      </w:r>
      <w:r>
        <w:rPr>
          <w:rFonts w:hint="default" w:ascii="Times New Roman" w:hAnsi="Times New Roman" w:eastAsia="楷体_GB2312" w:cs="Times New Roman"/>
          <w:b w:val="0"/>
          <w:bCs w:val="0"/>
          <w:color w:val="auto"/>
          <w:spacing w:val="0"/>
          <w:w w:val="100"/>
          <w:sz w:val="32"/>
          <w:szCs w:val="32"/>
          <w:highlight w:val="none"/>
          <w:lang w:eastAsia="zh-CN"/>
        </w:rPr>
        <w:t>）</w:t>
      </w:r>
    </w:p>
    <w:p w14:paraId="39C3D8F7">
      <w:pPr>
        <w:pStyle w:val="2"/>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43" w:firstLineChars="200"/>
        <w:jc w:val="both"/>
        <w:textAlignment w:val="baseline"/>
        <w:outlineLvl w:val="1"/>
        <w:rPr>
          <w:rFonts w:hint="default" w:ascii="Times New Roman" w:hAnsi="Times New Roman" w:eastAsia="仿宋_GB2312" w:cs="Times New Roman"/>
          <w:b/>
          <w:bCs/>
          <w:color w:val="auto"/>
          <w:spacing w:val="0"/>
          <w:w w:val="100"/>
          <w:sz w:val="32"/>
          <w:szCs w:val="32"/>
          <w:highlight w:val="none"/>
          <w:lang w:val="en-US" w:eastAsia="zh-CN"/>
        </w:rPr>
      </w:pPr>
      <w:r>
        <w:rPr>
          <w:rFonts w:hint="default" w:ascii="Times New Roman" w:hAnsi="Times New Roman" w:eastAsia="仿宋_GB2312" w:cs="Times New Roman"/>
          <w:b/>
          <w:bCs/>
          <w:color w:val="auto"/>
          <w:spacing w:val="0"/>
          <w:w w:val="100"/>
          <w:sz w:val="32"/>
          <w:szCs w:val="32"/>
          <w:highlight w:val="none"/>
          <w:lang w:val="en-US" w:eastAsia="zh-CN"/>
        </w:rPr>
        <w:t>（七）</w:t>
      </w:r>
      <w:r>
        <w:rPr>
          <w:rFonts w:hint="default" w:ascii="Times New Roman" w:hAnsi="Times New Roman" w:eastAsia="楷体_GB2312" w:cs="Times New Roman"/>
          <w:b/>
          <w:bCs/>
          <w:snapToGrid w:val="0"/>
          <w:color w:val="auto"/>
          <w:spacing w:val="0"/>
          <w:w w:val="100"/>
          <w:kern w:val="0"/>
          <w:sz w:val="32"/>
          <w:szCs w:val="32"/>
          <w:highlight w:val="none"/>
          <w:lang w:val="en-US" w:eastAsia="zh-CN" w:bidi="ar-SA"/>
        </w:rPr>
        <w:t>加强民营经济发展</w:t>
      </w:r>
      <w:r>
        <w:rPr>
          <w:rFonts w:hint="default" w:ascii="Times New Roman" w:hAnsi="Times New Roman" w:eastAsia="楷体_GB2312" w:cs="Times New Roman"/>
          <w:b/>
          <w:bCs/>
          <w:snapToGrid w:val="0"/>
          <w:color w:val="auto"/>
          <w:spacing w:val="0"/>
          <w:w w:val="100"/>
          <w:kern w:val="0"/>
          <w:sz w:val="32"/>
          <w:szCs w:val="32"/>
          <w:highlight w:val="none"/>
          <w:lang w:val="en-US" w:eastAsia="en-US" w:bidi="ar-SA"/>
        </w:rPr>
        <w:t>要素保障</w:t>
      </w:r>
    </w:p>
    <w:p w14:paraId="0A87C917">
      <w:pPr>
        <w:pStyle w:val="2"/>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43" w:firstLineChars="200"/>
        <w:jc w:val="both"/>
        <w:textAlignment w:val="baseline"/>
        <w:rPr>
          <w:rFonts w:hint="default" w:ascii="Times New Roman" w:hAnsi="Times New Roman" w:eastAsia="仿宋_GB2312" w:cs="Times New Roman"/>
          <w:b w:val="0"/>
          <w:bCs w:val="0"/>
          <w:color w:val="auto"/>
          <w:spacing w:val="0"/>
          <w:w w:val="100"/>
          <w:sz w:val="32"/>
          <w:szCs w:val="32"/>
          <w:highlight w:val="none"/>
        </w:rPr>
      </w:pPr>
      <w:r>
        <w:rPr>
          <w:rFonts w:hint="default" w:ascii="Times New Roman" w:hAnsi="Times New Roman" w:eastAsia="仿宋_GB2312" w:cs="Times New Roman"/>
          <w:b/>
          <w:bCs/>
          <w:color w:val="auto"/>
          <w:spacing w:val="0"/>
          <w:w w:val="100"/>
          <w:sz w:val="32"/>
          <w:szCs w:val="32"/>
          <w:highlight w:val="none"/>
          <w:lang w:val="en-US" w:eastAsia="zh-CN"/>
        </w:rPr>
        <w:t>1</w:t>
      </w:r>
      <w:r>
        <w:rPr>
          <w:rFonts w:hint="default" w:ascii="Times New Roman" w:hAnsi="Times New Roman" w:eastAsia="仿宋_GB2312" w:cs="Times New Roman"/>
          <w:b/>
          <w:bCs/>
          <w:color w:val="auto"/>
          <w:spacing w:val="0"/>
          <w:w w:val="100"/>
          <w:sz w:val="32"/>
          <w:szCs w:val="32"/>
          <w:highlight w:val="none"/>
        </w:rPr>
        <w:t>.</w:t>
      </w:r>
      <w:r>
        <w:rPr>
          <w:rFonts w:hint="default" w:ascii="Times New Roman" w:hAnsi="Times New Roman" w:eastAsia="仿宋_GB2312" w:cs="Times New Roman"/>
          <w:b/>
          <w:bCs/>
          <w:color w:val="auto"/>
          <w:spacing w:val="0"/>
          <w:w w:val="100"/>
          <w:sz w:val="32"/>
          <w:szCs w:val="32"/>
          <w:highlight w:val="none"/>
          <w:lang w:eastAsia="zh-CN"/>
        </w:rPr>
        <w:t>做强</w:t>
      </w:r>
      <w:r>
        <w:rPr>
          <w:rFonts w:hint="default" w:ascii="Times New Roman" w:hAnsi="Times New Roman" w:eastAsia="仿宋_GB2312" w:cs="Times New Roman"/>
          <w:b/>
          <w:bCs/>
          <w:color w:val="auto"/>
          <w:spacing w:val="0"/>
          <w:w w:val="100"/>
          <w:sz w:val="32"/>
          <w:szCs w:val="32"/>
          <w:highlight w:val="none"/>
        </w:rPr>
        <w:t>金融要素保障。</w:t>
      </w:r>
      <w:r>
        <w:rPr>
          <w:rFonts w:hint="default" w:ascii="Times New Roman" w:hAnsi="Times New Roman" w:eastAsia="仿宋_GB2312" w:cs="Times New Roman"/>
          <w:b w:val="0"/>
          <w:bCs w:val="0"/>
          <w:color w:val="auto"/>
          <w:spacing w:val="0"/>
          <w:w w:val="100"/>
          <w:sz w:val="32"/>
          <w:szCs w:val="32"/>
          <w:highlight w:val="none"/>
        </w:rPr>
        <w:t>进一步推动我市支持小微企业融资协调工作机制走深走实，加力支持民营和小微企业融资，优化机制运作模式， 扩大对接覆盖领域，强化金融产品供给，完善信贷授信和尽职免责政策，推动工作机制发挥更大效能。落实延长流动资金贷款期限政策和无还本续贷扩围政策。加快推进</w:t>
      </w:r>
      <w:r>
        <w:rPr>
          <w:rFonts w:hint="default" w:ascii="Times New Roman" w:hAnsi="Times New Roman" w:eastAsia="仿宋_GB2312" w:cs="Times New Roman"/>
          <w:b w:val="0"/>
          <w:bCs w:val="0"/>
          <w:color w:val="auto"/>
          <w:spacing w:val="0"/>
          <w:w w:val="100"/>
          <w:sz w:val="32"/>
          <w:szCs w:val="32"/>
          <w:highlight w:val="none"/>
          <w:lang w:eastAsia="zh-CN"/>
        </w:rPr>
        <w:t>全市</w:t>
      </w:r>
      <w:r>
        <w:rPr>
          <w:rFonts w:hint="default" w:ascii="Times New Roman" w:hAnsi="Times New Roman" w:eastAsia="仿宋_GB2312" w:cs="Times New Roman"/>
          <w:b w:val="0"/>
          <w:bCs w:val="0"/>
          <w:color w:val="auto"/>
          <w:spacing w:val="0"/>
          <w:w w:val="100"/>
          <w:sz w:val="32"/>
          <w:szCs w:val="32"/>
          <w:highlight w:val="none"/>
        </w:rPr>
        <w:t>一体化融资信用服务</w:t>
      </w:r>
      <w:r>
        <w:rPr>
          <w:rFonts w:hint="default" w:ascii="Times New Roman" w:hAnsi="Times New Roman" w:eastAsia="仿宋_GB2312" w:cs="Times New Roman"/>
          <w:b w:val="0"/>
          <w:bCs w:val="0"/>
          <w:color w:val="auto"/>
          <w:spacing w:val="0"/>
          <w:w w:val="100"/>
          <w:sz w:val="32"/>
          <w:szCs w:val="32"/>
          <w:highlight w:val="none"/>
          <w:lang w:eastAsia="zh-CN"/>
        </w:rPr>
        <w:t>平台</w:t>
      </w:r>
      <w:r>
        <w:rPr>
          <w:rFonts w:hint="default" w:ascii="Times New Roman" w:hAnsi="Times New Roman" w:eastAsia="仿宋_GB2312" w:cs="Times New Roman"/>
          <w:b w:val="0"/>
          <w:bCs w:val="0"/>
          <w:color w:val="auto"/>
          <w:spacing w:val="0"/>
          <w:w w:val="100"/>
          <w:sz w:val="32"/>
          <w:szCs w:val="32"/>
          <w:highlight w:val="none"/>
        </w:rPr>
        <w:t>建设，健全金融信用信息归集共享机制，打通银企供需对接</w:t>
      </w:r>
      <w:r>
        <w:rPr>
          <w:rFonts w:hint="default" w:ascii="Times New Roman" w:hAnsi="Times New Roman" w:eastAsia="仿宋_GB2312" w:cs="Times New Roman"/>
          <w:b w:val="0"/>
          <w:bCs w:val="0"/>
          <w:color w:val="auto"/>
          <w:spacing w:val="0"/>
          <w:w w:val="100"/>
          <w:sz w:val="32"/>
          <w:szCs w:val="32"/>
          <w:highlight w:val="none"/>
          <w:lang w:eastAsia="zh-CN"/>
        </w:rPr>
        <w:t>、</w:t>
      </w:r>
      <w:r>
        <w:rPr>
          <w:rFonts w:hint="default" w:ascii="Times New Roman" w:hAnsi="Times New Roman" w:eastAsia="仿宋_GB2312" w:cs="Times New Roman"/>
          <w:b w:val="0"/>
          <w:bCs w:val="0"/>
          <w:color w:val="auto"/>
          <w:spacing w:val="0"/>
          <w:w w:val="100"/>
          <w:sz w:val="32"/>
          <w:szCs w:val="32"/>
          <w:highlight w:val="none"/>
        </w:rPr>
        <w:t>资金直达通道</w:t>
      </w:r>
      <w:r>
        <w:rPr>
          <w:rFonts w:hint="default" w:ascii="Times New Roman" w:hAnsi="Times New Roman" w:eastAsia="仿宋_GB2312" w:cs="Times New Roman"/>
          <w:b w:val="0"/>
          <w:bCs w:val="0"/>
          <w:color w:val="auto"/>
          <w:spacing w:val="0"/>
          <w:w w:val="100"/>
          <w:sz w:val="32"/>
          <w:szCs w:val="32"/>
          <w:highlight w:val="none"/>
          <w:lang w:eastAsia="zh-CN"/>
        </w:rPr>
        <w:t>，提升中小微企业融资便利水平</w:t>
      </w:r>
      <w:r>
        <w:rPr>
          <w:rFonts w:hint="default" w:ascii="Times New Roman" w:hAnsi="Times New Roman" w:eastAsia="仿宋_GB2312" w:cs="Times New Roman"/>
          <w:b w:val="0"/>
          <w:bCs w:val="0"/>
          <w:color w:val="auto"/>
          <w:spacing w:val="0"/>
          <w:w w:val="100"/>
          <w:sz w:val="32"/>
          <w:szCs w:val="32"/>
          <w:highlight w:val="none"/>
        </w:rPr>
        <w:t>。用好用足支农支小再贷款、再贴现等货币政策工具，引导金融机构进一步丰富“再贷款+”“再贴现+”产品体系，充分发挥好货币政策工具的撬动作用。用好科技创新和技术改造再贷款、碳减排支持工具。推广全国中小微企业资金流信用信息平台，支持银行机构运用平台创新开发“流水贷”信贷产品。</w:t>
      </w:r>
      <w:r>
        <w:rPr>
          <w:rFonts w:hint="default" w:ascii="Times New Roman" w:hAnsi="Times New Roman" w:eastAsia="楷体_GB2312" w:cs="Times New Roman"/>
          <w:b w:val="0"/>
          <w:bCs w:val="0"/>
          <w:color w:val="auto"/>
          <w:spacing w:val="0"/>
          <w:w w:val="100"/>
          <w:sz w:val="32"/>
          <w:szCs w:val="32"/>
          <w:highlight w:val="none"/>
          <w:lang w:eastAsia="zh-CN"/>
        </w:rPr>
        <w:t>（</w:t>
      </w:r>
      <w:r>
        <w:rPr>
          <w:rFonts w:hint="default" w:ascii="Times New Roman" w:hAnsi="Times New Roman" w:eastAsia="楷体_GB2312" w:cs="Times New Roman"/>
          <w:b w:val="0"/>
          <w:bCs w:val="0"/>
          <w:color w:val="auto"/>
          <w:spacing w:val="0"/>
          <w:w w:val="100"/>
          <w:sz w:val="32"/>
          <w:szCs w:val="32"/>
          <w:highlight w:val="none"/>
        </w:rPr>
        <w:t>中国人民银行</w:t>
      </w:r>
      <w:r>
        <w:rPr>
          <w:rFonts w:hint="default" w:ascii="Times New Roman" w:hAnsi="Times New Roman" w:eastAsia="楷体_GB2312" w:cs="Times New Roman"/>
          <w:b w:val="0"/>
          <w:bCs w:val="0"/>
          <w:color w:val="auto"/>
          <w:spacing w:val="0"/>
          <w:w w:val="100"/>
          <w:sz w:val="32"/>
          <w:szCs w:val="32"/>
          <w:highlight w:val="none"/>
          <w:lang w:eastAsia="zh-CN"/>
        </w:rPr>
        <w:t>信阳市</w:t>
      </w:r>
      <w:r>
        <w:rPr>
          <w:rFonts w:hint="default" w:ascii="Times New Roman" w:hAnsi="Times New Roman" w:eastAsia="楷体_GB2312" w:cs="Times New Roman"/>
          <w:b w:val="0"/>
          <w:bCs w:val="0"/>
          <w:color w:val="auto"/>
          <w:spacing w:val="0"/>
          <w:w w:val="100"/>
          <w:sz w:val="32"/>
          <w:szCs w:val="32"/>
          <w:highlight w:val="none"/>
        </w:rPr>
        <w:t>分行、</w:t>
      </w:r>
      <w:r>
        <w:rPr>
          <w:rFonts w:hint="default" w:ascii="Times New Roman" w:hAnsi="Times New Roman" w:eastAsia="楷体_GB2312" w:cs="Times New Roman"/>
          <w:b w:val="0"/>
          <w:bCs w:val="0"/>
          <w:color w:val="auto"/>
          <w:spacing w:val="0"/>
          <w:w w:val="100"/>
          <w:sz w:val="32"/>
          <w:szCs w:val="32"/>
          <w:highlight w:val="none"/>
          <w:lang w:eastAsia="zh-CN"/>
        </w:rPr>
        <w:t>国家金融监督管理总局信阳监管分局</w:t>
      </w:r>
      <w:r>
        <w:rPr>
          <w:rFonts w:hint="default" w:ascii="Times New Roman" w:hAnsi="Times New Roman" w:eastAsia="楷体_GB2312" w:cs="Times New Roman"/>
          <w:b w:val="0"/>
          <w:bCs w:val="0"/>
          <w:color w:val="auto"/>
          <w:spacing w:val="0"/>
          <w:w w:val="100"/>
          <w:sz w:val="32"/>
          <w:szCs w:val="32"/>
          <w:highlight w:val="none"/>
        </w:rPr>
        <w:t>、</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发展改革委、</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财政</w:t>
      </w:r>
      <w:r>
        <w:rPr>
          <w:rFonts w:hint="default" w:ascii="Times New Roman" w:hAnsi="Times New Roman" w:eastAsia="楷体_GB2312" w:cs="Times New Roman"/>
          <w:b w:val="0"/>
          <w:bCs w:val="0"/>
          <w:color w:val="auto"/>
          <w:spacing w:val="0"/>
          <w:w w:val="100"/>
          <w:sz w:val="32"/>
          <w:szCs w:val="32"/>
          <w:highlight w:val="none"/>
          <w:lang w:eastAsia="zh-CN"/>
        </w:rPr>
        <w:t>局</w:t>
      </w:r>
      <w:r>
        <w:rPr>
          <w:rFonts w:hint="default" w:ascii="Times New Roman" w:hAnsi="Times New Roman" w:eastAsia="楷体_GB2312" w:cs="Times New Roman"/>
          <w:b w:val="0"/>
          <w:bCs w:val="0"/>
          <w:color w:val="auto"/>
          <w:spacing w:val="0"/>
          <w:w w:val="100"/>
          <w:sz w:val="32"/>
          <w:szCs w:val="32"/>
          <w:highlight w:val="none"/>
        </w:rPr>
        <w:t>等按职责分工负责</w:t>
      </w:r>
      <w:r>
        <w:rPr>
          <w:rFonts w:hint="default" w:ascii="Times New Roman" w:hAnsi="Times New Roman" w:eastAsia="楷体_GB2312" w:cs="Times New Roman"/>
          <w:b w:val="0"/>
          <w:bCs w:val="0"/>
          <w:color w:val="auto"/>
          <w:spacing w:val="0"/>
          <w:w w:val="100"/>
          <w:sz w:val="32"/>
          <w:szCs w:val="32"/>
          <w:highlight w:val="none"/>
          <w:lang w:eastAsia="zh-CN"/>
        </w:rPr>
        <w:t>）</w:t>
      </w:r>
    </w:p>
    <w:p w14:paraId="13A07AA2">
      <w:pPr>
        <w:pStyle w:val="2"/>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43" w:firstLineChars="200"/>
        <w:jc w:val="both"/>
        <w:textAlignment w:val="baseline"/>
        <w:rPr>
          <w:rFonts w:hint="default" w:ascii="Times New Roman" w:hAnsi="Times New Roman" w:eastAsia="仿宋_GB2312" w:cs="Times New Roman"/>
          <w:b w:val="0"/>
          <w:bCs w:val="0"/>
          <w:color w:val="auto"/>
          <w:spacing w:val="0"/>
          <w:w w:val="100"/>
          <w:sz w:val="32"/>
          <w:szCs w:val="32"/>
          <w:highlight w:val="none"/>
        </w:rPr>
      </w:pPr>
      <w:r>
        <w:rPr>
          <w:rFonts w:hint="default" w:ascii="Times New Roman" w:hAnsi="Times New Roman" w:eastAsia="仿宋_GB2312" w:cs="Times New Roman"/>
          <w:b/>
          <w:bCs/>
          <w:color w:val="auto"/>
          <w:spacing w:val="0"/>
          <w:w w:val="100"/>
          <w:sz w:val="32"/>
          <w:szCs w:val="32"/>
          <w:highlight w:val="none"/>
          <w:lang w:val="en-US" w:eastAsia="zh-CN"/>
        </w:rPr>
        <w:t>2</w:t>
      </w:r>
      <w:r>
        <w:rPr>
          <w:rFonts w:hint="default" w:ascii="Times New Roman" w:hAnsi="Times New Roman" w:eastAsia="仿宋_GB2312" w:cs="Times New Roman"/>
          <w:b/>
          <w:bCs/>
          <w:color w:val="auto"/>
          <w:spacing w:val="0"/>
          <w:w w:val="100"/>
          <w:sz w:val="32"/>
          <w:szCs w:val="32"/>
          <w:highlight w:val="none"/>
        </w:rPr>
        <w:t>.</w:t>
      </w:r>
      <w:r>
        <w:rPr>
          <w:rFonts w:hint="default" w:ascii="Times New Roman" w:hAnsi="Times New Roman" w:eastAsia="仿宋_GB2312" w:cs="Times New Roman"/>
          <w:b/>
          <w:bCs/>
          <w:color w:val="auto"/>
          <w:spacing w:val="0"/>
          <w:w w:val="100"/>
          <w:sz w:val="32"/>
          <w:szCs w:val="32"/>
          <w:highlight w:val="none"/>
          <w:lang w:eastAsia="zh-CN"/>
        </w:rPr>
        <w:t>链接</w:t>
      </w:r>
      <w:r>
        <w:rPr>
          <w:rFonts w:hint="default" w:ascii="Times New Roman" w:hAnsi="Times New Roman" w:eastAsia="仿宋_GB2312" w:cs="Times New Roman"/>
          <w:b/>
          <w:bCs/>
          <w:color w:val="auto"/>
          <w:spacing w:val="0"/>
          <w:w w:val="100"/>
          <w:sz w:val="32"/>
          <w:szCs w:val="32"/>
          <w:highlight w:val="none"/>
        </w:rPr>
        <w:t>数据要素保障。</w:t>
      </w:r>
      <w:r>
        <w:rPr>
          <w:rFonts w:hint="default" w:ascii="Times New Roman" w:hAnsi="Times New Roman" w:eastAsia="仿宋_GB2312" w:cs="Times New Roman"/>
          <w:b w:val="0"/>
          <w:bCs w:val="0"/>
          <w:color w:val="auto"/>
          <w:spacing w:val="0"/>
          <w:w w:val="100"/>
          <w:sz w:val="32"/>
          <w:szCs w:val="32"/>
          <w:highlight w:val="none"/>
        </w:rPr>
        <w:t>研究制定信阳市数据工作要点</w:t>
      </w:r>
      <w:r>
        <w:rPr>
          <w:rFonts w:hint="default" w:ascii="Times New Roman" w:hAnsi="Times New Roman" w:eastAsia="仿宋_GB2312" w:cs="Times New Roman"/>
          <w:b w:val="0"/>
          <w:bCs w:val="0"/>
          <w:color w:val="auto"/>
          <w:spacing w:val="0"/>
          <w:w w:val="100"/>
          <w:sz w:val="32"/>
          <w:szCs w:val="32"/>
          <w:highlight w:val="none"/>
          <w:lang w:val="en-US" w:eastAsia="zh-CN"/>
        </w:rPr>
        <w:t>，聚焦医疗健康、现代农业、交通运输、文化旅游等领域，打造行业、企业可信数据空间，推动上下游民营企业共享数据资源。</w:t>
      </w:r>
      <w:r>
        <w:rPr>
          <w:rFonts w:hint="default" w:ascii="Times New Roman" w:hAnsi="Times New Roman" w:eastAsia="仿宋_GB2312" w:cs="Times New Roman"/>
          <w:b w:val="0"/>
          <w:bCs w:val="0"/>
          <w:color w:val="auto"/>
          <w:spacing w:val="0"/>
          <w:w w:val="100"/>
          <w:sz w:val="32"/>
          <w:szCs w:val="32"/>
          <w:highlight w:val="none"/>
          <w:lang w:eastAsia="zh-CN"/>
        </w:rPr>
        <w:t>引导</w:t>
      </w:r>
      <w:r>
        <w:rPr>
          <w:rFonts w:hint="default" w:ascii="Times New Roman" w:hAnsi="Times New Roman" w:eastAsia="仿宋_GB2312" w:cs="Times New Roman"/>
          <w:b w:val="0"/>
          <w:bCs w:val="0"/>
          <w:color w:val="auto"/>
          <w:spacing w:val="0"/>
          <w:w w:val="100"/>
          <w:sz w:val="32"/>
          <w:szCs w:val="32"/>
          <w:highlight w:val="none"/>
        </w:rPr>
        <w:t>开发区联合数字化服务商，</w:t>
      </w:r>
      <w:r>
        <w:rPr>
          <w:rFonts w:hint="default" w:ascii="Times New Roman" w:hAnsi="Times New Roman" w:eastAsia="仿宋_GB2312" w:cs="Times New Roman"/>
          <w:b w:val="0"/>
          <w:bCs w:val="0"/>
          <w:color w:val="auto"/>
          <w:spacing w:val="0"/>
          <w:w w:val="100"/>
          <w:sz w:val="32"/>
          <w:szCs w:val="32"/>
          <w:highlight w:val="none"/>
          <w:lang w:val="en-US" w:eastAsia="zh-CN"/>
        </w:rPr>
        <w:t>搭建综合性数字赋能平台，</w:t>
      </w:r>
      <w:r>
        <w:rPr>
          <w:rFonts w:hint="default" w:ascii="Times New Roman" w:hAnsi="Times New Roman" w:eastAsia="仿宋_GB2312" w:cs="Times New Roman"/>
          <w:b w:val="0"/>
          <w:bCs w:val="0"/>
          <w:color w:val="auto"/>
          <w:spacing w:val="0"/>
          <w:w w:val="100"/>
          <w:sz w:val="32"/>
          <w:szCs w:val="32"/>
          <w:highlight w:val="none"/>
          <w:lang w:eastAsia="zh-CN"/>
        </w:rPr>
        <w:t>输出数字化转型解决方案，推动产业链上下游企业在研发设计、生产制造、仓储物流、产品服务等各环节互联互通。</w:t>
      </w:r>
      <w:r>
        <w:rPr>
          <w:rFonts w:hint="default" w:ascii="Times New Roman" w:hAnsi="Times New Roman" w:eastAsia="仿宋_GB2312" w:cs="Times New Roman"/>
          <w:b w:val="0"/>
          <w:bCs w:val="0"/>
          <w:color w:val="auto"/>
          <w:spacing w:val="0"/>
          <w:w w:val="100"/>
          <w:sz w:val="32"/>
          <w:szCs w:val="32"/>
          <w:highlight w:val="none"/>
          <w:lang w:val="en-US" w:eastAsia="zh-CN"/>
        </w:rPr>
        <w:t>深入推进“人工智能+”行动，推动开发区围绕主导产业和企业数字化转型需求，建设一批行业数字化转型促进中心。支持龙头企业、服务平台、互联网平台企业开设企业数据服务专区，提供普惠性数据产品和技术工具，为中小民营企业提供数据支撑。研究制定促进数据产业高质量发展和数据企业培育认定实施方案，加力孵化数据领域“独角兽”“瞪羚”民营企业。实施“数据要素×”行动，促进数据合规高效流通使用，为民营企业发展赋能。</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发展改革委牵头负责</w:t>
      </w:r>
      <w:r>
        <w:rPr>
          <w:rFonts w:hint="default" w:ascii="Times New Roman" w:hAnsi="Times New Roman" w:eastAsia="楷体_GB2312" w:cs="Times New Roman"/>
          <w:b w:val="0"/>
          <w:bCs w:val="0"/>
          <w:color w:val="auto"/>
          <w:spacing w:val="0"/>
          <w:w w:val="100"/>
          <w:sz w:val="32"/>
          <w:szCs w:val="32"/>
          <w:highlight w:val="none"/>
          <w:lang w:eastAsia="zh-CN"/>
        </w:rPr>
        <w:t>）</w:t>
      </w:r>
    </w:p>
    <w:p w14:paraId="56064321">
      <w:pPr>
        <w:pStyle w:val="2"/>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43" w:firstLineChars="200"/>
        <w:jc w:val="both"/>
        <w:textAlignment w:val="baseline"/>
        <w:rPr>
          <w:rFonts w:hint="default" w:ascii="Times New Roman" w:hAnsi="Times New Roman" w:eastAsia="仿宋_GB2312" w:cs="Times New Roman"/>
          <w:b w:val="0"/>
          <w:bCs w:val="0"/>
          <w:color w:val="auto"/>
          <w:spacing w:val="0"/>
          <w:w w:val="100"/>
          <w:sz w:val="32"/>
          <w:szCs w:val="32"/>
          <w:highlight w:val="none"/>
        </w:rPr>
      </w:pPr>
      <w:r>
        <w:rPr>
          <w:rFonts w:hint="default" w:ascii="Times New Roman" w:hAnsi="Times New Roman" w:eastAsia="仿宋_GB2312" w:cs="Times New Roman"/>
          <w:b/>
          <w:bCs/>
          <w:color w:val="auto"/>
          <w:spacing w:val="0"/>
          <w:w w:val="100"/>
          <w:sz w:val="32"/>
          <w:szCs w:val="32"/>
          <w:highlight w:val="none"/>
          <w:lang w:val="en-US" w:eastAsia="zh-CN"/>
        </w:rPr>
        <w:t>3</w:t>
      </w:r>
      <w:r>
        <w:rPr>
          <w:rFonts w:hint="default" w:ascii="Times New Roman" w:hAnsi="Times New Roman" w:eastAsia="仿宋_GB2312" w:cs="Times New Roman"/>
          <w:b/>
          <w:bCs/>
          <w:color w:val="auto"/>
          <w:spacing w:val="0"/>
          <w:w w:val="100"/>
          <w:sz w:val="32"/>
          <w:szCs w:val="32"/>
          <w:highlight w:val="none"/>
        </w:rPr>
        <w:t>.</w:t>
      </w:r>
      <w:r>
        <w:rPr>
          <w:rFonts w:hint="default" w:ascii="Times New Roman" w:hAnsi="Times New Roman" w:eastAsia="仿宋_GB2312" w:cs="Times New Roman"/>
          <w:b/>
          <w:bCs/>
          <w:color w:val="auto"/>
          <w:spacing w:val="0"/>
          <w:w w:val="100"/>
          <w:sz w:val="32"/>
          <w:szCs w:val="32"/>
          <w:highlight w:val="none"/>
          <w:lang w:eastAsia="zh-CN"/>
        </w:rPr>
        <w:t>落实</w:t>
      </w:r>
      <w:r>
        <w:rPr>
          <w:rFonts w:hint="default" w:ascii="Times New Roman" w:hAnsi="Times New Roman" w:eastAsia="仿宋_GB2312" w:cs="Times New Roman"/>
          <w:b/>
          <w:bCs/>
          <w:color w:val="auto"/>
          <w:spacing w:val="0"/>
          <w:w w:val="100"/>
          <w:sz w:val="32"/>
          <w:szCs w:val="32"/>
          <w:highlight w:val="none"/>
        </w:rPr>
        <w:t>能源要素保障。</w:t>
      </w:r>
      <w:r>
        <w:rPr>
          <w:rFonts w:hint="default" w:ascii="Times New Roman" w:hAnsi="Times New Roman" w:eastAsia="仿宋_GB2312" w:cs="Times New Roman"/>
          <w:b w:val="0"/>
          <w:bCs w:val="0"/>
          <w:color w:val="auto"/>
          <w:spacing w:val="0"/>
          <w:w w:val="100"/>
          <w:sz w:val="32"/>
          <w:szCs w:val="32"/>
          <w:highlight w:val="none"/>
          <w:lang w:val="en-US" w:eastAsia="zh-CN"/>
        </w:rPr>
        <w:t>统筹政府、企业、社会各方力量，鼓励企业利用自有厂房屋顶、厂区闲置土地及其周边20公里范围内新能源资源发展分布式光伏和分散式风电，结合装机规模、负荷用电特性、电网运行负载率等因素，合理配置一定比例的储能，推进“源网荷储”一体化协同发展。支持创新应用云计算、大数据、物联网等数字化技术，构建灵活智能、稳定高效的智能微电网，优化高比例新能源、负荷和储能的平衡控制，提升源网荷储协调能力。针对新能源快速发展、电力系统调节需求快速提升的实际，加快推进独立共享储能电站、抽水蓄能电站、压缩空气储能电站等新型储能建设。</w:t>
      </w:r>
      <w:r>
        <w:rPr>
          <w:rFonts w:hint="default" w:ascii="Times New Roman" w:hAnsi="Times New Roman" w:eastAsia="仿宋_GB2312" w:cs="Times New Roman"/>
          <w:b w:val="0"/>
          <w:bCs w:val="0"/>
          <w:color w:val="auto"/>
          <w:spacing w:val="0"/>
          <w:w w:val="100"/>
          <w:sz w:val="32"/>
          <w:szCs w:val="32"/>
          <w:highlight w:val="none"/>
        </w:rPr>
        <w:t>落实能耗弹性管控政策，企业新增可再生能源和原料用能不纳入能源消费总量。落实全国碳市场交易机制，支持开展用能权交易。</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发展改革委、</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生态环境</w:t>
      </w:r>
      <w:r>
        <w:rPr>
          <w:rFonts w:hint="default" w:ascii="Times New Roman" w:hAnsi="Times New Roman" w:eastAsia="楷体_GB2312" w:cs="Times New Roman"/>
          <w:b w:val="0"/>
          <w:bCs w:val="0"/>
          <w:color w:val="auto"/>
          <w:spacing w:val="0"/>
          <w:w w:val="100"/>
          <w:sz w:val="32"/>
          <w:szCs w:val="32"/>
          <w:highlight w:val="none"/>
          <w:lang w:eastAsia="zh-CN"/>
        </w:rPr>
        <w:t>局</w:t>
      </w:r>
      <w:r>
        <w:rPr>
          <w:rFonts w:hint="default" w:ascii="Times New Roman" w:hAnsi="Times New Roman" w:eastAsia="楷体_GB2312" w:cs="Times New Roman"/>
          <w:b w:val="0"/>
          <w:bCs w:val="0"/>
          <w:color w:val="auto"/>
          <w:spacing w:val="0"/>
          <w:w w:val="100"/>
          <w:sz w:val="32"/>
          <w:szCs w:val="32"/>
          <w:highlight w:val="none"/>
        </w:rPr>
        <w:t>按职责分工负责</w:t>
      </w:r>
      <w:r>
        <w:rPr>
          <w:rFonts w:hint="default" w:ascii="Times New Roman" w:hAnsi="Times New Roman" w:eastAsia="楷体_GB2312" w:cs="Times New Roman"/>
          <w:b w:val="0"/>
          <w:bCs w:val="0"/>
          <w:color w:val="auto"/>
          <w:spacing w:val="0"/>
          <w:w w:val="100"/>
          <w:sz w:val="32"/>
          <w:szCs w:val="32"/>
          <w:highlight w:val="none"/>
          <w:lang w:eastAsia="zh-CN"/>
        </w:rPr>
        <w:t>）</w:t>
      </w:r>
    </w:p>
    <w:p w14:paraId="40FF697F">
      <w:pPr>
        <w:pStyle w:val="2"/>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43" w:firstLineChars="200"/>
        <w:jc w:val="both"/>
        <w:textAlignment w:val="baseline"/>
        <w:rPr>
          <w:rFonts w:hint="default" w:ascii="Times New Roman" w:hAnsi="Times New Roman" w:eastAsia="仿宋_GB2312" w:cs="Times New Roman"/>
          <w:b w:val="0"/>
          <w:bCs w:val="0"/>
          <w:color w:val="auto"/>
          <w:spacing w:val="0"/>
          <w:w w:val="100"/>
          <w:sz w:val="32"/>
          <w:szCs w:val="32"/>
          <w:highlight w:val="none"/>
        </w:rPr>
      </w:pPr>
      <w:r>
        <w:rPr>
          <w:rFonts w:hint="default" w:ascii="Times New Roman" w:hAnsi="Times New Roman" w:eastAsia="仿宋_GB2312" w:cs="Times New Roman"/>
          <w:b/>
          <w:bCs/>
          <w:color w:val="auto"/>
          <w:spacing w:val="0"/>
          <w:w w:val="100"/>
          <w:sz w:val="32"/>
          <w:szCs w:val="32"/>
          <w:highlight w:val="none"/>
          <w:lang w:val="en-US" w:eastAsia="zh-CN"/>
        </w:rPr>
        <w:t>4</w:t>
      </w:r>
      <w:r>
        <w:rPr>
          <w:rFonts w:hint="default" w:ascii="Times New Roman" w:hAnsi="Times New Roman" w:eastAsia="仿宋_GB2312" w:cs="Times New Roman"/>
          <w:b/>
          <w:bCs/>
          <w:color w:val="auto"/>
          <w:spacing w:val="0"/>
          <w:w w:val="100"/>
          <w:sz w:val="32"/>
          <w:szCs w:val="32"/>
          <w:highlight w:val="none"/>
        </w:rPr>
        <w:t>.</w:t>
      </w:r>
      <w:r>
        <w:rPr>
          <w:rFonts w:hint="default" w:ascii="Times New Roman" w:hAnsi="Times New Roman" w:eastAsia="仿宋_GB2312" w:cs="Times New Roman"/>
          <w:b/>
          <w:bCs/>
          <w:color w:val="auto"/>
          <w:spacing w:val="0"/>
          <w:w w:val="100"/>
          <w:sz w:val="32"/>
          <w:szCs w:val="32"/>
          <w:highlight w:val="none"/>
          <w:lang w:eastAsia="zh-CN"/>
        </w:rPr>
        <w:t>抓好</w:t>
      </w:r>
      <w:r>
        <w:rPr>
          <w:rFonts w:hint="default" w:ascii="Times New Roman" w:hAnsi="Times New Roman" w:eastAsia="仿宋_GB2312" w:cs="Times New Roman"/>
          <w:b/>
          <w:bCs/>
          <w:color w:val="auto"/>
          <w:spacing w:val="0"/>
          <w:w w:val="100"/>
          <w:sz w:val="32"/>
          <w:szCs w:val="32"/>
          <w:highlight w:val="none"/>
        </w:rPr>
        <w:t>人才要素保障。</w:t>
      </w:r>
      <w:r>
        <w:rPr>
          <w:rFonts w:hint="default" w:ascii="Times New Roman" w:hAnsi="Times New Roman" w:eastAsia="仿宋_GB2312" w:cs="Times New Roman"/>
          <w:b w:val="0"/>
          <w:bCs w:val="0"/>
          <w:snapToGrid w:val="0"/>
          <w:color w:val="auto"/>
          <w:spacing w:val="0"/>
          <w:w w:val="100"/>
          <w:kern w:val="0"/>
          <w:sz w:val="32"/>
          <w:szCs w:val="32"/>
          <w:highlight w:val="none"/>
          <w:lang w:val="en-US" w:eastAsia="zh-CN" w:bidi="ar-SA"/>
        </w:rPr>
        <w:t>持续高质量推进“人人持证、技能河南”建设，持续优化流动人员档案管理、社保经办等服务，畅通人才向民营企业流动渠道。做好民营企业人才评价开发工作，进一步畅通民营企业职称申报渠道，建立健全民营企业职称评审组织，创新民营企业职称评审方式。突出抓好技能人才特别是高技能人才培养，常态化开展高层次人才认定。到2027年，新增高技能人才18万人。扎实开展继续教育工作，完善继续教育考核激励机制。足额落实一次性扩岗补助等政策，降低企业用工成本。持续打造“10+N”公共就业服务活动品牌，聚焦民营企业、中小企业等用人单位，组织开展专项招聘服务活动。</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人社</w:t>
      </w:r>
      <w:r>
        <w:rPr>
          <w:rFonts w:hint="default" w:ascii="Times New Roman" w:hAnsi="Times New Roman" w:eastAsia="楷体_GB2312" w:cs="Times New Roman"/>
          <w:b w:val="0"/>
          <w:bCs w:val="0"/>
          <w:color w:val="auto"/>
          <w:spacing w:val="0"/>
          <w:w w:val="100"/>
          <w:sz w:val="32"/>
          <w:szCs w:val="32"/>
          <w:highlight w:val="none"/>
          <w:lang w:eastAsia="zh-CN"/>
        </w:rPr>
        <w:t>局</w:t>
      </w:r>
      <w:r>
        <w:rPr>
          <w:rFonts w:hint="default" w:ascii="Times New Roman" w:hAnsi="Times New Roman" w:eastAsia="楷体_GB2312" w:cs="Times New Roman"/>
          <w:b w:val="0"/>
          <w:bCs w:val="0"/>
          <w:color w:val="auto"/>
          <w:spacing w:val="0"/>
          <w:w w:val="100"/>
          <w:sz w:val="32"/>
          <w:szCs w:val="32"/>
          <w:highlight w:val="none"/>
        </w:rPr>
        <w:t>、</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教</w:t>
      </w:r>
      <w:r>
        <w:rPr>
          <w:rFonts w:hint="default" w:ascii="Times New Roman" w:hAnsi="Times New Roman" w:eastAsia="楷体_GB2312" w:cs="Times New Roman"/>
          <w:b w:val="0"/>
          <w:bCs w:val="0"/>
          <w:color w:val="auto"/>
          <w:spacing w:val="0"/>
          <w:w w:val="100"/>
          <w:sz w:val="32"/>
          <w:szCs w:val="32"/>
          <w:highlight w:val="none"/>
          <w:lang w:eastAsia="zh-CN"/>
        </w:rPr>
        <w:t>体局</w:t>
      </w:r>
      <w:r>
        <w:rPr>
          <w:rFonts w:hint="default" w:ascii="Times New Roman" w:hAnsi="Times New Roman" w:eastAsia="楷体_GB2312" w:cs="Times New Roman"/>
          <w:b w:val="0"/>
          <w:bCs w:val="0"/>
          <w:color w:val="auto"/>
          <w:spacing w:val="0"/>
          <w:w w:val="100"/>
          <w:sz w:val="32"/>
          <w:szCs w:val="32"/>
          <w:highlight w:val="none"/>
        </w:rPr>
        <w:t>、</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财政</w:t>
      </w:r>
      <w:r>
        <w:rPr>
          <w:rFonts w:hint="default" w:ascii="Times New Roman" w:hAnsi="Times New Roman" w:eastAsia="楷体_GB2312" w:cs="Times New Roman"/>
          <w:b w:val="0"/>
          <w:bCs w:val="0"/>
          <w:color w:val="auto"/>
          <w:spacing w:val="0"/>
          <w:w w:val="100"/>
          <w:sz w:val="32"/>
          <w:szCs w:val="32"/>
          <w:highlight w:val="none"/>
          <w:lang w:eastAsia="zh-CN"/>
        </w:rPr>
        <w:t>局</w:t>
      </w:r>
      <w:r>
        <w:rPr>
          <w:rFonts w:hint="default" w:ascii="Times New Roman" w:hAnsi="Times New Roman" w:eastAsia="楷体_GB2312" w:cs="Times New Roman"/>
          <w:b w:val="0"/>
          <w:bCs w:val="0"/>
          <w:color w:val="auto"/>
          <w:spacing w:val="0"/>
          <w:w w:val="100"/>
          <w:sz w:val="32"/>
          <w:szCs w:val="32"/>
          <w:highlight w:val="none"/>
        </w:rPr>
        <w:t>按职责分工负责</w:t>
      </w:r>
      <w:r>
        <w:rPr>
          <w:rFonts w:hint="default" w:ascii="Times New Roman" w:hAnsi="Times New Roman" w:eastAsia="楷体_GB2312" w:cs="Times New Roman"/>
          <w:b w:val="0"/>
          <w:bCs w:val="0"/>
          <w:color w:val="auto"/>
          <w:spacing w:val="0"/>
          <w:w w:val="100"/>
          <w:sz w:val="32"/>
          <w:szCs w:val="32"/>
          <w:highlight w:val="none"/>
          <w:lang w:eastAsia="zh-CN"/>
        </w:rPr>
        <w:t>）</w:t>
      </w:r>
    </w:p>
    <w:p w14:paraId="59BB1AF8">
      <w:pPr>
        <w:pStyle w:val="2"/>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43" w:firstLineChars="200"/>
        <w:jc w:val="both"/>
        <w:textAlignment w:val="baseline"/>
        <w:rPr>
          <w:rFonts w:hint="default" w:ascii="Times New Roman" w:hAnsi="Times New Roman" w:eastAsia="仿宋_GB2312" w:cs="Times New Roman"/>
          <w:b w:val="0"/>
          <w:bCs w:val="0"/>
          <w:color w:val="auto"/>
          <w:spacing w:val="0"/>
          <w:w w:val="100"/>
          <w:sz w:val="32"/>
          <w:szCs w:val="32"/>
          <w:highlight w:val="none"/>
        </w:rPr>
      </w:pPr>
      <w:r>
        <w:rPr>
          <w:rFonts w:hint="default" w:ascii="Times New Roman" w:hAnsi="Times New Roman" w:eastAsia="仿宋_GB2312" w:cs="Times New Roman"/>
          <w:b/>
          <w:bCs/>
          <w:color w:val="auto"/>
          <w:spacing w:val="0"/>
          <w:w w:val="100"/>
          <w:sz w:val="32"/>
          <w:szCs w:val="32"/>
          <w:highlight w:val="none"/>
          <w:lang w:val="en-US" w:eastAsia="zh-CN"/>
        </w:rPr>
        <w:t>5</w:t>
      </w:r>
      <w:r>
        <w:rPr>
          <w:rFonts w:hint="default" w:ascii="Times New Roman" w:hAnsi="Times New Roman" w:eastAsia="仿宋_GB2312" w:cs="Times New Roman"/>
          <w:b/>
          <w:bCs/>
          <w:color w:val="auto"/>
          <w:spacing w:val="0"/>
          <w:w w:val="100"/>
          <w:sz w:val="32"/>
          <w:szCs w:val="32"/>
          <w:highlight w:val="none"/>
        </w:rPr>
        <w:t>.</w:t>
      </w:r>
      <w:r>
        <w:rPr>
          <w:rFonts w:hint="default" w:ascii="Times New Roman" w:hAnsi="Times New Roman" w:eastAsia="仿宋_GB2312" w:cs="Times New Roman"/>
          <w:b/>
          <w:bCs/>
          <w:color w:val="auto"/>
          <w:spacing w:val="0"/>
          <w:w w:val="100"/>
          <w:sz w:val="32"/>
          <w:szCs w:val="32"/>
          <w:highlight w:val="none"/>
          <w:lang w:eastAsia="zh-CN"/>
        </w:rPr>
        <w:t>配实</w:t>
      </w:r>
      <w:r>
        <w:rPr>
          <w:rFonts w:hint="default" w:ascii="Times New Roman" w:hAnsi="Times New Roman" w:eastAsia="仿宋_GB2312" w:cs="Times New Roman"/>
          <w:b/>
          <w:bCs/>
          <w:color w:val="auto"/>
          <w:spacing w:val="0"/>
          <w:w w:val="100"/>
          <w:sz w:val="32"/>
          <w:szCs w:val="32"/>
          <w:highlight w:val="none"/>
        </w:rPr>
        <w:t>用地要素保障。</w:t>
      </w:r>
      <w:r>
        <w:rPr>
          <w:rFonts w:hint="default" w:ascii="Times New Roman" w:hAnsi="Times New Roman" w:eastAsia="仿宋_GB2312" w:cs="Times New Roman"/>
          <w:b w:val="0"/>
          <w:bCs w:val="0"/>
          <w:snapToGrid w:val="0"/>
          <w:color w:val="auto"/>
          <w:spacing w:val="0"/>
          <w:w w:val="100"/>
          <w:kern w:val="0"/>
          <w:sz w:val="32"/>
          <w:szCs w:val="32"/>
          <w:highlight w:val="none"/>
          <w:lang w:val="en-US" w:eastAsia="zh-CN" w:bidi="ar-SA"/>
        </w:rPr>
        <w:t>鼓励引导民间投资产业发展优先选择存量建设用地，简化审批程序，降低土地使用成本。对纳入稳经济集中攻坚范围的“三个一批”“两重”“两新”“6+11+N”重点产业链等非单独选址项目，建立用地指标预支绿色通道，实行“即报即配、应保尽保”。大力推行弹性年期出让、先租后让、租让结合、复合利用等供地方式，推行用地弹性年期出让制度，实现提高用地价值效益，降低企业用地成本。推行工业用地“标准地+承诺制”出让，建立“按标做地、明标供地、履标用地、对标管地”的“标准地”出让制度，开发区内全部新增工业用地以“标准地”供应。持续开展批而未供和闲置土地盘活整治专项行动，严格落实“增存挂钩”机制，实施建设用地批供联动，坚决遏制“前清后增”问题。</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自</w:t>
      </w:r>
      <w:r>
        <w:rPr>
          <w:rFonts w:hint="default" w:ascii="Times New Roman" w:hAnsi="Times New Roman" w:eastAsia="楷体_GB2312" w:cs="Times New Roman"/>
          <w:b w:val="0"/>
          <w:bCs w:val="0"/>
          <w:color w:val="auto"/>
          <w:spacing w:val="0"/>
          <w:w w:val="100"/>
          <w:sz w:val="32"/>
          <w:szCs w:val="32"/>
          <w:highlight w:val="none"/>
          <w:lang w:eastAsia="zh-CN"/>
        </w:rPr>
        <w:t>规局</w:t>
      </w:r>
      <w:r>
        <w:rPr>
          <w:rFonts w:hint="default" w:ascii="Times New Roman" w:hAnsi="Times New Roman" w:eastAsia="楷体_GB2312" w:cs="Times New Roman"/>
          <w:b w:val="0"/>
          <w:bCs w:val="0"/>
          <w:color w:val="auto"/>
          <w:spacing w:val="0"/>
          <w:w w:val="100"/>
          <w:sz w:val="32"/>
          <w:szCs w:val="32"/>
          <w:highlight w:val="none"/>
        </w:rPr>
        <w:t>、</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发展改革委、</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工信</w:t>
      </w:r>
      <w:r>
        <w:rPr>
          <w:rFonts w:hint="default" w:ascii="Times New Roman" w:hAnsi="Times New Roman" w:eastAsia="楷体_GB2312" w:cs="Times New Roman"/>
          <w:b w:val="0"/>
          <w:bCs w:val="0"/>
          <w:color w:val="auto"/>
          <w:spacing w:val="0"/>
          <w:w w:val="100"/>
          <w:sz w:val="32"/>
          <w:szCs w:val="32"/>
          <w:highlight w:val="none"/>
          <w:lang w:eastAsia="zh-CN"/>
        </w:rPr>
        <w:t>局</w:t>
      </w:r>
      <w:r>
        <w:rPr>
          <w:rFonts w:hint="default" w:ascii="Times New Roman" w:hAnsi="Times New Roman" w:eastAsia="楷体_GB2312" w:cs="Times New Roman"/>
          <w:b w:val="0"/>
          <w:bCs w:val="0"/>
          <w:color w:val="auto"/>
          <w:spacing w:val="0"/>
          <w:w w:val="100"/>
          <w:sz w:val="32"/>
          <w:szCs w:val="32"/>
          <w:highlight w:val="none"/>
        </w:rPr>
        <w:t>按职责分工负责</w:t>
      </w:r>
      <w:r>
        <w:rPr>
          <w:rFonts w:hint="default" w:ascii="Times New Roman" w:hAnsi="Times New Roman" w:eastAsia="楷体_GB2312" w:cs="Times New Roman"/>
          <w:b w:val="0"/>
          <w:bCs w:val="0"/>
          <w:color w:val="auto"/>
          <w:spacing w:val="0"/>
          <w:w w:val="100"/>
          <w:sz w:val="32"/>
          <w:szCs w:val="32"/>
          <w:highlight w:val="none"/>
          <w:lang w:eastAsia="zh-CN"/>
        </w:rPr>
        <w:t>）</w:t>
      </w:r>
    </w:p>
    <w:p w14:paraId="03E32C8A">
      <w:pPr>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43" w:firstLineChars="200"/>
        <w:jc w:val="both"/>
        <w:textAlignment w:val="baseline"/>
        <w:rPr>
          <w:rFonts w:hint="default" w:ascii="Times New Roman" w:hAnsi="Times New Roman" w:eastAsia="楷体_GB2312" w:cs="Times New Roman"/>
          <w:b/>
          <w:bCs/>
          <w:snapToGrid w:val="0"/>
          <w:color w:val="auto"/>
          <w:spacing w:val="0"/>
          <w:w w:val="100"/>
          <w:kern w:val="0"/>
          <w:sz w:val="32"/>
          <w:szCs w:val="32"/>
          <w:highlight w:val="none"/>
          <w:lang w:val="en-US" w:eastAsia="zh-CN" w:bidi="ar-SA"/>
        </w:rPr>
      </w:pPr>
      <w:r>
        <w:rPr>
          <w:rFonts w:hint="default" w:ascii="Times New Roman" w:hAnsi="Times New Roman" w:eastAsia="楷体_GB2312" w:cs="Times New Roman"/>
          <w:b/>
          <w:bCs/>
          <w:snapToGrid w:val="0"/>
          <w:color w:val="auto"/>
          <w:spacing w:val="0"/>
          <w:w w:val="100"/>
          <w:kern w:val="0"/>
          <w:sz w:val="32"/>
          <w:szCs w:val="32"/>
          <w:highlight w:val="none"/>
          <w:lang w:val="en-US" w:eastAsia="zh-CN" w:bidi="ar-SA"/>
        </w:rPr>
        <w:t>（八）强化信用诚信体系建设</w:t>
      </w:r>
    </w:p>
    <w:p w14:paraId="7731F266">
      <w:pPr>
        <w:pStyle w:val="2"/>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43" w:firstLineChars="200"/>
        <w:jc w:val="both"/>
        <w:textAlignment w:val="baseline"/>
        <w:rPr>
          <w:rFonts w:hint="default" w:ascii="Times New Roman" w:hAnsi="Times New Roman" w:eastAsia="仿宋_GB2312" w:cs="Times New Roman"/>
          <w:b w:val="0"/>
          <w:bCs w:val="0"/>
          <w:color w:val="auto"/>
          <w:spacing w:val="0"/>
          <w:w w:val="100"/>
          <w:sz w:val="32"/>
          <w:szCs w:val="32"/>
          <w:highlight w:val="none"/>
        </w:rPr>
      </w:pPr>
      <w:r>
        <w:rPr>
          <w:rFonts w:hint="default" w:ascii="Times New Roman" w:hAnsi="Times New Roman" w:eastAsia="仿宋_GB2312" w:cs="Times New Roman"/>
          <w:b/>
          <w:bCs/>
          <w:color w:val="auto"/>
          <w:spacing w:val="0"/>
          <w:w w:val="100"/>
          <w:sz w:val="32"/>
          <w:szCs w:val="32"/>
          <w:highlight w:val="none"/>
        </w:rPr>
        <w:t>1.</w:t>
      </w:r>
      <w:r>
        <w:rPr>
          <w:rFonts w:hint="default" w:ascii="Times New Roman" w:hAnsi="Times New Roman" w:eastAsia="仿宋_GB2312" w:cs="Times New Roman"/>
          <w:b/>
          <w:bCs/>
          <w:color w:val="auto"/>
          <w:spacing w:val="0"/>
          <w:w w:val="100"/>
          <w:sz w:val="32"/>
          <w:szCs w:val="32"/>
          <w:highlight w:val="none"/>
          <w:lang w:eastAsia="zh-CN"/>
        </w:rPr>
        <w:t>引导民营企业诚信文化建设</w:t>
      </w:r>
      <w:r>
        <w:rPr>
          <w:rFonts w:hint="default" w:ascii="Times New Roman" w:hAnsi="Times New Roman" w:eastAsia="仿宋_GB2312" w:cs="Times New Roman"/>
          <w:b/>
          <w:bCs/>
          <w:color w:val="auto"/>
          <w:spacing w:val="0"/>
          <w:w w:val="100"/>
          <w:sz w:val="32"/>
          <w:szCs w:val="32"/>
          <w:highlight w:val="none"/>
        </w:rPr>
        <w:t>。</w:t>
      </w:r>
      <w:r>
        <w:rPr>
          <w:rFonts w:hint="default" w:ascii="Times New Roman" w:hAnsi="Times New Roman" w:eastAsia="仿宋_GB2312" w:cs="Times New Roman"/>
          <w:color w:val="auto"/>
          <w:kern w:val="2"/>
          <w:sz w:val="32"/>
          <w:szCs w:val="32"/>
          <w:highlight w:val="none"/>
          <w:lang w:val="en-US" w:eastAsia="zh-CN" w:bidi="ar-SA"/>
        </w:rPr>
        <w:t>将民营企业诚信教育融入非公有制经济人士理想信念教育活动，</w:t>
      </w:r>
      <w:r>
        <w:rPr>
          <w:rFonts w:hint="default" w:ascii="Times New Roman" w:hAnsi="Times New Roman" w:eastAsia="仿宋_GB2312" w:cs="Times New Roman"/>
          <w:color w:val="auto"/>
          <w:kern w:val="2"/>
          <w:sz w:val="32"/>
          <w:szCs w:val="32"/>
          <w:highlight w:val="none"/>
          <w:u w:val="none"/>
          <w:lang w:val="en-US" w:eastAsia="zh-CN" w:bidi="ar-SA"/>
        </w:rPr>
        <w:t>持续实施</w:t>
      </w:r>
      <w:r>
        <w:rPr>
          <w:rFonts w:hint="default" w:ascii="Times New Roman" w:hAnsi="Times New Roman" w:eastAsia="仿宋_GB2312" w:cs="Times New Roman"/>
          <w:color w:val="auto"/>
          <w:sz w:val="32"/>
          <w:szCs w:val="32"/>
          <w:highlight w:val="none"/>
          <w:u w:val="none"/>
        </w:rPr>
        <w:t>新时代民营企业家培训计划</w:t>
      </w:r>
      <w:r>
        <w:rPr>
          <w:rFonts w:hint="default" w:ascii="Times New Roman" w:hAnsi="Times New Roman" w:eastAsia="仿宋_GB2312" w:cs="Times New Roman"/>
          <w:color w:val="auto"/>
          <w:kern w:val="2"/>
          <w:sz w:val="32"/>
          <w:szCs w:val="32"/>
          <w:highlight w:val="none"/>
          <w:u w:val="none"/>
          <w:lang w:val="en-US" w:eastAsia="zh-CN" w:bidi="ar-SA"/>
        </w:rPr>
        <w:t>，</w:t>
      </w:r>
      <w:r>
        <w:rPr>
          <w:rFonts w:hint="default" w:ascii="Times New Roman" w:hAnsi="Times New Roman" w:eastAsia="仿宋_GB2312" w:cs="Times New Roman"/>
          <w:b w:val="0"/>
          <w:bCs w:val="0"/>
          <w:color w:val="auto"/>
          <w:sz w:val="32"/>
          <w:szCs w:val="32"/>
          <w:highlight w:val="none"/>
          <w:u w:val="none"/>
          <w:lang w:val="en-US" w:eastAsia="zh-CN"/>
        </w:rPr>
        <w:t>依</w:t>
      </w:r>
      <w:r>
        <w:rPr>
          <w:rStyle w:val="8"/>
          <w:rFonts w:hint="default" w:ascii="Times New Roman" w:hAnsi="Times New Roman" w:eastAsia="仿宋_GB2312" w:cs="Times New Roman"/>
          <w:b w:val="0"/>
          <w:bCs/>
          <w:i w:val="0"/>
          <w:iCs w:val="0"/>
          <w:caps w:val="0"/>
          <w:color w:val="auto"/>
          <w:spacing w:val="0"/>
          <w:kern w:val="2"/>
          <w:sz w:val="32"/>
          <w:szCs w:val="32"/>
          <w:highlight w:val="none"/>
          <w:u w:val="none"/>
          <w:lang w:val="en-US" w:eastAsia="zh-CN" w:bidi="ar-SA"/>
        </w:rPr>
        <w:t>托市县两级“格局屏天下”企业家学院教育培训，</w:t>
      </w:r>
      <w:r>
        <w:rPr>
          <w:rFonts w:hint="default" w:ascii="Times New Roman" w:hAnsi="Times New Roman" w:eastAsia="仿宋_GB2312" w:cs="Times New Roman"/>
          <w:color w:val="auto"/>
          <w:kern w:val="2"/>
          <w:sz w:val="32"/>
          <w:szCs w:val="32"/>
          <w:highlight w:val="none"/>
          <w:lang w:val="en-US" w:eastAsia="zh-CN" w:bidi="ar-SA"/>
        </w:rPr>
        <w:t>设置信用建设课程模块，开展政策法规、信用管理、风险防范等内容培训。发挥行业协会商会的引导作用，定期组织会员企业开展“诚信文化进企业”活动，搭建沟通平台，推动形成良好的行业诚信文化生态。在主流媒体和官方网站开设专栏，广泛宣传民营企业诚信经营先进典型，营造良好氛围。</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工商联牵头负责</w:t>
      </w:r>
      <w:r>
        <w:rPr>
          <w:rFonts w:hint="default" w:ascii="Times New Roman" w:hAnsi="Times New Roman" w:eastAsia="楷体_GB2312" w:cs="Times New Roman"/>
          <w:b w:val="0"/>
          <w:bCs w:val="0"/>
          <w:color w:val="auto"/>
          <w:spacing w:val="0"/>
          <w:w w:val="100"/>
          <w:sz w:val="32"/>
          <w:szCs w:val="32"/>
          <w:highlight w:val="none"/>
          <w:lang w:eastAsia="zh-CN"/>
        </w:rPr>
        <w:t>）</w:t>
      </w:r>
    </w:p>
    <w:p w14:paraId="08555862">
      <w:pPr>
        <w:pStyle w:val="2"/>
        <w:keepNext w:val="0"/>
        <w:keepLines w:val="0"/>
        <w:pageBreakBefore w:val="0"/>
        <w:widowControl w:val="0"/>
        <w:kinsoku/>
        <w:wordWrap/>
        <w:overflowPunct/>
        <w:topLinePunct w:val="0"/>
        <w:autoSpaceDE w:val="0"/>
        <w:autoSpaceDN w:val="0"/>
        <w:bidi w:val="0"/>
        <w:adjustRightInd w:val="0"/>
        <w:snapToGrid w:val="0"/>
        <w:spacing w:before="0" w:line="580" w:lineRule="exact"/>
        <w:ind w:firstLine="643" w:firstLineChars="200"/>
        <w:jc w:val="both"/>
        <w:textAlignment w:val="baseline"/>
        <w:rPr>
          <w:rFonts w:hint="default" w:ascii="Times New Roman" w:hAnsi="Times New Roman" w:eastAsia="楷体_GB2312" w:cs="Times New Roman"/>
          <w:b w:val="0"/>
          <w:bCs w:val="0"/>
          <w:color w:val="auto"/>
          <w:spacing w:val="0"/>
          <w:w w:val="100"/>
          <w:sz w:val="32"/>
          <w:szCs w:val="32"/>
          <w:highlight w:val="none"/>
          <w:lang w:val="en-US" w:eastAsia="zh-CN"/>
        </w:rPr>
      </w:pPr>
      <w:r>
        <w:rPr>
          <w:rFonts w:hint="default" w:ascii="Times New Roman" w:hAnsi="Times New Roman" w:eastAsia="仿宋_GB2312" w:cs="Times New Roman"/>
          <w:b/>
          <w:bCs/>
          <w:color w:val="auto"/>
          <w:spacing w:val="0"/>
          <w:w w:val="100"/>
          <w:sz w:val="32"/>
          <w:szCs w:val="32"/>
          <w:highlight w:val="none"/>
          <w:lang w:val="en-US" w:eastAsia="zh-CN"/>
        </w:rPr>
        <w:t>2.健全</w:t>
      </w:r>
      <w:r>
        <w:rPr>
          <w:rFonts w:hint="default" w:ascii="Times New Roman" w:hAnsi="Times New Roman" w:eastAsia="仿宋_GB2312" w:cs="Times New Roman"/>
          <w:b/>
          <w:bCs/>
          <w:color w:val="auto"/>
          <w:spacing w:val="0"/>
          <w:w w:val="100"/>
          <w:sz w:val="32"/>
          <w:szCs w:val="32"/>
          <w:highlight w:val="none"/>
          <w:lang w:eastAsia="zh-CN"/>
        </w:rPr>
        <w:t>民营企业</w:t>
      </w:r>
      <w:r>
        <w:rPr>
          <w:rFonts w:hint="default" w:ascii="Times New Roman" w:hAnsi="Times New Roman" w:eastAsia="仿宋_GB2312" w:cs="Times New Roman"/>
          <w:b/>
          <w:bCs/>
          <w:color w:val="auto"/>
          <w:spacing w:val="0"/>
          <w:w w:val="100"/>
          <w:sz w:val="32"/>
          <w:szCs w:val="32"/>
          <w:highlight w:val="none"/>
          <w:lang w:val="en-US" w:eastAsia="zh-CN"/>
        </w:rPr>
        <w:t>信用评价体系。</w:t>
      </w:r>
      <w:r>
        <w:rPr>
          <w:rFonts w:hint="default" w:ascii="Times New Roman" w:hAnsi="Times New Roman" w:eastAsia="仿宋_GB2312" w:cs="Times New Roman"/>
          <w:color w:val="auto"/>
          <w:kern w:val="0"/>
          <w:sz w:val="32"/>
          <w:szCs w:val="32"/>
          <w:highlight w:val="none"/>
          <w:u w:val="none"/>
          <w:lang w:val="en-US" w:eastAsia="zh-CN" w:bidi="ar-SA"/>
        </w:rPr>
        <w:t>建立健全民营企业信用信息归集机制，严格落实国家、省公共信用信息目录归集范围和标准，依法依规归集各有关部门推送的行政许可、行政处罚、行政强制、社会保险等信用信息。</w:t>
      </w:r>
      <w:r>
        <w:rPr>
          <w:rFonts w:hint="default" w:ascii="Times New Roman" w:hAnsi="Times New Roman" w:eastAsia="仿宋_GB2312" w:cs="Times New Roman"/>
          <w:strike w:val="0"/>
          <w:dstrike w:val="0"/>
          <w:color w:val="auto"/>
          <w:kern w:val="0"/>
          <w:sz w:val="32"/>
          <w:szCs w:val="32"/>
          <w:highlight w:val="none"/>
          <w:u w:val="none"/>
          <w:lang w:val="en-US" w:eastAsia="zh-CN" w:bidi="ar-SA"/>
        </w:rPr>
        <w:t>明确归集范围和标准</w:t>
      </w:r>
      <w:r>
        <w:rPr>
          <w:rFonts w:hint="default" w:ascii="Times New Roman" w:hAnsi="Times New Roman" w:eastAsia="仿宋_GB2312" w:cs="Times New Roman"/>
          <w:strike w:val="0"/>
          <w:color w:val="auto"/>
          <w:kern w:val="0"/>
          <w:sz w:val="32"/>
          <w:szCs w:val="32"/>
          <w:highlight w:val="none"/>
          <w:u w:val="none"/>
          <w:lang w:val="en-US" w:eastAsia="zh-CN" w:bidi="ar-SA"/>
        </w:rPr>
        <w:t>，鼓励民营</w:t>
      </w:r>
      <w:r>
        <w:rPr>
          <w:rFonts w:hint="default" w:ascii="Times New Roman" w:hAnsi="Times New Roman" w:eastAsia="仿宋_GB2312" w:cs="Times New Roman"/>
          <w:color w:val="auto"/>
          <w:kern w:val="0"/>
          <w:sz w:val="32"/>
          <w:szCs w:val="32"/>
          <w:highlight w:val="none"/>
          <w:u w:val="none"/>
          <w:lang w:val="en-US" w:eastAsia="zh-CN" w:bidi="ar-SA"/>
        </w:rPr>
        <w:t>企业以自主申报、信用承诺等方式向各级信用信息共享平台提供自身市场信息，鼓励信用服务机构依法采集民营企业信用信息，与政府部门归集的信用信息进行整合，形成全面、准确的民营企业信用画像。推动国家公共信用综合评价结果应用，及时更新信用评价结果，健全以公共信用综合评价为基础、行业信用评价为重点的民营企业信用状况评</w:t>
      </w:r>
      <w:r>
        <w:rPr>
          <w:rFonts w:hint="default" w:ascii="Times New Roman" w:hAnsi="Times New Roman" w:eastAsia="仿宋_GB2312" w:cs="Times New Roman"/>
          <w:strike w:val="0"/>
          <w:dstrike w:val="0"/>
          <w:color w:val="auto"/>
          <w:kern w:val="0"/>
          <w:sz w:val="32"/>
          <w:szCs w:val="32"/>
          <w:highlight w:val="none"/>
          <w:u w:val="none"/>
          <w:lang w:val="en-US" w:eastAsia="zh-CN" w:bidi="ar-SA"/>
        </w:rPr>
        <w:t>价体系。综合考虑民营企业信用记录、经营状况、社会责任履行等因素，建立信用评价动态调整机制，及时更新信用评价结果。</w:t>
      </w:r>
      <w:r>
        <w:rPr>
          <w:rFonts w:hint="default" w:ascii="Times New Roman" w:hAnsi="Times New Roman" w:eastAsia="楷体_GB2312" w:cs="Times New Roman"/>
          <w:b w:val="0"/>
          <w:bCs w:val="0"/>
          <w:color w:val="auto"/>
          <w:spacing w:val="0"/>
          <w:w w:val="100"/>
          <w:sz w:val="32"/>
          <w:szCs w:val="32"/>
          <w:highlight w:val="none"/>
          <w:lang w:val="en-US" w:eastAsia="zh-CN"/>
        </w:rPr>
        <w:t>（市发展改革委、市市场监管局、市税务局、市人社局、市生态环境局、市住建局、市交通运输局、</w:t>
      </w:r>
      <w:r>
        <w:rPr>
          <w:rFonts w:hint="default" w:ascii="Times New Roman" w:hAnsi="Times New Roman" w:eastAsia="楷体_GB2312" w:cs="Times New Roman"/>
          <w:b w:val="0"/>
          <w:bCs w:val="0"/>
          <w:color w:val="auto"/>
          <w:spacing w:val="0"/>
          <w:w w:val="100"/>
          <w:sz w:val="32"/>
          <w:szCs w:val="32"/>
          <w:highlight w:val="none"/>
          <w:lang w:eastAsia="zh-CN"/>
        </w:rPr>
        <w:t>国家金融监督管理总局信阳监管分局</w:t>
      </w:r>
      <w:r>
        <w:rPr>
          <w:rFonts w:hint="default" w:ascii="Times New Roman" w:hAnsi="Times New Roman" w:eastAsia="楷体_GB2312" w:cs="Times New Roman"/>
          <w:b w:val="0"/>
          <w:bCs w:val="0"/>
          <w:color w:val="auto"/>
          <w:spacing w:val="0"/>
          <w:w w:val="100"/>
          <w:sz w:val="32"/>
          <w:szCs w:val="32"/>
          <w:highlight w:val="none"/>
          <w:lang w:val="en-US" w:eastAsia="zh-CN"/>
        </w:rPr>
        <w:t>、人民银行信阳市分行、市中级人民法院、市财政局、市民政局、市工商联、市委社会工作部等按职责分工负责）</w:t>
      </w:r>
    </w:p>
    <w:p w14:paraId="300FA3E2">
      <w:pPr>
        <w:pStyle w:val="2"/>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43" w:firstLineChars="200"/>
        <w:jc w:val="both"/>
        <w:textAlignment w:val="baseline"/>
        <w:rPr>
          <w:rFonts w:hint="default" w:ascii="Times New Roman" w:hAnsi="Times New Roman" w:eastAsia="楷体_GB2312" w:cs="Times New Roman"/>
          <w:b w:val="0"/>
          <w:bCs w:val="0"/>
          <w:color w:val="auto"/>
          <w:spacing w:val="0"/>
          <w:w w:val="100"/>
          <w:sz w:val="32"/>
          <w:szCs w:val="32"/>
          <w:highlight w:val="none"/>
          <w:lang w:val="en-US" w:eastAsia="zh-CN"/>
        </w:rPr>
      </w:pPr>
      <w:r>
        <w:rPr>
          <w:rFonts w:hint="default" w:ascii="Times New Roman" w:hAnsi="Times New Roman" w:eastAsia="仿宋_GB2312" w:cs="Times New Roman"/>
          <w:b/>
          <w:bCs/>
          <w:color w:val="auto"/>
          <w:spacing w:val="0"/>
          <w:w w:val="100"/>
          <w:sz w:val="32"/>
          <w:szCs w:val="32"/>
          <w:highlight w:val="none"/>
          <w:lang w:val="en-US" w:eastAsia="zh-CN"/>
        </w:rPr>
        <w:t>3</w:t>
      </w:r>
      <w:r>
        <w:rPr>
          <w:rFonts w:hint="default" w:ascii="Times New Roman" w:hAnsi="Times New Roman" w:eastAsia="仿宋_GB2312" w:cs="Times New Roman"/>
          <w:b/>
          <w:bCs/>
          <w:color w:val="auto"/>
          <w:spacing w:val="0"/>
          <w:w w:val="100"/>
          <w:sz w:val="32"/>
          <w:szCs w:val="32"/>
          <w:highlight w:val="none"/>
        </w:rPr>
        <w:t>.</w:t>
      </w:r>
      <w:r>
        <w:rPr>
          <w:rFonts w:hint="default" w:ascii="Times New Roman" w:hAnsi="Times New Roman" w:eastAsia="仿宋_GB2312" w:cs="Times New Roman"/>
          <w:b/>
          <w:bCs/>
          <w:color w:val="auto"/>
          <w:spacing w:val="0"/>
          <w:w w:val="100"/>
          <w:sz w:val="32"/>
          <w:szCs w:val="32"/>
          <w:highlight w:val="none"/>
          <w:lang w:eastAsia="zh-CN"/>
        </w:rPr>
        <w:t>优化民营企业</w:t>
      </w:r>
      <w:r>
        <w:rPr>
          <w:rFonts w:hint="default" w:ascii="Times New Roman" w:hAnsi="Times New Roman" w:eastAsia="仿宋_GB2312" w:cs="Times New Roman"/>
          <w:b/>
          <w:bCs/>
          <w:color w:val="auto"/>
          <w:spacing w:val="0"/>
          <w:w w:val="100"/>
          <w:sz w:val="32"/>
          <w:szCs w:val="32"/>
          <w:highlight w:val="none"/>
        </w:rPr>
        <w:t>信用监管</w:t>
      </w:r>
      <w:r>
        <w:rPr>
          <w:rFonts w:hint="default" w:ascii="Times New Roman" w:hAnsi="Times New Roman" w:eastAsia="仿宋_GB2312" w:cs="Times New Roman"/>
          <w:b/>
          <w:bCs/>
          <w:color w:val="auto"/>
          <w:spacing w:val="0"/>
          <w:w w:val="100"/>
          <w:sz w:val="32"/>
          <w:szCs w:val="32"/>
          <w:highlight w:val="none"/>
          <w:lang w:eastAsia="zh-CN"/>
        </w:rPr>
        <w:t>方式</w:t>
      </w:r>
      <w:r>
        <w:rPr>
          <w:rFonts w:hint="default" w:ascii="Times New Roman" w:hAnsi="Times New Roman" w:eastAsia="仿宋_GB2312" w:cs="Times New Roman"/>
          <w:b/>
          <w:bCs/>
          <w:color w:val="auto"/>
          <w:spacing w:val="0"/>
          <w:w w:val="100"/>
          <w:sz w:val="32"/>
          <w:szCs w:val="32"/>
          <w:highlight w:val="none"/>
        </w:rPr>
        <w:t>。</w:t>
      </w:r>
      <w:r>
        <w:rPr>
          <w:rFonts w:hint="default" w:ascii="Times New Roman" w:hAnsi="Times New Roman" w:eastAsia="仿宋_GB2312" w:cs="Times New Roman"/>
          <w:color w:val="auto"/>
          <w:kern w:val="0"/>
          <w:sz w:val="32"/>
          <w:szCs w:val="32"/>
          <w:highlight w:val="none"/>
          <w:u w:val="none"/>
          <w:lang w:val="en-US" w:eastAsia="zh-CN" w:bidi="ar-SA"/>
        </w:rPr>
        <w:t>在市场监管领域全面推行部门联合“双随机、一公开”监管，将信用风险分类结果作为随机抽查的重要依据，对不同信用风险等级的民营企业采取差异化监管措施。推行柔性监管方式，建立轻微违法行为免罚清单和一般违法失信积累关注机制，给予市场主体成长“容错”“试错”空间。推行信用承诺和信用评价制度，加强守信激励在政府优惠政策、公共资源交易、政府购买服务等领域的应用。</w:t>
      </w:r>
      <w:r>
        <w:rPr>
          <w:rFonts w:hint="default" w:ascii="Times New Roman" w:hAnsi="Times New Roman" w:eastAsia="仿宋_GB2312" w:cs="Times New Roman"/>
          <w:strike w:val="0"/>
          <w:dstrike w:val="0"/>
          <w:color w:val="auto"/>
          <w:kern w:val="0"/>
          <w:sz w:val="32"/>
          <w:szCs w:val="32"/>
          <w:highlight w:val="none"/>
          <w:u w:val="none"/>
          <w:lang w:val="en-US" w:eastAsia="zh-CN" w:bidi="ar-SA"/>
        </w:rPr>
        <w:t>建立健全失信惩戒反</w:t>
      </w:r>
      <w:r>
        <w:rPr>
          <w:rFonts w:hint="default" w:ascii="Times New Roman" w:hAnsi="Times New Roman" w:eastAsia="仿宋" w:cs="Times New Roman"/>
          <w:strike w:val="0"/>
          <w:dstrike w:val="0"/>
          <w:color w:val="auto"/>
          <w:kern w:val="2"/>
          <w:sz w:val="32"/>
          <w:szCs w:val="32"/>
          <w:highlight w:val="none"/>
          <w:lang w:val="en-US" w:eastAsia="zh-CN" w:bidi="ar-SA"/>
        </w:rPr>
        <w:t>馈机制，及时将失信民营企业惩戒情况反馈信用信息共享平台。</w:t>
      </w:r>
      <w:r>
        <w:rPr>
          <w:rFonts w:hint="default" w:ascii="Times New Roman" w:hAnsi="Times New Roman" w:eastAsia="仿宋_GB2312" w:cs="Times New Roman"/>
          <w:strike w:val="0"/>
          <w:color w:val="auto"/>
          <w:kern w:val="0"/>
          <w:sz w:val="32"/>
          <w:szCs w:val="32"/>
          <w:highlight w:val="none"/>
          <w:u w:val="none"/>
          <w:lang w:val="en-US" w:eastAsia="zh-CN" w:bidi="ar-SA"/>
        </w:rPr>
        <w:t>依托市公共信用信息平台联合奖惩系统，</w:t>
      </w:r>
      <w:r>
        <w:rPr>
          <w:rFonts w:hint="default" w:ascii="Times New Roman" w:hAnsi="Times New Roman" w:eastAsia="仿宋_GB2312" w:cs="Times New Roman"/>
          <w:color w:val="auto"/>
          <w:kern w:val="0"/>
          <w:sz w:val="32"/>
          <w:szCs w:val="32"/>
          <w:highlight w:val="none"/>
          <w:u w:val="none"/>
          <w:lang w:val="en-US" w:eastAsia="zh-CN" w:bidi="ar-SA"/>
        </w:rPr>
        <w:t>在政府服务、公共资源交易等行政管理事项中建立信用核查、名单比对、警示提醒、结果反馈等工作机制，提升信用联合奖惩工作规范化水平</w:t>
      </w:r>
      <w:r>
        <w:rPr>
          <w:rFonts w:hint="default" w:ascii="Times New Roman" w:hAnsi="Times New Roman" w:eastAsia="仿宋" w:cs="Times New Roman"/>
          <w:color w:val="auto"/>
          <w:kern w:val="2"/>
          <w:sz w:val="32"/>
          <w:szCs w:val="32"/>
          <w:highlight w:val="none"/>
          <w:lang w:val="en-US" w:eastAsia="zh-CN" w:bidi="ar-SA"/>
        </w:rPr>
        <w:t>。</w:t>
      </w:r>
      <w:r>
        <w:rPr>
          <w:rFonts w:hint="default" w:ascii="Times New Roman" w:hAnsi="Times New Roman" w:eastAsia="楷体_GB2312" w:cs="Times New Roman"/>
          <w:b w:val="0"/>
          <w:bCs w:val="0"/>
          <w:color w:val="auto"/>
          <w:spacing w:val="0"/>
          <w:w w:val="100"/>
          <w:sz w:val="32"/>
          <w:szCs w:val="32"/>
          <w:highlight w:val="none"/>
          <w:lang w:val="en-US" w:eastAsia="zh-CN"/>
        </w:rPr>
        <w:t>（市委统战部、市市场监管局、市司法局、市发展改革委、市工商联、市中级人民法院、市人社局、市行政审批政务和信息管理局、市公共资源交易中心、</w:t>
      </w:r>
      <w:r>
        <w:rPr>
          <w:rFonts w:hint="default" w:ascii="Times New Roman" w:hAnsi="Times New Roman" w:eastAsia="楷体_GB2312" w:cs="Times New Roman"/>
          <w:b w:val="0"/>
          <w:bCs w:val="0"/>
          <w:color w:val="auto"/>
          <w:spacing w:val="0"/>
          <w:w w:val="100"/>
          <w:sz w:val="32"/>
          <w:szCs w:val="32"/>
          <w:highlight w:val="none"/>
          <w:lang w:eastAsia="zh-CN"/>
        </w:rPr>
        <w:t>国家金融监督管理总局信阳监管分局</w:t>
      </w:r>
      <w:r>
        <w:rPr>
          <w:rFonts w:hint="default" w:ascii="Times New Roman" w:hAnsi="Times New Roman" w:eastAsia="楷体_GB2312" w:cs="Times New Roman"/>
          <w:b w:val="0"/>
          <w:bCs w:val="0"/>
          <w:color w:val="auto"/>
          <w:spacing w:val="0"/>
          <w:w w:val="100"/>
          <w:sz w:val="32"/>
          <w:szCs w:val="32"/>
          <w:highlight w:val="none"/>
          <w:lang w:val="en-US" w:eastAsia="zh-CN"/>
        </w:rPr>
        <w:t>、市财政局、市工商联、市税务局等按职责分工负责）</w:t>
      </w:r>
    </w:p>
    <w:p w14:paraId="7B9D5914">
      <w:pPr>
        <w:pStyle w:val="3"/>
        <w:keepNext w:val="0"/>
        <w:keepLines w:val="0"/>
        <w:pageBreakBefore w:val="0"/>
        <w:widowControl w:val="0"/>
        <w:kinsoku/>
        <w:wordWrap/>
        <w:overflowPunct/>
        <w:topLinePunct w:val="0"/>
        <w:autoSpaceDE w:val="0"/>
        <w:autoSpaceDN w:val="0"/>
        <w:bidi w:val="0"/>
        <w:adjustRightInd w:val="0"/>
        <w:snapToGrid w:val="0"/>
        <w:spacing w:line="580" w:lineRule="exact"/>
        <w:ind w:firstLine="643" w:firstLineChars="200"/>
        <w:jc w:val="both"/>
        <w:textAlignment w:val="baseline"/>
        <w:rPr>
          <w:rFonts w:hint="default" w:ascii="Times New Roman" w:hAnsi="Times New Roman" w:eastAsia="楷体_GB2312" w:cs="Times New Roman"/>
          <w:b w:val="0"/>
          <w:bCs w:val="0"/>
          <w:snapToGrid w:val="0"/>
          <w:color w:val="auto"/>
          <w:spacing w:val="0"/>
          <w:w w:val="100"/>
          <w:kern w:val="0"/>
          <w:sz w:val="32"/>
          <w:szCs w:val="32"/>
          <w:highlight w:val="none"/>
          <w:lang w:val="en-US" w:eastAsia="zh-CN" w:bidi="ar-SA"/>
        </w:rPr>
      </w:pPr>
      <w:r>
        <w:rPr>
          <w:rFonts w:hint="default" w:ascii="Times New Roman" w:hAnsi="Times New Roman" w:eastAsia="仿宋_GB2312" w:cs="Times New Roman"/>
          <w:b/>
          <w:bCs/>
          <w:snapToGrid w:val="0"/>
          <w:color w:val="auto"/>
          <w:kern w:val="0"/>
          <w:sz w:val="32"/>
          <w:szCs w:val="32"/>
          <w:highlight w:val="none"/>
          <w:u w:val="none"/>
          <w:lang w:val="en-US" w:eastAsia="zh-CN" w:bidi="ar-SA"/>
        </w:rPr>
        <w:t>4.完善</w:t>
      </w:r>
      <w:r>
        <w:rPr>
          <w:rFonts w:hint="default" w:ascii="Times New Roman" w:hAnsi="Times New Roman" w:eastAsia="仿宋_GB2312" w:cs="Times New Roman"/>
          <w:b/>
          <w:bCs/>
          <w:color w:val="auto"/>
          <w:spacing w:val="0"/>
          <w:w w:val="100"/>
          <w:sz w:val="32"/>
          <w:szCs w:val="32"/>
          <w:highlight w:val="none"/>
          <w:lang w:eastAsia="zh-CN"/>
        </w:rPr>
        <w:t>民营企业</w:t>
      </w:r>
      <w:r>
        <w:rPr>
          <w:rFonts w:hint="default" w:ascii="Times New Roman" w:hAnsi="Times New Roman" w:eastAsia="仿宋_GB2312" w:cs="Times New Roman"/>
          <w:b/>
          <w:bCs/>
          <w:snapToGrid w:val="0"/>
          <w:color w:val="auto"/>
          <w:kern w:val="0"/>
          <w:sz w:val="32"/>
          <w:szCs w:val="32"/>
          <w:highlight w:val="none"/>
          <w:u w:val="none"/>
          <w:lang w:val="en-US" w:eastAsia="zh-CN" w:bidi="ar-SA"/>
        </w:rPr>
        <w:t>信用修复服务。</w:t>
      </w:r>
      <w:r>
        <w:rPr>
          <w:rFonts w:hint="default" w:ascii="Times New Roman" w:hAnsi="Times New Roman" w:eastAsia="仿宋_GB2312" w:cs="Times New Roman"/>
          <w:snapToGrid w:val="0"/>
          <w:color w:val="auto"/>
          <w:kern w:val="0"/>
          <w:sz w:val="32"/>
          <w:szCs w:val="32"/>
          <w:highlight w:val="none"/>
          <w:u w:val="none"/>
          <w:lang w:val="en-US" w:eastAsia="zh-CN" w:bidi="ar-SA"/>
        </w:rPr>
        <w:t>建立完善统一规范的信用修复制度，持续落实行政处罚信息信用修复主动告知制度，优化办理流程时限，加强信用修复协同治理</w:t>
      </w:r>
      <w:r>
        <w:rPr>
          <w:rFonts w:hint="default" w:ascii="Times New Roman" w:hAnsi="Times New Roman" w:eastAsia="仿宋_GB2312" w:cs="Times New Roman"/>
          <w:strike w:val="0"/>
          <w:dstrike w:val="0"/>
          <w:snapToGrid w:val="0"/>
          <w:color w:val="auto"/>
          <w:kern w:val="0"/>
          <w:sz w:val="32"/>
          <w:szCs w:val="32"/>
          <w:highlight w:val="none"/>
          <w:u w:val="none"/>
          <w:lang w:val="en-US" w:eastAsia="zh-CN" w:bidi="ar-SA"/>
        </w:rPr>
        <w:t>。建立失信民营企业信用重塑机制，</w:t>
      </w:r>
      <w:r>
        <w:rPr>
          <w:rFonts w:hint="default" w:ascii="Times New Roman" w:hAnsi="Times New Roman" w:eastAsia="仿宋_GB2312" w:cs="Times New Roman"/>
          <w:b w:val="0"/>
          <w:bCs w:val="0"/>
          <w:strike w:val="0"/>
          <w:dstrike w:val="0"/>
          <w:snapToGrid w:val="0"/>
          <w:color w:val="auto"/>
          <w:kern w:val="0"/>
          <w:sz w:val="32"/>
          <w:szCs w:val="32"/>
          <w:highlight w:val="none"/>
          <w:u w:val="none"/>
          <w:lang w:val="en-US" w:eastAsia="zh-CN" w:bidi="ar-SA"/>
        </w:rPr>
        <w:t>鼓励引</w:t>
      </w:r>
      <w:r>
        <w:rPr>
          <w:rFonts w:hint="default" w:ascii="Times New Roman" w:hAnsi="Times New Roman" w:eastAsia="仿宋_GB2312" w:cs="Times New Roman"/>
          <w:snapToGrid w:val="0"/>
          <w:color w:val="auto"/>
          <w:kern w:val="0"/>
          <w:sz w:val="32"/>
          <w:szCs w:val="32"/>
          <w:highlight w:val="none"/>
          <w:u w:val="none"/>
          <w:lang w:val="en-US" w:eastAsia="zh-CN" w:bidi="ar-SA"/>
        </w:rPr>
        <w:t>导失信民营企业以信用修复为契机，加强内部信用管理，完善信用风险防控机制，提高企业诚信经营水平。强化信用修复期间的风险预警和完成修复后的跟踪监测。加大民营企业信用修复指导力度，构建信用修复权益提醒机制，明确各环节责任主体与工作流程，确保企业能及时、准确地知悉信用修复相关权益及操作路径，保障信用主体合法权益。</w:t>
      </w:r>
      <w:r>
        <w:rPr>
          <w:rFonts w:hint="default" w:ascii="Times New Roman" w:hAnsi="Times New Roman" w:cs="Times New Roman"/>
          <w:color w:val="auto"/>
          <w:sz w:val="32"/>
          <w:szCs w:val="32"/>
          <w:highlight w:val="none"/>
          <w:lang w:val="en-US" w:eastAsia="zh-CN"/>
        </w:rPr>
        <w:t>（</w:t>
      </w:r>
      <w:r>
        <w:rPr>
          <w:rFonts w:hint="default" w:ascii="Times New Roman" w:hAnsi="Times New Roman" w:eastAsia="楷体_GB2312" w:cs="Times New Roman"/>
          <w:b w:val="0"/>
          <w:bCs w:val="0"/>
          <w:snapToGrid w:val="0"/>
          <w:color w:val="auto"/>
          <w:spacing w:val="0"/>
          <w:w w:val="100"/>
          <w:kern w:val="0"/>
          <w:sz w:val="32"/>
          <w:szCs w:val="32"/>
          <w:highlight w:val="none"/>
          <w:lang w:val="en-US" w:eastAsia="zh-CN" w:bidi="ar-SA"/>
        </w:rPr>
        <w:t>市发展改革委、市市场监管局、</w:t>
      </w:r>
      <w:r>
        <w:rPr>
          <w:rFonts w:hint="default" w:ascii="Times New Roman" w:hAnsi="Times New Roman" w:cs="Times New Roman"/>
          <w:b w:val="0"/>
          <w:bCs w:val="0"/>
          <w:snapToGrid w:val="0"/>
          <w:color w:val="auto"/>
          <w:spacing w:val="0"/>
          <w:w w:val="100"/>
          <w:kern w:val="0"/>
          <w:sz w:val="32"/>
          <w:szCs w:val="32"/>
          <w:highlight w:val="none"/>
          <w:lang w:val="en-US" w:eastAsia="zh-CN" w:bidi="ar-SA"/>
        </w:rPr>
        <w:t>市</w:t>
      </w:r>
      <w:r>
        <w:rPr>
          <w:rFonts w:hint="default" w:ascii="Times New Roman" w:hAnsi="Times New Roman" w:eastAsia="楷体_GB2312" w:cs="Times New Roman"/>
          <w:b w:val="0"/>
          <w:bCs w:val="0"/>
          <w:snapToGrid w:val="0"/>
          <w:color w:val="auto"/>
          <w:spacing w:val="0"/>
          <w:w w:val="100"/>
          <w:kern w:val="0"/>
          <w:sz w:val="32"/>
          <w:szCs w:val="32"/>
          <w:highlight w:val="none"/>
          <w:lang w:val="en-US" w:eastAsia="zh-CN" w:bidi="ar-SA"/>
        </w:rPr>
        <w:t>工商联</w:t>
      </w:r>
      <w:r>
        <w:rPr>
          <w:rFonts w:hint="default" w:ascii="Times New Roman" w:hAnsi="Times New Roman" w:cs="Times New Roman"/>
          <w:b w:val="0"/>
          <w:bCs w:val="0"/>
          <w:snapToGrid w:val="0"/>
          <w:color w:val="auto"/>
          <w:spacing w:val="0"/>
          <w:w w:val="100"/>
          <w:kern w:val="0"/>
          <w:sz w:val="32"/>
          <w:szCs w:val="32"/>
          <w:highlight w:val="none"/>
          <w:lang w:val="en-US" w:eastAsia="zh-CN" w:bidi="ar-SA"/>
        </w:rPr>
        <w:t>和各行政执法部门</w:t>
      </w:r>
      <w:r>
        <w:rPr>
          <w:rFonts w:hint="default" w:ascii="Times New Roman" w:hAnsi="Times New Roman" w:eastAsia="楷体_GB2312" w:cs="Times New Roman"/>
          <w:b w:val="0"/>
          <w:bCs w:val="0"/>
          <w:snapToGrid w:val="0"/>
          <w:color w:val="auto"/>
          <w:spacing w:val="0"/>
          <w:w w:val="100"/>
          <w:kern w:val="0"/>
          <w:sz w:val="32"/>
          <w:szCs w:val="32"/>
          <w:highlight w:val="none"/>
          <w:lang w:val="en-US" w:eastAsia="zh-CN" w:bidi="ar-SA"/>
        </w:rPr>
        <w:t>等按职责分工负责）</w:t>
      </w:r>
    </w:p>
    <w:p w14:paraId="52048AE1">
      <w:pPr>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43" w:firstLineChars="200"/>
        <w:jc w:val="both"/>
        <w:textAlignment w:val="baseline"/>
        <w:rPr>
          <w:rFonts w:hint="default" w:ascii="Times New Roman" w:hAnsi="Times New Roman" w:eastAsia="楷体_GB2312" w:cs="Times New Roman"/>
          <w:b/>
          <w:bCs/>
          <w:snapToGrid w:val="0"/>
          <w:color w:val="auto"/>
          <w:spacing w:val="0"/>
          <w:w w:val="100"/>
          <w:kern w:val="0"/>
          <w:sz w:val="32"/>
          <w:szCs w:val="32"/>
          <w:highlight w:val="none"/>
          <w:lang w:val="en-US" w:eastAsia="zh-CN" w:bidi="ar-SA"/>
        </w:rPr>
      </w:pPr>
      <w:r>
        <w:rPr>
          <w:rFonts w:hint="default" w:ascii="Times New Roman" w:hAnsi="Times New Roman" w:eastAsia="楷体_GB2312" w:cs="Times New Roman"/>
          <w:b/>
          <w:bCs/>
          <w:snapToGrid w:val="0"/>
          <w:color w:val="auto"/>
          <w:spacing w:val="0"/>
          <w:w w:val="100"/>
          <w:kern w:val="0"/>
          <w:sz w:val="32"/>
          <w:szCs w:val="32"/>
          <w:highlight w:val="none"/>
          <w:lang w:val="en-US" w:eastAsia="zh-CN" w:bidi="ar-SA"/>
        </w:rPr>
        <w:t>（九）促进民营企业转型提质</w:t>
      </w:r>
    </w:p>
    <w:p w14:paraId="25C280B9">
      <w:pPr>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43" w:firstLineChars="200"/>
        <w:jc w:val="both"/>
        <w:textAlignment w:val="baseline"/>
        <w:rPr>
          <w:rFonts w:hint="default" w:ascii="Times New Roman" w:hAnsi="Times New Roman" w:eastAsia="仿宋_GB2312" w:cs="Times New Roman"/>
          <w:b w:val="0"/>
          <w:bCs w:val="0"/>
          <w:snapToGrid w:val="0"/>
          <w:color w:val="auto"/>
          <w:spacing w:val="0"/>
          <w:w w:val="100"/>
          <w:kern w:val="0"/>
          <w:sz w:val="32"/>
          <w:szCs w:val="32"/>
          <w:highlight w:val="none"/>
          <w:lang w:val="en-US" w:eastAsia="zh-CN" w:bidi="ar-SA"/>
        </w:rPr>
      </w:pPr>
      <w:r>
        <w:rPr>
          <w:rFonts w:hint="default" w:ascii="Times New Roman" w:hAnsi="Times New Roman" w:eastAsia="仿宋_GB2312" w:cs="Times New Roman"/>
          <w:b/>
          <w:bCs/>
          <w:snapToGrid w:val="0"/>
          <w:color w:val="auto"/>
          <w:spacing w:val="0"/>
          <w:w w:val="100"/>
          <w:kern w:val="0"/>
          <w:sz w:val="32"/>
          <w:szCs w:val="32"/>
          <w:highlight w:val="none"/>
          <w:lang w:val="en-US" w:eastAsia="zh-CN" w:bidi="ar-SA"/>
        </w:rPr>
        <w:t>1.</w:t>
      </w:r>
      <w:r>
        <w:rPr>
          <w:rFonts w:hint="default" w:ascii="Times New Roman" w:hAnsi="Times New Roman" w:eastAsia="楷体_GB2312" w:cs="Times New Roman"/>
          <w:b/>
          <w:bCs/>
          <w:snapToGrid w:val="0"/>
          <w:color w:val="auto"/>
          <w:spacing w:val="0"/>
          <w:w w:val="100"/>
          <w:kern w:val="0"/>
          <w:sz w:val="32"/>
          <w:szCs w:val="32"/>
          <w:highlight w:val="none"/>
          <w:lang w:val="en-US" w:eastAsia="zh-CN" w:bidi="ar-SA"/>
        </w:rPr>
        <w:t>加强民营经济人士队伍建设。</w:t>
      </w:r>
      <w:r>
        <w:rPr>
          <w:rFonts w:hint="default" w:ascii="Times New Roman" w:hAnsi="Times New Roman" w:eastAsia="仿宋_GB2312" w:cs="Times New Roman"/>
          <w:snapToGrid w:val="0"/>
          <w:color w:val="auto"/>
          <w:kern w:val="0"/>
          <w:sz w:val="32"/>
          <w:szCs w:val="32"/>
          <w:highlight w:val="none"/>
          <w:u w:val="none"/>
          <w:lang w:val="en-US" w:eastAsia="zh-CN" w:bidi="ar-SA"/>
        </w:rPr>
        <w:t>精准确定培训范围，</w:t>
      </w:r>
      <w:r>
        <w:rPr>
          <w:rFonts w:hint="default" w:ascii="Times New Roman" w:hAnsi="Times New Roman" w:eastAsia="仿宋_GB2312" w:cs="Times New Roman"/>
          <w:bCs/>
          <w:color w:val="auto"/>
          <w:sz w:val="32"/>
          <w:szCs w:val="32"/>
          <w:highlight w:val="none"/>
        </w:rPr>
        <w:t>灵活采用案例教学、企业观摩等</w:t>
      </w:r>
      <w:r>
        <w:rPr>
          <w:rFonts w:hint="default" w:ascii="Times New Roman" w:hAnsi="Times New Roman" w:eastAsia="仿宋_GB2312" w:cs="Times New Roman"/>
          <w:bCs/>
          <w:color w:val="auto"/>
          <w:sz w:val="32"/>
          <w:szCs w:val="32"/>
          <w:highlight w:val="none"/>
          <w:lang w:eastAsia="zh-CN"/>
        </w:rPr>
        <w:t>多种</w:t>
      </w:r>
      <w:r>
        <w:rPr>
          <w:rFonts w:hint="default" w:ascii="Times New Roman" w:hAnsi="Times New Roman" w:eastAsia="仿宋_GB2312" w:cs="Times New Roman"/>
          <w:bCs/>
          <w:color w:val="auto"/>
          <w:sz w:val="32"/>
          <w:szCs w:val="32"/>
          <w:highlight w:val="none"/>
        </w:rPr>
        <w:t>形式，</w:t>
      </w:r>
      <w:r>
        <w:rPr>
          <w:rFonts w:hint="default" w:ascii="Times New Roman" w:hAnsi="Times New Roman" w:eastAsia="仿宋_GB2312" w:cs="Times New Roman"/>
          <w:bCs/>
          <w:color w:val="auto"/>
          <w:sz w:val="32"/>
          <w:szCs w:val="32"/>
          <w:highlight w:val="none"/>
          <w:lang w:eastAsia="zh-CN"/>
        </w:rPr>
        <w:t>办好“格局商学院”“司马光智慧学堂”</w:t>
      </w:r>
      <w:r>
        <w:rPr>
          <w:rFonts w:hint="default" w:ascii="Times New Roman" w:hAnsi="Times New Roman" w:eastAsia="仿宋_GB2312" w:cs="Times New Roman"/>
          <w:bCs/>
          <w:color w:val="auto"/>
          <w:sz w:val="32"/>
          <w:szCs w:val="32"/>
          <w:highlight w:val="none"/>
        </w:rPr>
        <w:t>和惠企政策宣讲</w:t>
      </w:r>
      <w:r>
        <w:rPr>
          <w:rFonts w:hint="default" w:ascii="Times New Roman" w:hAnsi="Times New Roman" w:eastAsia="仿宋_GB2312" w:cs="Times New Roman"/>
          <w:bCs/>
          <w:color w:val="auto"/>
          <w:sz w:val="32"/>
          <w:szCs w:val="32"/>
          <w:highlight w:val="none"/>
          <w:lang w:eastAsia="zh-CN"/>
        </w:rPr>
        <w:t>。</w:t>
      </w:r>
      <w:r>
        <w:rPr>
          <w:rFonts w:hint="default" w:ascii="Times New Roman" w:hAnsi="Times New Roman" w:eastAsia="仿宋_GB2312" w:cs="Times New Roman"/>
          <w:snapToGrid w:val="0"/>
          <w:color w:val="auto"/>
          <w:kern w:val="0"/>
          <w:sz w:val="32"/>
          <w:szCs w:val="32"/>
          <w:highlight w:val="none"/>
          <w:u w:val="none"/>
          <w:lang w:val="en-US" w:eastAsia="zh-CN" w:bidi="ar-SA"/>
        </w:rPr>
        <w:t>围绕服务“</w:t>
      </w:r>
      <w:r>
        <w:rPr>
          <w:rFonts w:hint="default" w:ascii="Times New Roman" w:hAnsi="Times New Roman" w:eastAsia="仿宋_GB2312" w:cs="Times New Roman"/>
          <w:b w:val="0"/>
          <w:bCs w:val="0"/>
          <w:color w:val="auto"/>
          <w:spacing w:val="0"/>
          <w:w w:val="100"/>
          <w:sz w:val="32"/>
          <w:szCs w:val="32"/>
          <w:highlight w:val="none"/>
          <w:lang w:eastAsia="zh-CN"/>
        </w:rPr>
        <w:t>两</w:t>
      </w:r>
      <w:r>
        <w:rPr>
          <w:rFonts w:hint="default" w:ascii="Times New Roman" w:hAnsi="Times New Roman" w:eastAsia="仿宋_GB2312" w:cs="Times New Roman"/>
          <w:b w:val="0"/>
          <w:bCs w:val="0"/>
          <w:color w:val="auto"/>
          <w:spacing w:val="0"/>
          <w:w w:val="100"/>
          <w:sz w:val="32"/>
          <w:szCs w:val="32"/>
          <w:highlight w:val="none"/>
        </w:rPr>
        <w:t>高四</w:t>
      </w:r>
      <w:r>
        <w:rPr>
          <w:rFonts w:hint="default" w:ascii="Times New Roman" w:hAnsi="Times New Roman" w:eastAsia="仿宋_GB2312" w:cs="Times New Roman"/>
          <w:b w:val="0"/>
          <w:bCs w:val="0"/>
          <w:color w:val="auto"/>
          <w:spacing w:val="0"/>
          <w:w w:val="100"/>
          <w:sz w:val="32"/>
          <w:szCs w:val="32"/>
          <w:highlight w:val="none"/>
          <w:lang w:eastAsia="zh-CN"/>
        </w:rPr>
        <w:t>着力</w:t>
      </w:r>
      <w:r>
        <w:rPr>
          <w:rFonts w:hint="default" w:ascii="Times New Roman" w:hAnsi="Times New Roman" w:eastAsia="仿宋_GB2312" w:cs="Times New Roman"/>
          <w:snapToGrid w:val="0"/>
          <w:color w:val="auto"/>
          <w:kern w:val="0"/>
          <w:sz w:val="32"/>
          <w:szCs w:val="32"/>
          <w:highlight w:val="none"/>
          <w:u w:val="none"/>
          <w:lang w:val="en-US" w:eastAsia="zh-CN" w:bidi="ar-SA"/>
        </w:rPr>
        <w:t>”，聚焦市委高质量发展工作布局，深化民营经济人士理想信念教育，引导民营经济人士践行新发展理念、融入新发展格局、实现高质量发展，开展建立健全中国特色现代企业制度、民营经济领域信用建设等专题培训，加大数字经济、新能源汽车、人工智能、绿色发展、未来产业等新兴领域培训力度。</w:t>
      </w:r>
      <w:r>
        <w:rPr>
          <w:rFonts w:hint="default" w:ascii="Times New Roman" w:hAnsi="Times New Roman" w:eastAsia="仿宋_GB2312" w:cs="Times New Roman"/>
          <w:b w:val="0"/>
          <w:bCs w:val="0"/>
          <w:snapToGrid w:val="0"/>
          <w:color w:val="auto"/>
          <w:spacing w:val="0"/>
          <w:w w:val="100"/>
          <w:kern w:val="0"/>
          <w:sz w:val="32"/>
          <w:szCs w:val="32"/>
          <w:highlight w:val="none"/>
          <w:lang w:val="en-US" w:eastAsia="zh-CN" w:bidi="ar-SA"/>
        </w:rPr>
        <w:t>加强对年轻一代民营企业家的培养，开展民营经济人士青蓝接力行动。到2027年，组织民营企业培训3万人次以上。</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委统战部、</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工信</w:t>
      </w:r>
      <w:r>
        <w:rPr>
          <w:rFonts w:hint="default" w:ascii="Times New Roman" w:hAnsi="Times New Roman" w:eastAsia="楷体_GB2312" w:cs="Times New Roman"/>
          <w:b w:val="0"/>
          <w:bCs w:val="0"/>
          <w:color w:val="auto"/>
          <w:spacing w:val="0"/>
          <w:w w:val="100"/>
          <w:sz w:val="32"/>
          <w:szCs w:val="32"/>
          <w:highlight w:val="none"/>
          <w:lang w:eastAsia="zh-CN"/>
        </w:rPr>
        <w:t>局</w:t>
      </w:r>
      <w:r>
        <w:rPr>
          <w:rFonts w:hint="default" w:ascii="Times New Roman" w:hAnsi="Times New Roman" w:eastAsia="楷体_GB2312" w:cs="Times New Roman"/>
          <w:b w:val="0"/>
          <w:bCs w:val="0"/>
          <w:color w:val="auto"/>
          <w:spacing w:val="0"/>
          <w:w w:val="100"/>
          <w:sz w:val="32"/>
          <w:szCs w:val="32"/>
          <w:highlight w:val="none"/>
        </w:rPr>
        <w:t>、</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工商联、</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发展改革委按职责分工负责</w:t>
      </w:r>
      <w:r>
        <w:rPr>
          <w:rFonts w:hint="default" w:ascii="Times New Roman" w:hAnsi="Times New Roman" w:eastAsia="楷体_GB2312" w:cs="Times New Roman"/>
          <w:b w:val="0"/>
          <w:bCs w:val="0"/>
          <w:color w:val="auto"/>
          <w:spacing w:val="0"/>
          <w:w w:val="100"/>
          <w:sz w:val="32"/>
          <w:szCs w:val="32"/>
          <w:highlight w:val="none"/>
          <w:lang w:eastAsia="zh-CN"/>
        </w:rPr>
        <w:t>）</w:t>
      </w:r>
    </w:p>
    <w:p w14:paraId="258A995E">
      <w:pPr>
        <w:keepNext w:val="0"/>
        <w:keepLines w:val="0"/>
        <w:pageBreakBefore w:val="0"/>
        <w:widowControl w:val="0"/>
        <w:kinsoku/>
        <w:wordWrap/>
        <w:overflowPunct/>
        <w:topLinePunct w:val="0"/>
        <w:autoSpaceDE w:val="0"/>
        <w:autoSpaceDN w:val="0"/>
        <w:bidi w:val="0"/>
        <w:adjustRightInd w:val="0"/>
        <w:snapToGrid w:val="0"/>
        <w:spacing w:line="580" w:lineRule="exact"/>
        <w:ind w:firstLine="643" w:firstLineChars="200"/>
        <w:jc w:val="both"/>
        <w:textAlignment w:val="baseline"/>
        <w:rPr>
          <w:rFonts w:hint="default" w:ascii="Times New Roman" w:hAnsi="Times New Roman" w:eastAsia="仿宋_GB2312" w:cs="Times New Roman"/>
          <w:b w:val="0"/>
          <w:bCs w:val="0"/>
          <w:color w:val="auto"/>
          <w:spacing w:val="0"/>
          <w:w w:val="100"/>
          <w:sz w:val="32"/>
          <w:szCs w:val="32"/>
          <w:highlight w:val="none"/>
        </w:rPr>
      </w:pPr>
      <w:r>
        <w:rPr>
          <w:rFonts w:hint="default" w:ascii="Times New Roman" w:hAnsi="Times New Roman" w:eastAsia="仿宋_GB2312" w:cs="Times New Roman"/>
          <w:b/>
          <w:bCs/>
          <w:snapToGrid w:val="0"/>
          <w:color w:val="auto"/>
          <w:spacing w:val="0"/>
          <w:w w:val="100"/>
          <w:kern w:val="0"/>
          <w:sz w:val="32"/>
          <w:szCs w:val="32"/>
          <w:highlight w:val="none"/>
          <w:lang w:val="en-US" w:eastAsia="zh-CN" w:bidi="ar-SA"/>
        </w:rPr>
        <w:t>2.推动民间资本投资。</w:t>
      </w:r>
      <w:r>
        <w:rPr>
          <w:rFonts w:hint="default" w:ascii="Times New Roman" w:hAnsi="Times New Roman" w:eastAsia="仿宋_GB2312" w:cs="Times New Roman"/>
          <w:color w:val="auto"/>
          <w:sz w:val="32"/>
          <w:szCs w:val="32"/>
          <w:highlight w:val="none"/>
          <w:lang w:val="en-US" w:eastAsia="zh-CN"/>
        </w:rPr>
        <w:t>用好向民间资本推介项目平台</w:t>
      </w:r>
      <w:r>
        <w:rPr>
          <w:rFonts w:hint="default" w:ascii="Times New Roman" w:hAnsi="Times New Roman" w:eastAsia="仿宋_GB2312" w:cs="Times New Roman"/>
          <w:b w:val="0"/>
          <w:bCs w:val="0"/>
          <w:color w:val="auto"/>
          <w:spacing w:val="0"/>
          <w:w w:val="100"/>
          <w:sz w:val="32"/>
          <w:szCs w:val="32"/>
          <w:highlight w:val="none"/>
          <w:lang w:val="en-US" w:eastAsia="zh-CN"/>
        </w:rPr>
        <w:t>，常态化向民间资本推介质态较好、收益稳定的优质项目。</w:t>
      </w:r>
      <w:r>
        <w:rPr>
          <w:rFonts w:hint="default" w:ascii="Times New Roman" w:hAnsi="Times New Roman" w:eastAsia="仿宋_GB2312" w:cs="Times New Roman"/>
          <w:color w:val="auto"/>
          <w:sz w:val="32"/>
          <w:szCs w:val="32"/>
          <w:highlight w:val="none"/>
          <w:lang w:val="en-US" w:eastAsia="zh-CN"/>
        </w:rPr>
        <w:t>支持民营企业参与省、市重点项目建设，鼓励民间资本参与重大工程和补短板项目。</w:t>
      </w:r>
      <w:r>
        <w:rPr>
          <w:rFonts w:hint="default" w:ascii="Times New Roman" w:hAnsi="Times New Roman" w:eastAsia="仿宋_GB2312" w:cs="Times New Roman"/>
          <w:snapToGrid w:val="0"/>
          <w:color w:val="auto"/>
          <w:kern w:val="0"/>
          <w:sz w:val="32"/>
          <w:szCs w:val="32"/>
          <w:highlight w:val="none"/>
          <w:lang w:val="en-US" w:eastAsia="zh-CN" w:bidi="ar-SA"/>
        </w:rPr>
        <w:t>建立健全重点民间投资项目服务制度，对符合条件的项目，加大用地、用能、资金等要素保障力度。完善民营企业参与重大工程项目建设长效机制，</w:t>
      </w:r>
      <w:r>
        <w:rPr>
          <w:rFonts w:hint="default" w:ascii="Times New Roman" w:hAnsi="Times New Roman" w:eastAsia="仿宋_GB2312" w:cs="Times New Roman"/>
          <w:b w:val="0"/>
          <w:bCs w:val="0"/>
          <w:color w:val="auto"/>
          <w:spacing w:val="0"/>
          <w:w w:val="100"/>
          <w:sz w:val="32"/>
          <w:szCs w:val="32"/>
          <w:highlight w:val="none"/>
        </w:rPr>
        <w:t>支持民营企业参与</w:t>
      </w:r>
      <w:r>
        <w:rPr>
          <w:rFonts w:hint="default" w:ascii="Times New Roman" w:hAnsi="Times New Roman" w:eastAsia="仿宋_GB2312" w:cs="Times New Roman"/>
          <w:b w:val="0"/>
          <w:bCs w:val="0"/>
          <w:color w:val="auto"/>
          <w:spacing w:val="0"/>
          <w:w w:val="100"/>
          <w:sz w:val="32"/>
          <w:szCs w:val="32"/>
          <w:highlight w:val="none"/>
          <w:lang w:eastAsia="zh-CN"/>
        </w:rPr>
        <w:t>“</w:t>
      </w:r>
      <w:r>
        <w:rPr>
          <w:rFonts w:hint="default" w:ascii="Times New Roman" w:hAnsi="Times New Roman" w:eastAsia="仿宋_GB2312" w:cs="Times New Roman"/>
          <w:b w:val="0"/>
          <w:bCs w:val="0"/>
          <w:color w:val="auto"/>
          <w:spacing w:val="0"/>
          <w:w w:val="100"/>
          <w:sz w:val="32"/>
          <w:szCs w:val="32"/>
          <w:highlight w:val="none"/>
        </w:rPr>
        <w:t>两重</w:t>
      </w:r>
      <w:r>
        <w:rPr>
          <w:rFonts w:hint="default" w:ascii="Times New Roman" w:hAnsi="Times New Roman" w:eastAsia="仿宋_GB2312" w:cs="Times New Roman"/>
          <w:b w:val="0"/>
          <w:bCs w:val="0"/>
          <w:color w:val="auto"/>
          <w:spacing w:val="0"/>
          <w:w w:val="100"/>
          <w:sz w:val="32"/>
          <w:szCs w:val="32"/>
          <w:highlight w:val="none"/>
          <w:lang w:eastAsia="zh-CN"/>
        </w:rPr>
        <w:t>”、“</w:t>
      </w:r>
      <w:r>
        <w:rPr>
          <w:rFonts w:hint="default" w:ascii="Times New Roman" w:hAnsi="Times New Roman" w:eastAsia="仿宋_GB2312" w:cs="Times New Roman"/>
          <w:b w:val="0"/>
          <w:bCs w:val="0"/>
          <w:color w:val="auto"/>
          <w:spacing w:val="0"/>
          <w:w w:val="100"/>
          <w:sz w:val="32"/>
          <w:szCs w:val="32"/>
          <w:highlight w:val="none"/>
        </w:rPr>
        <w:t>两新</w:t>
      </w:r>
      <w:r>
        <w:rPr>
          <w:rFonts w:hint="default" w:ascii="Times New Roman" w:hAnsi="Times New Roman" w:eastAsia="仿宋_GB2312" w:cs="Times New Roman"/>
          <w:b w:val="0"/>
          <w:bCs w:val="0"/>
          <w:color w:val="auto"/>
          <w:spacing w:val="0"/>
          <w:w w:val="100"/>
          <w:sz w:val="32"/>
          <w:szCs w:val="32"/>
          <w:highlight w:val="none"/>
          <w:lang w:eastAsia="zh-CN"/>
        </w:rPr>
        <w:t>”</w:t>
      </w:r>
      <w:r>
        <w:rPr>
          <w:rFonts w:hint="default" w:ascii="Times New Roman" w:hAnsi="Times New Roman" w:eastAsia="仿宋_GB2312" w:cs="Times New Roman"/>
          <w:b w:val="0"/>
          <w:bCs w:val="0"/>
          <w:color w:val="auto"/>
          <w:spacing w:val="0"/>
          <w:w w:val="100"/>
          <w:sz w:val="32"/>
          <w:szCs w:val="32"/>
          <w:highlight w:val="none"/>
        </w:rPr>
        <w:t>项目</w:t>
      </w:r>
      <w:r>
        <w:rPr>
          <w:rFonts w:hint="default" w:ascii="Times New Roman" w:hAnsi="Times New Roman" w:eastAsia="仿宋_GB2312" w:cs="Times New Roman"/>
          <w:b w:val="0"/>
          <w:bCs w:val="0"/>
          <w:color w:val="auto"/>
          <w:spacing w:val="0"/>
          <w:w w:val="100"/>
          <w:sz w:val="32"/>
          <w:szCs w:val="32"/>
          <w:highlight w:val="none"/>
          <w:lang w:eastAsia="zh-CN"/>
        </w:rPr>
        <w:t>建设，</w:t>
      </w:r>
      <w:r>
        <w:rPr>
          <w:rFonts w:hint="default" w:ascii="Times New Roman" w:hAnsi="Times New Roman" w:eastAsia="仿宋_GB2312" w:cs="Times New Roman"/>
          <w:b w:val="0"/>
          <w:bCs/>
          <w:color w:val="auto"/>
          <w:sz w:val="32"/>
          <w:szCs w:val="32"/>
          <w:highlight w:val="none"/>
          <w:lang w:val="en-US" w:eastAsia="zh-CN"/>
        </w:rPr>
        <w:t>支持民营企业参与全面加强基础设施建设，引导民营资本参与新型城镇化、交通水利等领域重大项目建设</w:t>
      </w:r>
      <w:r>
        <w:rPr>
          <w:rFonts w:hint="default" w:ascii="Times New Roman" w:hAnsi="Times New Roman" w:eastAsia="仿宋_GB2312" w:cs="Times New Roman"/>
          <w:b w:val="0"/>
          <w:bCs w:val="0"/>
          <w:color w:val="auto"/>
          <w:spacing w:val="0"/>
          <w:w w:val="100"/>
          <w:sz w:val="32"/>
          <w:szCs w:val="32"/>
          <w:highlight w:val="none"/>
        </w:rPr>
        <w:t>。</w:t>
      </w:r>
      <w:r>
        <w:rPr>
          <w:rFonts w:hint="default" w:ascii="Times New Roman" w:hAnsi="Times New Roman" w:eastAsia="仿宋_GB2312" w:cs="Times New Roman"/>
          <w:color w:val="auto"/>
          <w:sz w:val="32"/>
          <w:szCs w:val="32"/>
          <w:highlight w:val="none"/>
          <w:lang w:val="en-US" w:eastAsia="zh-CN"/>
        </w:rPr>
        <w:t>推动更多符合条件的民间投资项目发行基础设施领域不动产投资信托基金（REITs）。规范实施政府和社会资本合作（PPP）新机制，最大程度鼓励民营企业参与。推动信阳“茶菜水”民营企业深入植入文旅业态，融合发展、相互赋能，</w:t>
      </w:r>
      <w:r>
        <w:rPr>
          <w:rFonts w:hint="default" w:ascii="Times New Roman" w:hAnsi="Times New Roman" w:eastAsia="仿宋_GB2312" w:cs="Times New Roman"/>
          <w:b w:val="0"/>
          <w:bCs/>
          <w:color w:val="auto"/>
          <w:sz w:val="32"/>
          <w:szCs w:val="32"/>
          <w:highlight w:val="none"/>
          <w:lang w:val="en-US" w:eastAsia="zh-CN"/>
        </w:rPr>
        <w:t>培育壮大一批民营文化和旅游企业。</w:t>
      </w:r>
      <w:r>
        <w:rPr>
          <w:rFonts w:hint="default" w:ascii="Times New Roman" w:hAnsi="Times New Roman" w:eastAsia="仿宋_GB2312" w:cs="Times New Roman"/>
          <w:color w:val="auto"/>
          <w:sz w:val="32"/>
          <w:szCs w:val="32"/>
          <w:highlight w:val="none"/>
          <w:lang w:val="en-US" w:eastAsia="zh-CN"/>
        </w:rPr>
        <w:t>鼓励民间资本参与落实加快大别山革命老区振兴、推动淮河生态经济带高质量发展等重大战略。支持民间资本围绕落实市委市政府工作布局谋划项目、投资建设。</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发展改革委、</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工信</w:t>
      </w:r>
      <w:r>
        <w:rPr>
          <w:rFonts w:hint="default" w:ascii="Times New Roman" w:hAnsi="Times New Roman" w:eastAsia="楷体_GB2312" w:cs="Times New Roman"/>
          <w:b w:val="0"/>
          <w:bCs w:val="0"/>
          <w:color w:val="auto"/>
          <w:spacing w:val="0"/>
          <w:w w:val="100"/>
          <w:sz w:val="32"/>
          <w:szCs w:val="32"/>
          <w:highlight w:val="none"/>
          <w:lang w:eastAsia="zh-CN"/>
        </w:rPr>
        <w:t>局</w:t>
      </w:r>
      <w:r>
        <w:rPr>
          <w:rFonts w:hint="default" w:ascii="Times New Roman" w:hAnsi="Times New Roman" w:eastAsia="楷体_GB2312" w:cs="Times New Roman"/>
          <w:b w:val="0"/>
          <w:bCs w:val="0"/>
          <w:color w:val="auto"/>
          <w:spacing w:val="0"/>
          <w:w w:val="100"/>
          <w:sz w:val="32"/>
          <w:szCs w:val="32"/>
          <w:highlight w:val="none"/>
        </w:rPr>
        <w:t>、</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住建</w:t>
      </w:r>
      <w:r>
        <w:rPr>
          <w:rFonts w:hint="default" w:ascii="Times New Roman" w:hAnsi="Times New Roman" w:eastAsia="楷体_GB2312" w:cs="Times New Roman"/>
          <w:b w:val="0"/>
          <w:bCs w:val="0"/>
          <w:color w:val="auto"/>
          <w:spacing w:val="0"/>
          <w:w w:val="100"/>
          <w:sz w:val="32"/>
          <w:szCs w:val="32"/>
          <w:highlight w:val="none"/>
          <w:lang w:eastAsia="zh-CN"/>
        </w:rPr>
        <w:t>局</w:t>
      </w:r>
      <w:r>
        <w:rPr>
          <w:rFonts w:hint="default" w:ascii="Times New Roman" w:hAnsi="Times New Roman" w:eastAsia="楷体_GB2312" w:cs="Times New Roman"/>
          <w:b w:val="0"/>
          <w:bCs w:val="0"/>
          <w:color w:val="auto"/>
          <w:spacing w:val="0"/>
          <w:w w:val="100"/>
          <w:sz w:val="32"/>
          <w:szCs w:val="32"/>
          <w:highlight w:val="none"/>
        </w:rPr>
        <w:t>、</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交通运输</w:t>
      </w:r>
      <w:r>
        <w:rPr>
          <w:rFonts w:hint="default" w:ascii="Times New Roman" w:hAnsi="Times New Roman" w:eastAsia="楷体_GB2312" w:cs="Times New Roman"/>
          <w:b w:val="0"/>
          <w:bCs w:val="0"/>
          <w:color w:val="auto"/>
          <w:spacing w:val="0"/>
          <w:w w:val="100"/>
          <w:sz w:val="32"/>
          <w:szCs w:val="32"/>
          <w:highlight w:val="none"/>
          <w:lang w:eastAsia="zh-CN"/>
        </w:rPr>
        <w:t>局</w:t>
      </w:r>
      <w:r>
        <w:rPr>
          <w:rFonts w:hint="default" w:ascii="Times New Roman" w:hAnsi="Times New Roman" w:eastAsia="楷体_GB2312" w:cs="Times New Roman"/>
          <w:b w:val="0"/>
          <w:bCs w:val="0"/>
          <w:color w:val="auto"/>
          <w:spacing w:val="0"/>
          <w:w w:val="100"/>
          <w:sz w:val="32"/>
          <w:szCs w:val="32"/>
          <w:highlight w:val="none"/>
        </w:rPr>
        <w:t>、</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水利</w:t>
      </w:r>
      <w:r>
        <w:rPr>
          <w:rFonts w:hint="default" w:ascii="Times New Roman" w:hAnsi="Times New Roman" w:eastAsia="楷体_GB2312" w:cs="Times New Roman"/>
          <w:b w:val="0"/>
          <w:bCs w:val="0"/>
          <w:color w:val="auto"/>
          <w:spacing w:val="0"/>
          <w:w w:val="100"/>
          <w:sz w:val="32"/>
          <w:szCs w:val="32"/>
          <w:highlight w:val="none"/>
          <w:lang w:eastAsia="zh-CN"/>
        </w:rPr>
        <w:t>局</w:t>
      </w:r>
      <w:r>
        <w:rPr>
          <w:rFonts w:hint="default" w:ascii="Times New Roman" w:hAnsi="Times New Roman" w:eastAsia="楷体_GB2312" w:cs="Times New Roman"/>
          <w:b w:val="0"/>
          <w:bCs w:val="0"/>
          <w:color w:val="auto"/>
          <w:spacing w:val="0"/>
          <w:w w:val="100"/>
          <w:sz w:val="32"/>
          <w:szCs w:val="32"/>
          <w:highlight w:val="none"/>
        </w:rPr>
        <w:t>等按职责分工负责</w:t>
      </w:r>
      <w:r>
        <w:rPr>
          <w:rFonts w:hint="default" w:ascii="Times New Roman" w:hAnsi="Times New Roman" w:eastAsia="楷体_GB2312" w:cs="Times New Roman"/>
          <w:b w:val="0"/>
          <w:bCs w:val="0"/>
          <w:color w:val="auto"/>
          <w:spacing w:val="0"/>
          <w:w w:val="100"/>
          <w:sz w:val="32"/>
          <w:szCs w:val="32"/>
          <w:highlight w:val="none"/>
          <w:lang w:eastAsia="zh-CN"/>
        </w:rPr>
        <w:t>）</w:t>
      </w:r>
    </w:p>
    <w:p w14:paraId="454E8C4B">
      <w:pPr>
        <w:pStyle w:val="2"/>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43" w:firstLineChars="200"/>
        <w:jc w:val="both"/>
        <w:textAlignment w:val="baseline"/>
        <w:rPr>
          <w:rFonts w:hint="default" w:ascii="Times New Roman" w:hAnsi="Times New Roman" w:cs="Times New Roman"/>
          <w:color w:val="auto"/>
          <w:sz w:val="32"/>
          <w:szCs w:val="32"/>
          <w:lang w:val="en-US" w:eastAsia="zh-CN"/>
        </w:rPr>
      </w:pPr>
      <w:r>
        <w:rPr>
          <w:rFonts w:hint="default" w:ascii="Times New Roman" w:hAnsi="Times New Roman" w:eastAsia="仿宋_GB2312" w:cs="Times New Roman"/>
          <w:b/>
          <w:bCs/>
          <w:snapToGrid w:val="0"/>
          <w:color w:val="auto"/>
          <w:spacing w:val="0"/>
          <w:w w:val="100"/>
          <w:kern w:val="0"/>
          <w:sz w:val="32"/>
          <w:szCs w:val="32"/>
          <w:highlight w:val="none"/>
          <w:lang w:val="en-US" w:eastAsia="zh-CN" w:bidi="ar-SA"/>
        </w:rPr>
        <w:t>3.帮助民营企业出海拓市场。</w:t>
      </w:r>
      <w:r>
        <w:rPr>
          <w:rFonts w:hint="default" w:ascii="Times New Roman" w:hAnsi="Times New Roman" w:eastAsia="仿宋_GB2312" w:cs="Times New Roman"/>
          <w:snapToGrid w:val="0"/>
          <w:color w:val="auto"/>
          <w:kern w:val="0"/>
          <w:sz w:val="32"/>
          <w:szCs w:val="32"/>
          <w:highlight w:val="none"/>
          <w:lang w:val="en-US" w:eastAsia="zh-CN" w:bidi="ar-SA"/>
        </w:rPr>
        <w:t>加强出海民营企业重点项目培育，嫁接国有企业、上市公司等合作资源，积极探索链式出海，促进大中小企业融通发展。</w:t>
      </w:r>
      <w:r>
        <w:rPr>
          <w:rFonts w:hint="default" w:ascii="Times New Roman" w:hAnsi="Times New Roman" w:eastAsia="仿宋_GB2312" w:cs="Times New Roman"/>
          <w:b w:val="0"/>
          <w:bCs w:val="0"/>
          <w:color w:val="auto"/>
          <w:spacing w:val="0"/>
          <w:w w:val="100"/>
          <w:sz w:val="32"/>
          <w:szCs w:val="32"/>
          <w:highlight w:val="none"/>
        </w:rPr>
        <w:t>鼓励民营企业参与共建“一带一路”，有序参与境外项目。加强民营企业境外合规经营和风险防控培训，不断提升民营企业“走出去”的能力和水平，丰富市场开拓、展会信息、办事指南等服务。帮助企业用好用足自贸协定政策红利，</w:t>
      </w:r>
      <w:r>
        <w:rPr>
          <w:rFonts w:hint="default" w:ascii="Times New Roman" w:hAnsi="Times New Roman" w:eastAsia="仿宋_GB2312" w:cs="Times New Roman"/>
          <w:b w:val="0"/>
          <w:bCs w:val="0"/>
          <w:color w:val="auto"/>
          <w:spacing w:val="0"/>
          <w:w w:val="100"/>
          <w:sz w:val="32"/>
          <w:szCs w:val="32"/>
          <w:highlight w:val="none"/>
          <w:lang w:val="en-US" w:eastAsia="zh-CN"/>
        </w:rPr>
        <w:t>加强</w:t>
      </w:r>
      <w:r>
        <w:rPr>
          <w:rFonts w:hint="default" w:ascii="Times New Roman" w:hAnsi="Times New Roman" w:eastAsia="仿宋_GB2312" w:cs="Times New Roman"/>
          <w:color w:val="auto"/>
          <w:sz w:val="32"/>
          <w:szCs w:val="32"/>
          <w:highlight w:val="none"/>
          <w:lang w:val="en-US" w:eastAsia="zh-CN"/>
        </w:rPr>
        <w:t>民营企业境外合规经营和风险防控培训，</w:t>
      </w:r>
      <w:r>
        <w:rPr>
          <w:rFonts w:hint="default" w:ascii="Times New Roman" w:hAnsi="Times New Roman" w:eastAsia="仿宋_GB2312" w:cs="Times New Roman"/>
          <w:snapToGrid w:val="0"/>
          <w:color w:val="auto"/>
          <w:kern w:val="0"/>
          <w:sz w:val="32"/>
          <w:szCs w:val="32"/>
          <w:highlight w:val="none"/>
          <w:lang w:val="en-US" w:eastAsia="zh-CN" w:bidi="ar-SA"/>
        </w:rPr>
        <w:t>认真抓好外经企业海外安全风险防控。</w:t>
      </w:r>
      <w:r>
        <w:rPr>
          <w:rFonts w:hint="default" w:ascii="Times New Roman" w:hAnsi="Times New Roman" w:eastAsia="仿宋_GB2312" w:cs="Times New Roman"/>
          <w:color w:val="auto"/>
          <w:sz w:val="32"/>
          <w:szCs w:val="32"/>
          <w:highlight w:val="none"/>
        </w:rPr>
        <w:t>组织企业参加境外展会和经贸交流活动，优先</w:t>
      </w:r>
      <w:r>
        <w:rPr>
          <w:rFonts w:hint="default" w:ascii="Times New Roman" w:hAnsi="Times New Roman" w:eastAsia="仿宋_GB2312" w:cs="Times New Roman"/>
          <w:color w:val="auto"/>
          <w:sz w:val="32"/>
          <w:szCs w:val="32"/>
          <w:highlight w:val="none"/>
          <w:lang w:eastAsia="zh-CN"/>
        </w:rPr>
        <w:t>为民营企业</w:t>
      </w:r>
      <w:r>
        <w:rPr>
          <w:rFonts w:hint="default" w:ascii="Times New Roman" w:hAnsi="Times New Roman" w:eastAsia="仿宋_GB2312" w:cs="Times New Roman"/>
          <w:color w:val="auto"/>
          <w:sz w:val="32"/>
          <w:szCs w:val="32"/>
          <w:highlight w:val="none"/>
        </w:rPr>
        <w:t>推送国际性展会名录，帮助企业获取优质展位，对参加国际性专业展会的小微企业净展位费和人员机票费用给予分档支持。</w:t>
      </w:r>
      <w:r>
        <w:rPr>
          <w:rFonts w:hint="default" w:ascii="Times New Roman" w:hAnsi="Times New Roman" w:eastAsia="仿宋_GB2312" w:cs="Times New Roman"/>
          <w:b w:val="0"/>
          <w:bCs w:val="0"/>
          <w:color w:val="auto"/>
          <w:spacing w:val="0"/>
          <w:w w:val="100"/>
          <w:sz w:val="32"/>
          <w:szCs w:val="32"/>
          <w:highlight w:val="none"/>
        </w:rPr>
        <w:t>深化拓展“单一窗口”一站式跨境贸易综合服务，鼓励、支持企业布局建设保税仓库（海外仓）。</w:t>
      </w:r>
      <w:r>
        <w:rPr>
          <w:rFonts w:hint="default" w:ascii="Times New Roman" w:hAnsi="Times New Roman" w:eastAsia="仿宋_GB2312" w:cs="Times New Roman"/>
          <w:color w:val="auto"/>
          <w:sz w:val="32"/>
          <w:szCs w:val="32"/>
          <w:highlight w:val="none"/>
          <w:lang w:eastAsia="zh-CN"/>
        </w:rPr>
        <w:t>降低口岸、综合保税区等物流仓储成本，支持民营企业线上线下拓展海外市场。</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商务</w:t>
      </w:r>
      <w:r>
        <w:rPr>
          <w:rFonts w:hint="default" w:ascii="Times New Roman" w:hAnsi="Times New Roman" w:eastAsia="楷体_GB2312" w:cs="Times New Roman"/>
          <w:b w:val="0"/>
          <w:bCs w:val="0"/>
          <w:color w:val="auto"/>
          <w:spacing w:val="0"/>
          <w:w w:val="100"/>
          <w:sz w:val="32"/>
          <w:szCs w:val="32"/>
          <w:highlight w:val="none"/>
          <w:lang w:eastAsia="zh-CN"/>
        </w:rPr>
        <w:t>局</w:t>
      </w:r>
      <w:r>
        <w:rPr>
          <w:rFonts w:hint="default" w:ascii="Times New Roman" w:hAnsi="Times New Roman" w:eastAsia="楷体_GB2312" w:cs="Times New Roman"/>
          <w:b w:val="0"/>
          <w:bCs w:val="0"/>
          <w:color w:val="auto"/>
          <w:spacing w:val="0"/>
          <w:w w:val="100"/>
          <w:sz w:val="32"/>
          <w:szCs w:val="32"/>
          <w:highlight w:val="none"/>
        </w:rPr>
        <w:t>、</w:t>
      </w:r>
      <w:r>
        <w:rPr>
          <w:rFonts w:hint="default" w:ascii="Times New Roman" w:hAnsi="Times New Roman" w:eastAsia="楷体_GB2312" w:cs="Times New Roman"/>
          <w:b w:val="0"/>
          <w:bCs w:val="0"/>
          <w:color w:val="auto"/>
          <w:spacing w:val="0"/>
          <w:w w:val="100"/>
          <w:sz w:val="32"/>
          <w:szCs w:val="32"/>
          <w:highlight w:val="none"/>
          <w:lang w:eastAsia="zh-CN"/>
        </w:rPr>
        <w:t>市</w:t>
      </w:r>
      <w:r>
        <w:rPr>
          <w:rFonts w:hint="default" w:ascii="Times New Roman" w:hAnsi="Times New Roman" w:eastAsia="楷体_GB2312" w:cs="Times New Roman"/>
          <w:b w:val="0"/>
          <w:bCs w:val="0"/>
          <w:color w:val="auto"/>
          <w:spacing w:val="0"/>
          <w:w w:val="100"/>
          <w:sz w:val="32"/>
          <w:szCs w:val="32"/>
          <w:highlight w:val="none"/>
        </w:rPr>
        <w:t>发展改革委等按职责分工负责</w:t>
      </w:r>
      <w:r>
        <w:rPr>
          <w:rFonts w:hint="default" w:ascii="Times New Roman" w:hAnsi="Times New Roman" w:eastAsia="楷体_GB2312" w:cs="Times New Roman"/>
          <w:b w:val="0"/>
          <w:bCs w:val="0"/>
          <w:color w:val="auto"/>
          <w:spacing w:val="0"/>
          <w:w w:val="100"/>
          <w:sz w:val="32"/>
          <w:szCs w:val="32"/>
          <w:highlight w:val="none"/>
          <w:lang w:eastAsia="zh-CN"/>
        </w:rPr>
        <w:t>）</w:t>
      </w:r>
    </w:p>
    <w:p w14:paraId="439ADC62">
      <w:pPr>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40" w:firstLineChars="200"/>
        <w:jc w:val="both"/>
        <w:textAlignment w:val="baseline"/>
        <w:outlineLvl w:val="1"/>
        <w:rPr>
          <w:rFonts w:hint="default" w:ascii="Times New Roman" w:hAnsi="Times New Roman" w:eastAsia="黑体" w:cs="Times New Roman"/>
          <w:b w:val="0"/>
          <w:bCs w:val="0"/>
          <w:color w:val="auto"/>
          <w:spacing w:val="0"/>
          <w:w w:val="100"/>
          <w:sz w:val="32"/>
          <w:szCs w:val="32"/>
          <w:highlight w:val="none"/>
          <w:lang w:eastAsia="zh-CN"/>
        </w:rPr>
      </w:pPr>
      <w:r>
        <w:rPr>
          <w:rFonts w:hint="default" w:ascii="Times New Roman" w:hAnsi="Times New Roman" w:eastAsia="黑体" w:cs="Times New Roman"/>
          <w:b w:val="0"/>
          <w:bCs w:val="0"/>
          <w:color w:val="auto"/>
          <w:spacing w:val="0"/>
          <w:w w:val="100"/>
          <w:sz w:val="32"/>
          <w:szCs w:val="32"/>
          <w:highlight w:val="none"/>
          <w:lang w:eastAsia="zh-CN"/>
        </w:rPr>
        <w:t>三</w:t>
      </w:r>
      <w:r>
        <w:rPr>
          <w:rFonts w:hint="default" w:ascii="Times New Roman" w:hAnsi="Times New Roman" w:eastAsia="黑体" w:cs="Times New Roman"/>
          <w:b w:val="0"/>
          <w:bCs w:val="0"/>
          <w:color w:val="auto"/>
          <w:spacing w:val="0"/>
          <w:w w:val="100"/>
          <w:sz w:val="32"/>
          <w:szCs w:val="32"/>
          <w:highlight w:val="none"/>
        </w:rPr>
        <w:t>、</w:t>
      </w:r>
      <w:r>
        <w:rPr>
          <w:rFonts w:hint="default" w:ascii="Times New Roman" w:hAnsi="Times New Roman" w:eastAsia="黑体" w:cs="Times New Roman"/>
          <w:b w:val="0"/>
          <w:bCs w:val="0"/>
          <w:color w:val="auto"/>
          <w:spacing w:val="0"/>
          <w:w w:val="100"/>
          <w:sz w:val="32"/>
          <w:szCs w:val="32"/>
          <w:highlight w:val="none"/>
          <w:lang w:eastAsia="zh-CN"/>
        </w:rPr>
        <w:t>组织保障</w:t>
      </w:r>
    </w:p>
    <w:p w14:paraId="676FB21A">
      <w:pPr>
        <w:pStyle w:val="2"/>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43" w:firstLineChars="200"/>
        <w:jc w:val="both"/>
        <w:textAlignment w:val="baseline"/>
        <w:rPr>
          <w:rFonts w:hint="default" w:ascii="Times New Roman" w:hAnsi="Times New Roman" w:eastAsia="仿宋_GB2312" w:cs="Times New Roman"/>
          <w:b w:val="0"/>
          <w:bCs w:val="0"/>
          <w:color w:val="auto"/>
          <w:spacing w:val="0"/>
          <w:w w:val="100"/>
          <w:sz w:val="32"/>
          <w:szCs w:val="32"/>
          <w:highlight w:val="none"/>
        </w:rPr>
      </w:pPr>
      <w:r>
        <w:rPr>
          <w:rFonts w:hint="default" w:ascii="Times New Roman" w:hAnsi="Times New Roman" w:eastAsia="楷体_GB2312" w:cs="Times New Roman"/>
          <w:b/>
          <w:bCs/>
          <w:snapToGrid w:val="0"/>
          <w:color w:val="auto"/>
          <w:spacing w:val="0"/>
          <w:w w:val="100"/>
          <w:kern w:val="0"/>
          <w:sz w:val="32"/>
          <w:szCs w:val="32"/>
          <w:highlight w:val="none"/>
          <w:lang w:val="en-US" w:eastAsia="zh-CN" w:bidi="ar-SA"/>
        </w:rPr>
        <w:t>（一）全面加强组织领导。</w:t>
      </w:r>
      <w:r>
        <w:rPr>
          <w:rFonts w:hint="default" w:ascii="Times New Roman" w:hAnsi="Times New Roman" w:eastAsia="仿宋_GB2312" w:cs="Times New Roman"/>
          <w:b w:val="0"/>
          <w:bCs w:val="0"/>
          <w:color w:val="auto"/>
          <w:spacing w:val="0"/>
          <w:w w:val="100"/>
          <w:sz w:val="32"/>
          <w:szCs w:val="32"/>
          <w:highlight w:val="none"/>
        </w:rPr>
        <w:t>坚持把党的领导落实到工作全过程各方面</w:t>
      </w:r>
      <w:r>
        <w:rPr>
          <w:rFonts w:hint="default" w:ascii="Times New Roman" w:hAnsi="Times New Roman" w:eastAsia="仿宋_GB2312" w:cs="Times New Roman"/>
          <w:b w:val="0"/>
          <w:bCs w:val="0"/>
          <w:color w:val="auto"/>
          <w:spacing w:val="0"/>
          <w:w w:val="100"/>
          <w:sz w:val="32"/>
          <w:szCs w:val="32"/>
          <w:highlight w:val="none"/>
          <w:lang w:eastAsia="zh-CN"/>
        </w:rPr>
        <w:t>，成立市</w:t>
      </w:r>
      <w:r>
        <w:rPr>
          <w:rFonts w:hint="default" w:ascii="Times New Roman" w:hAnsi="Times New Roman" w:eastAsia="仿宋_GB2312" w:cs="Times New Roman"/>
          <w:b w:val="0"/>
          <w:bCs w:val="0"/>
          <w:color w:val="auto"/>
          <w:spacing w:val="0"/>
          <w:w w:val="100"/>
          <w:sz w:val="32"/>
          <w:szCs w:val="32"/>
          <w:highlight w:val="none"/>
        </w:rPr>
        <w:t>促进民营经济高质量发展工作</w:t>
      </w:r>
      <w:r>
        <w:rPr>
          <w:rFonts w:hint="default" w:ascii="Times New Roman" w:hAnsi="Times New Roman" w:eastAsia="仿宋_GB2312" w:cs="Times New Roman"/>
          <w:b w:val="0"/>
          <w:bCs w:val="0"/>
          <w:color w:val="auto"/>
          <w:spacing w:val="0"/>
          <w:w w:val="100"/>
          <w:sz w:val="32"/>
          <w:szCs w:val="32"/>
          <w:highlight w:val="none"/>
          <w:lang w:eastAsia="zh-CN"/>
        </w:rPr>
        <w:t>专班</w:t>
      </w:r>
      <w:r>
        <w:rPr>
          <w:rFonts w:hint="default" w:ascii="Times New Roman" w:hAnsi="Times New Roman" w:eastAsia="仿宋_GB2312" w:cs="Times New Roman"/>
          <w:b w:val="0"/>
          <w:bCs w:val="0"/>
          <w:color w:val="auto"/>
          <w:spacing w:val="0"/>
          <w:w w:val="100"/>
          <w:sz w:val="32"/>
          <w:szCs w:val="32"/>
          <w:highlight w:val="none"/>
        </w:rPr>
        <w:t>，</w:t>
      </w:r>
      <w:r>
        <w:rPr>
          <w:rFonts w:hint="default" w:ascii="Times New Roman" w:hAnsi="Times New Roman" w:eastAsia="仿宋_GB2312" w:cs="Times New Roman"/>
          <w:b w:val="0"/>
          <w:bCs w:val="0"/>
          <w:color w:val="auto"/>
          <w:spacing w:val="0"/>
          <w:w w:val="100"/>
          <w:sz w:val="32"/>
          <w:szCs w:val="32"/>
          <w:highlight w:val="none"/>
          <w:lang w:eastAsia="zh-CN"/>
        </w:rPr>
        <w:t>高位推动促进民营经济高质量发展工作，机制化安排部署重点工作和重大事项，明确和压实部门责任，加强协同配合，形成工作合力。各县区各部门要充分认识促进民营经济高质量发展的重要性，</w:t>
      </w:r>
      <w:r>
        <w:rPr>
          <w:rFonts w:hint="default" w:ascii="Times New Roman" w:hAnsi="Times New Roman" w:eastAsia="仿宋_GB2312" w:cs="Times New Roman"/>
          <w:b w:val="0"/>
          <w:bCs w:val="0"/>
          <w:color w:val="auto"/>
          <w:spacing w:val="0"/>
          <w:w w:val="100"/>
          <w:sz w:val="32"/>
          <w:szCs w:val="32"/>
          <w:highlight w:val="none"/>
        </w:rPr>
        <w:t>不折不扣落实促进民营经济发展的各项政策措施</w:t>
      </w:r>
      <w:r>
        <w:rPr>
          <w:rFonts w:hint="default" w:ascii="Times New Roman" w:hAnsi="Times New Roman" w:eastAsia="仿宋_GB2312" w:cs="Times New Roman"/>
          <w:b w:val="0"/>
          <w:bCs w:val="0"/>
          <w:color w:val="auto"/>
          <w:spacing w:val="0"/>
          <w:w w:val="100"/>
          <w:sz w:val="32"/>
          <w:szCs w:val="32"/>
          <w:highlight w:val="none"/>
          <w:lang w:eastAsia="zh-CN"/>
        </w:rPr>
        <w:t>，持续优化稳定公平透明可预期的发展环境，积极引导民营企业加快提升发展质效</w:t>
      </w:r>
      <w:r>
        <w:rPr>
          <w:rFonts w:hint="default" w:ascii="Times New Roman" w:hAnsi="Times New Roman" w:eastAsia="仿宋_GB2312" w:cs="Times New Roman"/>
          <w:b w:val="0"/>
          <w:bCs w:val="0"/>
          <w:color w:val="auto"/>
          <w:spacing w:val="0"/>
          <w:w w:val="100"/>
          <w:sz w:val="32"/>
          <w:szCs w:val="32"/>
          <w:highlight w:val="none"/>
        </w:rPr>
        <w:t>。</w:t>
      </w:r>
    </w:p>
    <w:p w14:paraId="0807869E">
      <w:pPr>
        <w:pStyle w:val="2"/>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43" w:firstLineChars="200"/>
        <w:jc w:val="both"/>
        <w:textAlignment w:val="baseline"/>
        <w:rPr>
          <w:rFonts w:hint="default" w:ascii="Times New Roman" w:hAnsi="Times New Roman" w:eastAsia="仿宋_GB2312" w:cs="Times New Roman"/>
          <w:b w:val="0"/>
          <w:bCs w:val="0"/>
          <w:color w:val="auto"/>
          <w:spacing w:val="0"/>
          <w:w w:val="100"/>
          <w:sz w:val="32"/>
          <w:szCs w:val="32"/>
          <w:highlight w:val="none"/>
        </w:rPr>
      </w:pPr>
      <w:r>
        <w:rPr>
          <w:rFonts w:hint="default" w:ascii="Times New Roman" w:hAnsi="Times New Roman" w:eastAsia="楷体_GB2312" w:cs="Times New Roman"/>
          <w:b/>
          <w:bCs/>
          <w:snapToGrid w:val="0"/>
          <w:color w:val="auto"/>
          <w:spacing w:val="0"/>
          <w:w w:val="100"/>
          <w:kern w:val="0"/>
          <w:sz w:val="32"/>
          <w:szCs w:val="32"/>
          <w:highlight w:val="none"/>
          <w:lang w:val="en-US" w:eastAsia="zh-CN" w:bidi="ar-SA"/>
        </w:rPr>
        <w:t>（二）完善工作推进机制。</w:t>
      </w:r>
      <w:r>
        <w:rPr>
          <w:rFonts w:hint="default" w:ascii="Times New Roman" w:hAnsi="Times New Roman" w:eastAsia="仿宋_GB2312" w:cs="Times New Roman"/>
          <w:b w:val="0"/>
          <w:bCs w:val="0"/>
          <w:color w:val="auto"/>
          <w:spacing w:val="0"/>
          <w:w w:val="100"/>
          <w:sz w:val="32"/>
          <w:szCs w:val="32"/>
          <w:highlight w:val="none"/>
          <w:lang w:eastAsia="zh-CN"/>
        </w:rPr>
        <w:t>各县区各部门</w:t>
      </w:r>
      <w:r>
        <w:rPr>
          <w:rFonts w:hint="default" w:ascii="Times New Roman" w:hAnsi="Times New Roman" w:eastAsia="仿宋_GB2312" w:cs="Times New Roman"/>
          <w:b w:val="0"/>
          <w:bCs w:val="0"/>
          <w:color w:val="auto"/>
          <w:spacing w:val="0"/>
          <w:w w:val="100"/>
          <w:sz w:val="32"/>
          <w:szCs w:val="32"/>
          <w:highlight w:val="none"/>
        </w:rPr>
        <w:t>要健全多层次政企常态化沟通机制，定期了解</w:t>
      </w:r>
      <w:r>
        <w:rPr>
          <w:rFonts w:hint="default" w:ascii="Times New Roman" w:hAnsi="Times New Roman" w:eastAsia="仿宋_GB2312" w:cs="Times New Roman"/>
          <w:color w:val="auto"/>
          <w:spacing w:val="0"/>
          <w:w w:val="100"/>
          <w:position w:val="0"/>
          <w:sz w:val="32"/>
          <w:szCs w:val="32"/>
          <w:highlight w:val="none"/>
        </w:rPr>
        <w:t>民营经营主体</w:t>
      </w:r>
      <w:r>
        <w:rPr>
          <w:rFonts w:hint="default" w:ascii="Times New Roman" w:hAnsi="Times New Roman" w:eastAsia="仿宋_GB2312" w:cs="Times New Roman"/>
          <w:b w:val="0"/>
          <w:bCs w:val="0"/>
          <w:color w:val="auto"/>
          <w:spacing w:val="0"/>
          <w:w w:val="100"/>
          <w:sz w:val="32"/>
          <w:szCs w:val="32"/>
          <w:highlight w:val="none"/>
        </w:rPr>
        <w:t>发展情况、听取民营企业意见、健全问题诉求办理机制。持续深化</w:t>
      </w:r>
      <w:r>
        <w:rPr>
          <w:rFonts w:hint="default" w:ascii="Times New Roman" w:hAnsi="Times New Roman" w:eastAsia="仿宋_GB2312" w:cs="Times New Roman"/>
          <w:b w:val="0"/>
          <w:bCs w:val="0"/>
          <w:color w:val="auto"/>
          <w:spacing w:val="0"/>
          <w:w w:val="100"/>
          <w:sz w:val="32"/>
          <w:szCs w:val="32"/>
          <w:highlight w:val="none"/>
          <w:lang w:eastAsia="zh-CN"/>
        </w:rPr>
        <w:t>“</w:t>
      </w:r>
      <w:r>
        <w:rPr>
          <w:rFonts w:hint="default" w:ascii="Times New Roman" w:hAnsi="Times New Roman" w:eastAsia="仿宋_GB2312" w:cs="Times New Roman"/>
          <w:b w:val="0"/>
          <w:bCs w:val="0"/>
          <w:color w:val="auto"/>
          <w:spacing w:val="0"/>
          <w:w w:val="100"/>
          <w:sz w:val="32"/>
          <w:szCs w:val="32"/>
          <w:highlight w:val="none"/>
        </w:rPr>
        <w:t>万人助万企</w:t>
      </w:r>
      <w:r>
        <w:rPr>
          <w:rFonts w:hint="default" w:ascii="Times New Roman" w:hAnsi="Times New Roman" w:eastAsia="仿宋_GB2312" w:cs="Times New Roman"/>
          <w:b w:val="0"/>
          <w:bCs w:val="0"/>
          <w:color w:val="auto"/>
          <w:spacing w:val="0"/>
          <w:w w:val="100"/>
          <w:sz w:val="32"/>
          <w:szCs w:val="32"/>
          <w:highlight w:val="none"/>
          <w:lang w:eastAsia="zh-CN"/>
        </w:rPr>
        <w:t>”活动，</w:t>
      </w:r>
      <w:r>
        <w:rPr>
          <w:rFonts w:hint="default" w:ascii="Times New Roman" w:hAnsi="Times New Roman" w:eastAsia="仿宋_GB2312" w:cs="Times New Roman"/>
          <w:b w:val="0"/>
          <w:bCs w:val="0"/>
          <w:color w:val="auto"/>
          <w:spacing w:val="0"/>
          <w:w w:val="100"/>
          <w:sz w:val="32"/>
          <w:szCs w:val="32"/>
          <w:highlight w:val="none"/>
        </w:rPr>
        <w:t>优化企业包联服务</w:t>
      </w:r>
      <w:r>
        <w:rPr>
          <w:rFonts w:hint="default" w:ascii="Times New Roman" w:hAnsi="Times New Roman" w:eastAsia="仿宋_GB2312" w:cs="Times New Roman"/>
          <w:b w:val="0"/>
          <w:bCs w:val="0"/>
          <w:color w:val="auto"/>
          <w:spacing w:val="0"/>
          <w:w w:val="100"/>
          <w:sz w:val="32"/>
          <w:szCs w:val="32"/>
          <w:highlight w:val="none"/>
          <w:lang w:eastAsia="zh-CN"/>
        </w:rPr>
        <w:t>机制</w:t>
      </w:r>
      <w:r>
        <w:rPr>
          <w:rFonts w:hint="default" w:ascii="Times New Roman" w:hAnsi="Times New Roman" w:eastAsia="仿宋_GB2312" w:cs="Times New Roman"/>
          <w:b w:val="0"/>
          <w:bCs w:val="0"/>
          <w:color w:val="auto"/>
          <w:spacing w:val="0"/>
          <w:w w:val="100"/>
          <w:sz w:val="32"/>
          <w:szCs w:val="32"/>
          <w:highlight w:val="none"/>
        </w:rPr>
        <w:t>，进一步提升全链条服务水平。健全支持小微企业融资协调工作机制</w:t>
      </w:r>
      <w:r>
        <w:rPr>
          <w:rFonts w:hint="default" w:ascii="Times New Roman" w:hAnsi="Times New Roman" w:eastAsia="仿宋_GB2312" w:cs="Times New Roman"/>
          <w:b w:val="0"/>
          <w:bCs w:val="0"/>
          <w:color w:val="auto"/>
          <w:spacing w:val="0"/>
          <w:w w:val="100"/>
          <w:sz w:val="32"/>
          <w:szCs w:val="32"/>
          <w:highlight w:val="none"/>
          <w:lang w:eastAsia="zh-CN"/>
        </w:rPr>
        <w:t>，着力解决民营和中小微企业融资难融资贵问题</w:t>
      </w:r>
      <w:r>
        <w:rPr>
          <w:rFonts w:hint="default" w:ascii="Times New Roman" w:hAnsi="Times New Roman" w:eastAsia="仿宋_GB2312" w:cs="Times New Roman"/>
          <w:b w:val="0"/>
          <w:bCs w:val="0"/>
          <w:color w:val="auto"/>
          <w:spacing w:val="0"/>
          <w:w w:val="100"/>
          <w:sz w:val="32"/>
          <w:szCs w:val="32"/>
          <w:highlight w:val="none"/>
        </w:rPr>
        <w:t>。完善民营经济发展统计监测指标体系</w:t>
      </w:r>
      <w:r>
        <w:rPr>
          <w:rFonts w:hint="default" w:ascii="Times New Roman" w:hAnsi="Times New Roman" w:eastAsia="仿宋_GB2312" w:cs="Times New Roman"/>
          <w:b w:val="0"/>
          <w:bCs w:val="0"/>
          <w:color w:val="auto"/>
          <w:spacing w:val="0"/>
          <w:w w:val="100"/>
          <w:sz w:val="32"/>
          <w:szCs w:val="32"/>
          <w:highlight w:val="none"/>
          <w:lang w:eastAsia="zh-CN"/>
        </w:rPr>
        <w:t>，定期形成民营经济运行情况分析报告。</w:t>
      </w:r>
    </w:p>
    <w:p w14:paraId="120D228B">
      <w:pPr>
        <w:pStyle w:val="2"/>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43" w:firstLineChars="200"/>
        <w:jc w:val="both"/>
        <w:textAlignment w:val="baseline"/>
        <w:rPr>
          <w:rFonts w:hint="default" w:ascii="Times New Roman" w:hAnsi="Times New Roman" w:eastAsia="仿宋_GB2312" w:cs="Times New Roman"/>
          <w:b/>
          <w:bCs/>
          <w:color w:val="auto"/>
          <w:spacing w:val="0"/>
          <w:w w:val="100"/>
          <w:sz w:val="32"/>
          <w:szCs w:val="32"/>
          <w:highlight w:val="none"/>
        </w:rPr>
      </w:pPr>
      <w:r>
        <w:rPr>
          <w:rFonts w:hint="default" w:ascii="Times New Roman" w:hAnsi="Times New Roman" w:eastAsia="楷体_GB2312" w:cs="Times New Roman"/>
          <w:b/>
          <w:bCs/>
          <w:snapToGrid w:val="0"/>
          <w:color w:val="auto"/>
          <w:spacing w:val="0"/>
          <w:w w:val="100"/>
          <w:kern w:val="0"/>
          <w:sz w:val="32"/>
          <w:szCs w:val="32"/>
          <w:highlight w:val="none"/>
          <w:lang w:val="en-US" w:eastAsia="zh-CN" w:bidi="ar-SA"/>
        </w:rPr>
        <w:t>（三）加强政策宣传引导。</w:t>
      </w:r>
      <w:r>
        <w:rPr>
          <w:rFonts w:hint="default" w:ascii="Times New Roman" w:hAnsi="Times New Roman" w:eastAsia="仿宋_GB2312" w:cs="Times New Roman"/>
          <w:b w:val="0"/>
          <w:bCs w:val="0"/>
          <w:color w:val="auto"/>
          <w:spacing w:val="0"/>
          <w:w w:val="100"/>
          <w:sz w:val="32"/>
          <w:szCs w:val="32"/>
          <w:highlight w:val="none"/>
          <w:lang w:eastAsia="zh-CN"/>
        </w:rPr>
        <w:t>各县区各部门要加大对促进民营经济发展相关政策的宣传力度</w:t>
      </w:r>
      <w:r>
        <w:rPr>
          <w:rFonts w:hint="default" w:ascii="Times New Roman" w:hAnsi="Times New Roman" w:eastAsia="仿宋_GB2312" w:cs="Times New Roman"/>
          <w:b w:val="0"/>
          <w:bCs w:val="0"/>
          <w:color w:val="auto"/>
          <w:spacing w:val="0"/>
          <w:w w:val="100"/>
          <w:sz w:val="32"/>
          <w:szCs w:val="32"/>
          <w:highlight w:val="none"/>
        </w:rPr>
        <w:t>，</w:t>
      </w:r>
      <w:r>
        <w:rPr>
          <w:rFonts w:hint="default" w:ascii="Times New Roman" w:hAnsi="Times New Roman" w:eastAsia="仿宋_GB2312" w:cs="Times New Roman"/>
          <w:b w:val="0"/>
          <w:bCs w:val="0"/>
          <w:color w:val="auto"/>
          <w:spacing w:val="0"/>
          <w:w w:val="100"/>
          <w:sz w:val="32"/>
          <w:szCs w:val="32"/>
          <w:highlight w:val="none"/>
          <w:lang w:eastAsia="zh-CN"/>
        </w:rPr>
        <w:t>提高政策公众知晓度，帮助民营企业用好用足政策。</w:t>
      </w:r>
      <w:r>
        <w:rPr>
          <w:rFonts w:hint="default" w:ascii="Times New Roman" w:hAnsi="Times New Roman" w:eastAsia="仿宋_GB2312" w:cs="Times New Roman"/>
          <w:b w:val="0"/>
          <w:bCs w:val="0"/>
          <w:color w:val="auto"/>
          <w:spacing w:val="0"/>
          <w:w w:val="100"/>
          <w:sz w:val="32"/>
          <w:szCs w:val="32"/>
          <w:highlight w:val="none"/>
        </w:rPr>
        <w:t>对好的经验做法</w:t>
      </w:r>
      <w:r>
        <w:rPr>
          <w:rFonts w:hint="default" w:ascii="Times New Roman" w:hAnsi="Times New Roman" w:eastAsia="仿宋_GB2312" w:cs="Times New Roman"/>
          <w:b w:val="0"/>
          <w:bCs w:val="0"/>
          <w:color w:val="auto"/>
          <w:spacing w:val="0"/>
          <w:w w:val="100"/>
          <w:sz w:val="32"/>
          <w:szCs w:val="32"/>
          <w:highlight w:val="none"/>
          <w:lang w:eastAsia="zh-CN"/>
        </w:rPr>
        <w:t>要</w:t>
      </w:r>
      <w:r>
        <w:rPr>
          <w:rFonts w:hint="default" w:ascii="Times New Roman" w:hAnsi="Times New Roman" w:eastAsia="仿宋_GB2312" w:cs="Times New Roman"/>
          <w:b w:val="0"/>
          <w:bCs w:val="0"/>
          <w:color w:val="auto"/>
          <w:spacing w:val="0"/>
          <w:w w:val="100"/>
          <w:sz w:val="32"/>
          <w:szCs w:val="32"/>
          <w:highlight w:val="none"/>
        </w:rPr>
        <w:t>予以宣传推广，对在服务民营经济发展工作中作出突出贡献的单位和个人</w:t>
      </w:r>
      <w:r>
        <w:rPr>
          <w:rFonts w:hint="default" w:ascii="Times New Roman" w:hAnsi="Times New Roman" w:eastAsia="仿宋_GB2312" w:cs="Times New Roman"/>
          <w:b w:val="0"/>
          <w:bCs w:val="0"/>
          <w:color w:val="auto"/>
          <w:spacing w:val="0"/>
          <w:w w:val="100"/>
          <w:sz w:val="32"/>
          <w:szCs w:val="32"/>
          <w:highlight w:val="none"/>
          <w:lang w:eastAsia="zh-CN"/>
        </w:rPr>
        <w:t>要</w:t>
      </w:r>
      <w:r>
        <w:rPr>
          <w:rFonts w:hint="default" w:ascii="Times New Roman" w:hAnsi="Times New Roman" w:eastAsia="仿宋_GB2312" w:cs="Times New Roman"/>
          <w:b w:val="0"/>
          <w:bCs w:val="0"/>
          <w:color w:val="auto"/>
          <w:spacing w:val="0"/>
          <w:w w:val="100"/>
          <w:sz w:val="32"/>
          <w:szCs w:val="32"/>
          <w:highlight w:val="none"/>
        </w:rPr>
        <w:t>按照有关规定予以表彰奖励</w:t>
      </w:r>
      <w:r>
        <w:rPr>
          <w:rFonts w:hint="default" w:ascii="Times New Roman" w:hAnsi="Times New Roman" w:eastAsia="仿宋_GB2312" w:cs="Times New Roman"/>
          <w:b w:val="0"/>
          <w:bCs w:val="0"/>
          <w:color w:val="auto"/>
          <w:spacing w:val="0"/>
          <w:w w:val="100"/>
          <w:sz w:val="32"/>
          <w:szCs w:val="32"/>
          <w:highlight w:val="none"/>
          <w:lang w:eastAsia="zh-CN"/>
        </w:rPr>
        <w:t>，</w:t>
      </w:r>
      <w:r>
        <w:rPr>
          <w:rFonts w:hint="default" w:ascii="Times New Roman" w:hAnsi="Times New Roman" w:eastAsia="仿宋_GB2312" w:cs="Times New Roman"/>
          <w:b w:val="0"/>
          <w:bCs w:val="0"/>
          <w:color w:val="auto"/>
          <w:spacing w:val="0"/>
          <w:w w:val="100"/>
          <w:sz w:val="32"/>
          <w:szCs w:val="32"/>
          <w:highlight w:val="none"/>
        </w:rPr>
        <w:t>大力</w:t>
      </w:r>
      <w:r>
        <w:rPr>
          <w:rFonts w:hint="default" w:ascii="Times New Roman" w:hAnsi="Times New Roman" w:eastAsia="仿宋_GB2312" w:cs="Times New Roman"/>
          <w:b w:val="0"/>
          <w:bCs w:val="0"/>
          <w:color w:val="auto"/>
          <w:spacing w:val="0"/>
          <w:w w:val="100"/>
          <w:sz w:val="32"/>
          <w:szCs w:val="32"/>
          <w:highlight w:val="none"/>
          <w:lang w:eastAsia="zh-CN"/>
        </w:rPr>
        <w:t>弘扬和培育企业家精神，</w:t>
      </w:r>
      <w:r>
        <w:rPr>
          <w:rFonts w:hint="default" w:ascii="Times New Roman" w:hAnsi="Times New Roman" w:eastAsia="仿宋_GB2312" w:cs="Times New Roman"/>
          <w:b w:val="0"/>
          <w:bCs w:val="0"/>
          <w:color w:val="auto"/>
          <w:spacing w:val="0"/>
          <w:w w:val="100"/>
          <w:sz w:val="32"/>
          <w:szCs w:val="32"/>
          <w:highlight w:val="none"/>
        </w:rPr>
        <w:t>营造全社会关心支持民营经济发展的良好氛围。</w:t>
      </w:r>
    </w:p>
    <w:sectPr>
      <w:headerReference r:id="rId5" w:type="default"/>
      <w:footerReference r:id="rId6" w:type="default"/>
      <w:pgSz w:w="11900" w:h="16820"/>
      <w:pgMar w:top="2098" w:right="1531" w:bottom="1814" w:left="1531" w:header="0" w:footer="1247" w:gutter="0"/>
      <w:paperSrc/>
      <w:pgNumType w:fmt="decimal"/>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5E33600C-0886-498E-A63D-2E097D4B4108}"/>
  </w:font>
  <w:font w:name="黑体">
    <w:panose1 w:val="02010609060101010101"/>
    <w:charset w:val="86"/>
    <w:family w:val="auto"/>
    <w:pitch w:val="default"/>
    <w:sig w:usb0="800002BF" w:usb1="38CF7CFA" w:usb2="00000016" w:usb3="00000000" w:csb0="00040001" w:csb1="00000000"/>
    <w:embedRegular r:id="rId2" w:fontKey="{D7D988A4-F8B8-44BB-9F20-7E1FF343004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embedRegular r:id="rId3" w:fontKey="{EBF43B46-CF02-4F1E-9B66-406B4F4A1295}"/>
  </w:font>
  <w:font w:name="楷体_GB2312">
    <w:panose1 w:val="02010609030101010101"/>
    <w:charset w:val="86"/>
    <w:family w:val="auto"/>
    <w:pitch w:val="default"/>
    <w:sig w:usb0="00000001" w:usb1="080E0000" w:usb2="00000000" w:usb3="00000000" w:csb0="00040000" w:csb1="00000000"/>
    <w:embedRegular r:id="rId4" w:fontKey="{D51ABBF9-D32D-4283-BE66-C246078ECC1C}"/>
  </w:font>
  <w:font w:name="方正小标宋简体">
    <w:panose1 w:val="02000000000000000000"/>
    <w:charset w:val="86"/>
    <w:family w:val="auto"/>
    <w:pitch w:val="default"/>
    <w:sig w:usb0="00000001" w:usb1="080E0000" w:usb2="00000000" w:usb3="00000000" w:csb0="00040000" w:csb1="00000000"/>
    <w:embedRegular r:id="rId5" w:fontKey="{FEA160FE-84C5-4E85-AF89-C0D7DC3DDA27}"/>
  </w:font>
  <w:font w:name="仿宋_GB2312">
    <w:panose1 w:val="02010609030101010101"/>
    <w:charset w:val="86"/>
    <w:family w:val="auto"/>
    <w:pitch w:val="default"/>
    <w:sig w:usb0="00000001" w:usb1="080E0000" w:usb2="00000000" w:usb3="00000000" w:csb0="00040000" w:csb1="00000000"/>
    <w:embedRegular r:id="rId6" w:fontKey="{9EA4E009-C38D-4060-9733-686E53765C2A}"/>
  </w:font>
  <w:font w:name="方正楷体_GB2312">
    <w:panose1 w:val="02000000000000000000"/>
    <w:charset w:val="86"/>
    <w:family w:val="auto"/>
    <w:pitch w:val="default"/>
    <w:sig w:usb0="A00002BF" w:usb1="184F6CFA" w:usb2="00000012" w:usb3="00000000" w:csb0="00040001" w:csb1="00000000"/>
    <w:embedRegular r:id="rId7" w:fontKey="{CCE25B4D-EBCB-492A-A2C3-A2E63CAAFD09}"/>
  </w:font>
  <w:font w:name="CESI楷体-GB2312">
    <w:altName w:val="楷体_GB2312"/>
    <w:panose1 w:val="02000500000000000000"/>
    <w:charset w:val="86"/>
    <w:family w:val="auto"/>
    <w:pitch w:val="default"/>
    <w:sig w:usb0="00000000" w:usb1="00000000" w:usb2="00000012" w:usb3="00000000" w:csb0="0004000F" w:csb1="00000000"/>
    <w:embedRegular r:id="rId8" w:fontKey="{E5D86105-0004-4A29-9F2A-03FF7F1BBD13}"/>
  </w:font>
  <w:font w:name="楷体">
    <w:panose1 w:val="02010609060101010101"/>
    <w:charset w:val="86"/>
    <w:family w:val="auto"/>
    <w:pitch w:val="default"/>
    <w:sig w:usb0="800002BF" w:usb1="38CF7CFA" w:usb2="00000016" w:usb3="00000000" w:csb0="00040001" w:csb1="00000000"/>
    <w:embedRegular r:id="rId9" w:fontKey="{3E229363-55C9-480B-98E1-61CE7D2575D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481CE7">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F921EC">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8F921EC">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820DEE">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useAltKinsokuLineBreakRules/>
    <w:compatSetting w:name="compatibilityMode" w:uri="http://schemas.microsoft.com/office/word" w:val="14"/>
  </w:compat>
  <w:rsids>
    <w:rsidRoot w:val="00000000"/>
    <w:rsid w:val="079DF509"/>
    <w:rsid w:val="0FDF1833"/>
    <w:rsid w:val="1FBB2B16"/>
    <w:rsid w:val="22A73156"/>
    <w:rsid w:val="2BB59E7B"/>
    <w:rsid w:val="2D7FEC09"/>
    <w:rsid w:val="32DF5098"/>
    <w:rsid w:val="33C972E9"/>
    <w:rsid w:val="377F49D5"/>
    <w:rsid w:val="393727CC"/>
    <w:rsid w:val="3D3E4CB6"/>
    <w:rsid w:val="3D6B79DB"/>
    <w:rsid w:val="3DFB0ECA"/>
    <w:rsid w:val="3F7FFCE0"/>
    <w:rsid w:val="3FFC216F"/>
    <w:rsid w:val="3FFD46DD"/>
    <w:rsid w:val="46FE12BE"/>
    <w:rsid w:val="46FFFE7D"/>
    <w:rsid w:val="47ED8D5A"/>
    <w:rsid w:val="57DFF357"/>
    <w:rsid w:val="57F5F8D0"/>
    <w:rsid w:val="5B7FA9E1"/>
    <w:rsid w:val="5BBBDEBA"/>
    <w:rsid w:val="5C96930C"/>
    <w:rsid w:val="5EDF1F02"/>
    <w:rsid w:val="5FCBB4E7"/>
    <w:rsid w:val="5FDF3F16"/>
    <w:rsid w:val="63DB1A0C"/>
    <w:rsid w:val="63FBBCFF"/>
    <w:rsid w:val="6737EE78"/>
    <w:rsid w:val="67BEC7CA"/>
    <w:rsid w:val="67FD5D80"/>
    <w:rsid w:val="6BF4DCF7"/>
    <w:rsid w:val="6FDD2470"/>
    <w:rsid w:val="6FDF2660"/>
    <w:rsid w:val="75AFD564"/>
    <w:rsid w:val="76DDAD41"/>
    <w:rsid w:val="76FB6C53"/>
    <w:rsid w:val="77FFCBCC"/>
    <w:rsid w:val="7BACCC3D"/>
    <w:rsid w:val="7BDF83B5"/>
    <w:rsid w:val="7BE6D575"/>
    <w:rsid w:val="7BED3A81"/>
    <w:rsid w:val="7BEF66A3"/>
    <w:rsid w:val="7BEF8CCC"/>
    <w:rsid w:val="7BFEAEFB"/>
    <w:rsid w:val="7BFFB3C3"/>
    <w:rsid w:val="7C33D84C"/>
    <w:rsid w:val="7D6D8095"/>
    <w:rsid w:val="7DB74637"/>
    <w:rsid w:val="7DD44C0B"/>
    <w:rsid w:val="7DFB81BA"/>
    <w:rsid w:val="7EE13738"/>
    <w:rsid w:val="7EEBB06D"/>
    <w:rsid w:val="7EF9EB17"/>
    <w:rsid w:val="7F357F27"/>
    <w:rsid w:val="7F7F68D5"/>
    <w:rsid w:val="7FAA38D8"/>
    <w:rsid w:val="7FEF2CD0"/>
    <w:rsid w:val="7FEF4A31"/>
    <w:rsid w:val="7FF7EB88"/>
    <w:rsid w:val="7FF7FBF0"/>
    <w:rsid w:val="7FFD7CB1"/>
    <w:rsid w:val="7FFDE5DC"/>
    <w:rsid w:val="9BF8B89F"/>
    <w:rsid w:val="A5F17684"/>
    <w:rsid w:val="AB9F16DB"/>
    <w:rsid w:val="ABCF2016"/>
    <w:rsid w:val="ADF80801"/>
    <w:rsid w:val="AEEB7067"/>
    <w:rsid w:val="AFF35C78"/>
    <w:rsid w:val="B1BFC088"/>
    <w:rsid w:val="B71B93C6"/>
    <w:rsid w:val="B7976B59"/>
    <w:rsid w:val="B7FE951A"/>
    <w:rsid w:val="BAD1AA53"/>
    <w:rsid w:val="BEFFE251"/>
    <w:rsid w:val="BF6F240E"/>
    <w:rsid w:val="BFF6A010"/>
    <w:rsid w:val="BFF7168D"/>
    <w:rsid w:val="CBFC12C7"/>
    <w:rsid w:val="D9FFC5A9"/>
    <w:rsid w:val="DBED34BC"/>
    <w:rsid w:val="DBF66837"/>
    <w:rsid w:val="DDE7A0FA"/>
    <w:rsid w:val="DDF2B07C"/>
    <w:rsid w:val="DDF39A4D"/>
    <w:rsid w:val="DED7ED30"/>
    <w:rsid w:val="DEFD463C"/>
    <w:rsid w:val="DF6B434A"/>
    <w:rsid w:val="DFADF236"/>
    <w:rsid w:val="E7AF2789"/>
    <w:rsid w:val="E9BD3BDD"/>
    <w:rsid w:val="EDB7ACD2"/>
    <w:rsid w:val="EFDB8727"/>
    <w:rsid w:val="EFDF0902"/>
    <w:rsid w:val="EFEA123F"/>
    <w:rsid w:val="F39F06DF"/>
    <w:rsid w:val="F3F730B1"/>
    <w:rsid w:val="F3FF377D"/>
    <w:rsid w:val="F3FFADBC"/>
    <w:rsid w:val="F5FBA39F"/>
    <w:rsid w:val="F677AA53"/>
    <w:rsid w:val="F7766B7B"/>
    <w:rsid w:val="F7FE5987"/>
    <w:rsid w:val="FB773E3E"/>
    <w:rsid w:val="FB9F10BB"/>
    <w:rsid w:val="FBBFC8B3"/>
    <w:rsid w:val="FC7F35F9"/>
    <w:rsid w:val="FC7F96C2"/>
    <w:rsid w:val="FD7FA052"/>
    <w:rsid w:val="FDDFF893"/>
    <w:rsid w:val="FDFC7B82"/>
    <w:rsid w:val="FDFDC4C7"/>
    <w:rsid w:val="FDFFF12A"/>
    <w:rsid w:val="FEBF283E"/>
    <w:rsid w:val="FEDFBE1A"/>
    <w:rsid w:val="FEFF593C"/>
    <w:rsid w:val="FF7FF7AF"/>
    <w:rsid w:val="FF8FA6BD"/>
    <w:rsid w:val="FF9F24C6"/>
    <w:rsid w:val="FFA97A23"/>
    <w:rsid w:val="FFAB404B"/>
    <w:rsid w:val="FFD72040"/>
    <w:rsid w:val="FFEE8A40"/>
    <w:rsid w:val="FFF90B6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4">
    <w:name w:val="heading 2"/>
    <w:basedOn w:val="1"/>
    <w:next w:val="1"/>
    <w:link w:val="11"/>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semiHidden/>
    <w:qFormat/>
    <w:uiPriority w:val="0"/>
    <w:rPr>
      <w:rFonts w:ascii="仿宋" w:hAnsi="仿宋" w:eastAsia="仿宋" w:cs="仿宋"/>
      <w:sz w:val="32"/>
      <w:szCs w:val="32"/>
      <w:lang w:val="en-US" w:eastAsia="en-US" w:bidi="ar-SA"/>
    </w:rPr>
  </w:style>
  <w:style w:type="paragraph" w:styleId="3">
    <w:name w:val="Body Text 2"/>
    <w:basedOn w:val="1"/>
    <w:next w:val="2"/>
    <w:qFormat/>
    <w:uiPriority w:val="0"/>
    <w:pPr>
      <w:adjustRightInd w:val="0"/>
      <w:spacing w:line="360" w:lineRule="auto"/>
      <w:textAlignment w:val="baseline"/>
    </w:pPr>
    <w:rPr>
      <w:rFonts w:ascii="楷体_GB2312" w:eastAsia="楷体_GB2312"/>
      <w:kern w:val="44"/>
      <w:sz w:val="28"/>
      <w:szCs w:val="20"/>
    </w:rPr>
  </w:style>
  <w:style w:type="paragraph" w:styleId="5">
    <w:name w:val="footer"/>
    <w:basedOn w:val="1"/>
    <w:link w:val="10"/>
    <w:qFormat/>
    <w:uiPriority w:val="0"/>
    <w:pPr>
      <w:tabs>
        <w:tab w:val="center" w:pos="4153"/>
        <w:tab w:val="right" w:pos="8306"/>
      </w:tabs>
      <w:snapToGrid w:val="0"/>
      <w:jc w:val="left"/>
    </w:pPr>
    <w:rPr>
      <w:sz w:val="18"/>
    </w:rPr>
  </w:style>
  <w:style w:type="character" w:styleId="8">
    <w:name w:val="Strong"/>
    <w:basedOn w:val="7"/>
    <w:qFormat/>
    <w:uiPriority w:val="0"/>
    <w:rPr>
      <w:b/>
    </w:rPr>
  </w:style>
  <w:style w:type="table" w:customStyle="1" w:styleId="9">
    <w:name w:val="Table Normal"/>
    <w:unhideWhenUsed/>
    <w:qFormat/>
    <w:uiPriority w:val="0"/>
    <w:tblPr>
      <w:tblCellMar>
        <w:top w:w="0" w:type="dxa"/>
        <w:left w:w="0" w:type="dxa"/>
        <w:bottom w:w="0" w:type="dxa"/>
        <w:right w:w="0" w:type="dxa"/>
      </w:tblCellMar>
    </w:tblPr>
  </w:style>
  <w:style w:type="character" w:customStyle="1" w:styleId="10">
    <w:name w:val="页脚 Char"/>
    <w:link w:val="5"/>
    <w:qFormat/>
    <w:uiPriority w:val="0"/>
    <w:rPr>
      <w:sz w:val="18"/>
    </w:rPr>
  </w:style>
  <w:style w:type="character" w:customStyle="1" w:styleId="11">
    <w:name w:val="标题 2 Char"/>
    <w:link w:val="4"/>
    <w:qFormat/>
    <w:uiPriority w:val="0"/>
    <w:rPr>
      <w:rFonts w:ascii="Arial" w:hAnsi="Arial" w:eastAsia="黑体"/>
      <w:b/>
      <w:sz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28</Pages>
  <Words>15317</Words>
  <Characters>15471</Characters>
  <Lines>0</Lines>
  <Paragraphs>0</Paragraphs>
  <TotalTime>4</TotalTime>
  <ScaleCrop>false</ScaleCrop>
  <LinksUpToDate>false</LinksUpToDate>
  <CharactersWithSpaces>15474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2025-04-04T02:46:00Z</dcterms:created>
  <dc:creator>administrator</dc:creator>
  <cp:lastModifiedBy>欣欣向荣</cp:lastModifiedBy>
  <cp:lastPrinted>2025-09-16T03:01:51Z</cp:lastPrinted>
  <dcterms:modified xsi:type="dcterms:W3CDTF">2025-09-16T03:13:46Z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wqlLaW5nc29mdCBQREYgdG8gV1BTIDExMEI</vt:lpwstr>
  </property>
  <property fmtid="{D5CDD505-2E9C-101B-9397-08002B2CF9AE}" pid="3" name="Created">
    <vt:filetime>2025-03-25T10:46:00Z</vt:filetime>
  </property>
  <property fmtid="{D5CDD505-2E9C-101B-9397-08002B2CF9AE}" pid="4" name="UsrData">
    <vt:lpwstr>67e218fe1ddca0001f0dc63ewl</vt:lpwstr>
  </property>
  <property fmtid="{D5CDD505-2E9C-101B-9397-08002B2CF9AE}" pid="5" name="KSOProductBuildVer">
    <vt:lpwstr>2052-12.1.0.22529</vt:lpwstr>
  </property>
  <property fmtid="{D5CDD505-2E9C-101B-9397-08002B2CF9AE}" pid="6" name="ICV">
    <vt:lpwstr>C8C1105BA22B4E88898A5E2BC5AA34C3_13</vt:lpwstr>
  </property>
  <property fmtid="{D5CDD505-2E9C-101B-9397-08002B2CF9AE}" pid="7" name="KSOTemplateDocerSaveRecord">
    <vt:lpwstr>eyJoZGlkIjoiMjUwMGMyMzMxZThiYjg1MmEzMjkwMGEwZDQ5M2EzOTEiLCJ1c2VySWQiOiI1MDkyNDMxOTAifQ==</vt:lpwstr>
  </property>
</Properties>
</file>