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45EAA">
      <w:pPr>
        <w:spacing w:before="259" w:line="221" w:lineRule="auto"/>
        <w:ind w:firstLine="3438" w:firstLineChars="800"/>
        <w:jc w:val="both"/>
        <w:rPr>
          <w:rFonts w:ascii="黑体" w:hAnsi="黑体" w:eastAsia="黑体" w:cs="黑体"/>
          <w:sz w:val="44"/>
          <w:szCs w:val="44"/>
        </w:rPr>
      </w:pPr>
      <w:r>
        <w:rPr>
          <w:rFonts w:hint="eastAsia" w:ascii="黑体" w:hAnsi="黑体" w:eastAsia="黑体" w:cs="黑体"/>
          <w:b/>
          <w:bCs/>
          <w:spacing w:val="-6"/>
          <w:sz w:val="44"/>
          <w:szCs w:val="44"/>
          <w:lang w:val="en-US" w:eastAsia="zh-CN"/>
        </w:rPr>
        <w:t>平桥区林业局</w:t>
      </w:r>
      <w:r>
        <w:rPr>
          <w:rFonts w:ascii="黑体" w:hAnsi="黑体" w:eastAsia="黑体" w:cs="黑体"/>
          <w:b/>
          <w:bCs/>
          <w:spacing w:val="-6"/>
          <w:sz w:val="44"/>
          <w:szCs w:val="44"/>
        </w:rPr>
        <w:t>涉企行政检查公示专栏</w:t>
      </w:r>
    </w:p>
    <w:p w14:paraId="4A1F679A">
      <w:pPr>
        <w:spacing w:line="177" w:lineRule="exact"/>
      </w:pPr>
    </w:p>
    <w:tbl>
      <w:tblPr>
        <w:tblStyle w:val="6"/>
        <w:tblW w:w="14615" w:type="dxa"/>
        <w:tblInd w:w="-3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899"/>
        <w:gridCol w:w="10952"/>
      </w:tblGrid>
      <w:tr w14:paraId="0422D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64" w:type="dxa"/>
            <w:vAlign w:val="center"/>
          </w:tcPr>
          <w:p w14:paraId="24C01309">
            <w:pPr>
              <w:pStyle w:val="7"/>
              <w:spacing w:before="133" w:line="221" w:lineRule="auto"/>
              <w:ind w:left="154"/>
              <w:jc w:val="center"/>
              <w:rPr>
                <w:b/>
                <w:bCs/>
                <w:sz w:val="28"/>
                <w:szCs w:val="28"/>
              </w:rPr>
            </w:pPr>
            <w:r>
              <w:rPr>
                <w:b/>
                <w:bCs/>
                <w:spacing w:val="-2"/>
                <w:sz w:val="28"/>
                <w:szCs w:val="28"/>
              </w:rPr>
              <w:t>序号</w:t>
            </w:r>
          </w:p>
        </w:tc>
        <w:tc>
          <w:tcPr>
            <w:tcW w:w="2899" w:type="dxa"/>
            <w:vAlign w:val="center"/>
          </w:tcPr>
          <w:p w14:paraId="7BECE009">
            <w:pPr>
              <w:pStyle w:val="7"/>
              <w:spacing w:before="11" w:line="218" w:lineRule="auto"/>
              <w:ind w:left="51"/>
              <w:jc w:val="center"/>
              <w:rPr>
                <w:b/>
                <w:bCs/>
                <w:sz w:val="28"/>
                <w:szCs w:val="28"/>
              </w:rPr>
            </w:pPr>
            <w:r>
              <w:rPr>
                <w:b/>
                <w:bCs/>
                <w:spacing w:val="1"/>
                <w:sz w:val="28"/>
                <w:szCs w:val="28"/>
              </w:rPr>
              <w:t>行政检查事项</w:t>
            </w:r>
            <w:r>
              <w:rPr>
                <w:b/>
                <w:bCs/>
                <w:spacing w:val="-3"/>
                <w:sz w:val="28"/>
                <w:szCs w:val="28"/>
              </w:rPr>
              <w:t>名称</w:t>
            </w:r>
          </w:p>
        </w:tc>
        <w:tc>
          <w:tcPr>
            <w:tcW w:w="10952" w:type="dxa"/>
            <w:vAlign w:val="center"/>
          </w:tcPr>
          <w:p w14:paraId="067BB61E">
            <w:pPr>
              <w:pStyle w:val="7"/>
              <w:spacing w:before="131" w:line="219" w:lineRule="auto"/>
              <w:ind w:firstLine="4402" w:firstLineChars="1600"/>
              <w:jc w:val="both"/>
              <w:rPr>
                <w:b/>
                <w:bCs/>
                <w:sz w:val="28"/>
                <w:szCs w:val="28"/>
              </w:rPr>
            </w:pPr>
            <w:r>
              <w:rPr>
                <w:rFonts w:hint="eastAsia"/>
                <w:b/>
                <w:bCs/>
                <w:spacing w:val="-3"/>
                <w:sz w:val="28"/>
                <w:szCs w:val="28"/>
                <w:lang w:val="en-US" w:eastAsia="zh-CN"/>
              </w:rPr>
              <w:t>检查</w:t>
            </w:r>
            <w:r>
              <w:rPr>
                <w:b/>
                <w:bCs/>
                <w:spacing w:val="-3"/>
                <w:sz w:val="28"/>
                <w:szCs w:val="28"/>
              </w:rPr>
              <w:t>依据</w:t>
            </w:r>
            <w:bookmarkStart w:id="0" w:name="_GoBack"/>
            <w:bookmarkEnd w:id="0"/>
          </w:p>
        </w:tc>
      </w:tr>
      <w:tr w14:paraId="7517D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764" w:type="dxa"/>
            <w:vAlign w:val="top"/>
          </w:tcPr>
          <w:p w14:paraId="21FD443F">
            <w:pPr>
              <w:pStyle w:val="7"/>
              <w:spacing w:before="133" w:line="221" w:lineRule="auto"/>
              <w:ind w:left="154"/>
              <w:jc w:val="center"/>
              <w:rPr>
                <w:rFonts w:hint="eastAsia" w:ascii="仿宋" w:hAnsi="仿宋" w:eastAsia="仿宋" w:cs="仿宋"/>
                <w:spacing w:val="-2"/>
                <w:sz w:val="18"/>
                <w:szCs w:val="18"/>
                <w:lang w:val="en-US" w:eastAsia="zh-CN"/>
              </w:rPr>
            </w:pPr>
            <w:r>
              <w:rPr>
                <w:rFonts w:hint="eastAsia" w:ascii="仿宋" w:hAnsi="仿宋" w:eastAsia="仿宋" w:cs="仿宋"/>
                <w:spacing w:val="-2"/>
                <w:sz w:val="18"/>
                <w:szCs w:val="18"/>
                <w:lang w:val="en-US" w:eastAsia="zh-CN"/>
              </w:rPr>
              <w:t>1</w:t>
            </w:r>
          </w:p>
        </w:tc>
        <w:tc>
          <w:tcPr>
            <w:tcW w:w="2899" w:type="dxa"/>
            <w:vAlign w:val="center"/>
          </w:tcPr>
          <w:p w14:paraId="30E6C916">
            <w:pPr>
              <w:keepNext w:val="0"/>
              <w:keepLines w:val="0"/>
              <w:widowControl/>
              <w:suppressLineNumbers w:val="0"/>
              <w:jc w:val="center"/>
              <w:textAlignment w:val="center"/>
              <w:rPr>
                <w:rFonts w:hint="eastAsia" w:ascii="仿宋" w:hAnsi="仿宋" w:eastAsia="仿宋" w:cs="仿宋"/>
                <w:spacing w:val="-3"/>
                <w:sz w:val="18"/>
                <w:szCs w:val="18"/>
              </w:rPr>
            </w:pPr>
            <w:r>
              <w:rPr>
                <w:rFonts w:hint="eastAsia" w:ascii="仿宋" w:hAnsi="仿宋" w:eastAsia="仿宋" w:cs="仿宋"/>
                <w:i w:val="0"/>
                <w:iCs w:val="0"/>
                <w:snapToGrid w:val="0"/>
                <w:color w:val="000000"/>
                <w:kern w:val="0"/>
                <w:sz w:val="18"/>
                <w:szCs w:val="18"/>
                <w:u w:val="none"/>
                <w:lang w:val="en-US" w:eastAsia="zh-CN" w:bidi="ar"/>
              </w:rPr>
              <w:t>对进入森林防火区的车辆和人员进行森林防火检查</w:t>
            </w:r>
          </w:p>
        </w:tc>
        <w:tc>
          <w:tcPr>
            <w:tcW w:w="10952" w:type="dxa"/>
            <w:vAlign w:val="center"/>
          </w:tcPr>
          <w:p w14:paraId="4B7F7711">
            <w:pPr>
              <w:keepNext w:val="0"/>
              <w:keepLines w:val="0"/>
              <w:widowControl/>
              <w:suppressLineNumbers w:val="0"/>
              <w:jc w:val="left"/>
              <w:textAlignment w:val="center"/>
              <w:rPr>
                <w:rFonts w:hint="eastAsia" w:ascii="仿宋" w:hAnsi="仿宋" w:eastAsia="仿宋" w:cs="仿宋"/>
                <w:spacing w:val="-3"/>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《森林防火条例(2008)》第二十七条    森林防火期内，经省、自治区、直辖市人民政府批准，林业主管部门、国务院确定的重点国有林区的管理机构可以设立临时性的森林防火检查站，对进入森林防火区的车辆和人员进行森林防火检查。</w:t>
            </w:r>
          </w:p>
        </w:tc>
      </w:tr>
      <w:tr w14:paraId="2024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764" w:type="dxa"/>
            <w:vAlign w:val="top"/>
          </w:tcPr>
          <w:p w14:paraId="4AC7BAE1">
            <w:pPr>
              <w:pStyle w:val="7"/>
              <w:spacing w:before="198" w:line="205" w:lineRule="auto"/>
              <w:jc w:val="center"/>
              <w:rPr>
                <w:rFonts w:hint="eastAsia" w:ascii="仿宋" w:hAnsi="仿宋" w:eastAsia="仿宋" w:cs="仿宋"/>
                <w:lang w:val="en-US" w:eastAsia="zh-CN"/>
              </w:rPr>
            </w:pPr>
            <w:r>
              <w:rPr>
                <w:rFonts w:hint="eastAsia" w:ascii="仿宋" w:hAnsi="仿宋" w:eastAsia="仿宋" w:cs="仿宋"/>
                <w:lang w:val="en-US" w:eastAsia="zh-CN"/>
              </w:rPr>
              <w:t>2</w:t>
            </w:r>
          </w:p>
        </w:tc>
        <w:tc>
          <w:tcPr>
            <w:tcW w:w="2899" w:type="dxa"/>
            <w:vAlign w:val="center"/>
          </w:tcPr>
          <w:p w14:paraId="2C50F08A">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森林防火期内进入森林防火区的机动车辆是否安装森林防火装置</w:t>
            </w:r>
          </w:p>
        </w:tc>
        <w:tc>
          <w:tcPr>
            <w:tcW w:w="10952" w:type="dxa"/>
            <w:vAlign w:val="center"/>
          </w:tcPr>
          <w:p w14:paraId="57F7F0DA">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《森林防火条例(2008)》第二十六条第二款    森林防火期内，进入森林防火区的各种机动车辆应当按照规定安装防火装置，配备灭火器材。</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《河南省森林防火条例(2018)》第二十五条第一款    森林防火紧要期内，通过林区和在林区作业的各种机动车辆、机械等，应当安装防火装置，配备灭火器材，并采取其他有效措施，严防漏火、喷火引起火灾。</w:t>
            </w:r>
          </w:p>
        </w:tc>
      </w:tr>
      <w:tr w14:paraId="6AB6C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59709E42">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2899" w:type="dxa"/>
            <w:vAlign w:val="center"/>
          </w:tcPr>
          <w:p w14:paraId="193C60A4">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对林草种子质量的行政检查</w:t>
            </w:r>
          </w:p>
        </w:tc>
        <w:tc>
          <w:tcPr>
            <w:tcW w:w="10952" w:type="dxa"/>
            <w:vAlign w:val="center"/>
          </w:tcPr>
          <w:p w14:paraId="121A90F9">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《中华人民共和国种子法(2021)》第三条第二款    各级人民政府及其有关部门应当采取措施，加强种子执法和监督，依法惩处侵害农民权益的种子违法行为。</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    农业农村、林业草原主管部门是种子行政执法机关。种子执法人员依法执行公务时应当出示行政执法证件。农业农村、林业草原主管部门依法履行种子监督检查职责时，有权采取下列措施：</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《中华人民共和国种子法(2021)》第四十九条第一款第一项    农业农村、林业草原主管部门是种子行政执法机关。种子执法人员依法执行公务时应当出示行政执法证件。农业农村、林业草原主管部门依法履行种子监督检查职责时，有权采取下列措施：（一）进入生产经营场所进行现场检查；</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《中华人民共和国种子法(2021)》第四十九条第一款第三项    农业农村、林业草原主管部门是种子行政执法机关。种子执法人员依法执行公务时应当出示行政执法证件。农业农村、林业草原主管部门依法履行种子监督检查职责时，有权采取下列措施：（三）查阅、复制有关合同、票据、账簿、生产经营档案及其他有关资料；</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《中华人民共和国种子法(2021)》第四十九条第一款第二项    农业农村、林业草原主管部门是种子行政执法机关。种子执法人员依法执行公务时应当出示行政执法证件。农业农村、林业草原主管部门依法履行种子监督检查职责时，有权采取下列措施：（二）对种子进行取样测试、试验或者检验；</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《中华人民共和国种子法(2021)》第四十九条第一款第五项    农业农村、林业草原主管部门是种子行政执法机关。种子执法人员依法执行公务时应当出示行政执法证件。农业农村、林业草原主管部门依法履行种子监督检查职责时，有权采取下列措施：（五）查封违法从事种子生产经营活动的场所。</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《中华人民共和国种子法(2021)》第四十九条第一款第四项    农业农村、林业草原主管部门是种子行政执法机关。种子执法人员依法执行公务时应当出示行政执法证件。农业农村、林业草原主管部门依法履行种子监督检查职责时，有权采取下列措施：（四）查封、扣押有证据证明违法生产经营的种子，以及用于违法生产经营的工具、设备及运输工具等；</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《中华人民共和国种子法(2021)》第四十九条第三款    农业农村、林业草原主管部门所属的综合执法机构或者受其委托的种子管理机构，可以开展种子执法相关工作。</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《中华人民共和国种子法(2021)》第四十九条第二款    农业农村、林业草原主管部门依照本法规定行使职权，当事人应当协助、配合，不得拒绝、阻挠。</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《中华人民共和国种子法(2021)》第四十六条第一款    农业农村、林业草原主管部门应当加强对种子质量的监督检查。种子质量管理办法、行业标准和检验方法，由国务院农业农村、林业草原主管部门制定。</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《中华人民共和国种子法(2021)》第四十六条第二款    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《中华人民共和国草原法(2021)》第二十九条第三款    县级以上人民政府草原行政主管部门应当依法加强对草种生产、加工、检疫、检验的监督管理，保证草种质量。</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《草种管理办法(2015)》第三十六条    县级以上草原行政主管部门要加强当地草种广告的监督管理。草种广告的内容应当符合有关法律、法规，主要性状描述应当与审定公告一致，不得进行虚假、误导宣传。</w:t>
            </w:r>
          </w:p>
        </w:tc>
      </w:tr>
      <w:tr w14:paraId="61E69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592208F9">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2899" w:type="dxa"/>
            <w:vAlign w:val="center"/>
          </w:tcPr>
          <w:p w14:paraId="2BF0EC09">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对林草种苗生产经营的行政检查</w:t>
            </w:r>
          </w:p>
        </w:tc>
        <w:tc>
          <w:tcPr>
            <w:tcW w:w="10952" w:type="dxa"/>
            <w:vAlign w:val="center"/>
          </w:tcPr>
          <w:p w14:paraId="1CF3DBD1">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《中华人民共和国种子法(2021)》第三条第二款    各级人民政府及其有关部门应当采取措施，加强种子执法和监督，依法惩处侵害农民权益的种子违法行为。</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    农业农村、林业草原主管部门是种子行政执法机关。种子执法人员依法执行公务时应当出示行政执法证件。农业农村、林业草原主管部门依法履行种子监督检查职责时，有权采取下列措施：</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《中华人民共和国种子法(2021)》第四十九条第一款第一项    农业农村、林业草原主管部门是种子行政执法机关。种子执法人员依法执行公务时应当出示行政执法证件。农业农村、林业草原主管部门依法履行种子监督检查职责时，有权采取下列措施：（一）进入生产经营场所进行现场检查；</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《中华人民共和国种子法(2021)》第四十九条第一款第三项    农业农村、林业草原主管部门是种子行政执法机关。种子执法人员依法执行公务时应当出示行政执法证件。农业农村、林业草原主管部门依法履行种子监督检查职责时，有权采取下列措施：（三）查阅、复制有关合同、票据、账簿、生产经营档案及其他有关资料；</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《中华人民共和国种子法(2021)》第四十九条第一款第二项    农业农村、林业草原主管部门是种子行政执法机关。种子执法人员依法执行公务时应当出示行政执法证件。农业农村、林业草原主管部门依法履行种子监督检查职责时，有权采取下列措施：（二）对种子进行取样测试、试验或者检验；</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《中华人民共和国种子法(2021)》第四十九条第一款第五项    农业农村、林业草原主管部门是种子行政执法机关。种子执法人员依法执行公务时应当出示行政执法证件。农业农村、林业草原主管部门依法履行种子监督检查职责时，有权采取下列措施：（五）查封违法从事种子生产经营活动的场所。</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《中华人民共和国种子法(2021)》第四十九条第一款第四项    农业农村、林业草原主管部门是种子行政执法机关。种子执法人员依法执行公务时应当出示行政执法证件。农业农村、林业草原主管部门依法履行种子监督检查职责时，有权采取下列措施：（四）查封、扣押有证据证明违法生产经营的种子，以及用于违法生产经营的工具、设备及运输工具等；</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《中华人民共和国种子法(2021)》第四十九条第三款    农业农村、林业草原主管部门所属的综合执法机构或者受其委托的种子管理机构，可以开展种子执法相关工作。</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《中华人民共和国种子法(2021)》第四十九条第二款    农业农村、林业草原主管部门依照本法规定行使职权，当事人应当协助、配合，不得拒绝、阻挠。</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《中华人民共和国种子法(2021)》第四十八条第一款    禁止生产经营假、劣种子。农业农村、林业草原主管部门和有关部门依法打击生产经营假、劣种子的违法行为，保护农民合法权益，维护公平竞争的市场秩序。</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《中华人民共和国种子法(2021)》第四十八条第三款    下列种子为劣种子：</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《中华人民共和国种子法(2021)》第四十八条第三款第一项    下列种子为劣种子：（一）质量低于国家规定标准的；</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《中华人民共和国种子法(2021)》第四十八条第三款第三项    下列种子为劣种子：（三）带有国家规定的检疫性有害生物的。</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《中华人民共和国种子法(2021)》第四十八条第三款第二项    下列种子为劣种子：（二）质量低于标签标注指标的；</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《中华人民共和国种子法(2021)》第四十八条第二款    下列种子为假种子：</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《中华人民共和国种子法(2021)》第四十八条第二款第一项    下列种子为假种子：（一）以非种子冒充种子或者以此种品种种子冒充其他品种种子的；</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《中华人民共和国种子法(2021)》第四十八条第二款第二项    下列种子为假种子：（二）种子种类、品种与标签标注的内容不符或者没有标签的。</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《中华人民共和国草原法(2021)》第二十九条第三款    县级以上人民政府草原行政主管部门应当依法加强对草种生产、加工、检疫、检验的监督管理，保证草种质量。</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《草种管理办法(2015)》第三十六条    县级以上草原行政主管部门要加强当地草种广告的监督管理。草种广告的内容应当符合有关法律、法规，主要性状描述应当与审定公告一致，不得进行虚假、误导宣传。</w:t>
            </w:r>
          </w:p>
        </w:tc>
      </w:tr>
      <w:tr w14:paraId="3739B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04873B6A">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2899" w:type="dxa"/>
            <w:vAlign w:val="center"/>
          </w:tcPr>
          <w:p w14:paraId="2B098641">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森林防火区内有关单位的森林防火组织建设、森林防火责任制落实、森林防火设施建设等情况，和有关单位或个人接到森林火灾隐患整改通知书是否按期消除火灾隐患的检查</w:t>
            </w:r>
          </w:p>
        </w:tc>
        <w:tc>
          <w:tcPr>
            <w:tcW w:w="10952" w:type="dxa"/>
            <w:vAlign w:val="center"/>
          </w:tcPr>
          <w:p w14:paraId="173B2EE5">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《森林防火条例(2008)》第二十七条    森林防火期内，经省、自治区、直辖市人民政府批准，林业主管部门、国务院确定的重点国有林区的管理机构可以设立临时性的森林防火检查站，对进入森林防火区的车辆和人员进行森林防火检查。</w:t>
            </w:r>
          </w:p>
        </w:tc>
      </w:tr>
      <w:tr w14:paraId="3323F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5988754B">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w:t>
            </w:r>
          </w:p>
        </w:tc>
        <w:tc>
          <w:tcPr>
            <w:tcW w:w="2899" w:type="dxa"/>
            <w:vAlign w:val="center"/>
          </w:tcPr>
          <w:p w14:paraId="29431035">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森林防火期内森林、林木、林地的经营单位是否设置森林防火警示宣传标志</w:t>
            </w:r>
          </w:p>
        </w:tc>
        <w:tc>
          <w:tcPr>
            <w:tcW w:w="10952" w:type="dxa"/>
            <w:vAlign w:val="center"/>
          </w:tcPr>
          <w:p w14:paraId="19A21F9C">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《森林防火条例(2008)》第二十六条第二款    森林防火期内，进入森林防火区的各种机动车辆应当按照规定安装防火装置，配备灭火器材。</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《河南省森林防火条例(2018)》第二十五条第一款    森林防火紧要期内，通过林区和在林区作业的各种机动车辆、机械等，应当安装防火装置，配备灭火器材，并采取其他有效措施，严防漏火、喷火引起火灾。</w:t>
            </w:r>
          </w:p>
        </w:tc>
      </w:tr>
      <w:tr w14:paraId="7B626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50D72184">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7</w:t>
            </w:r>
          </w:p>
        </w:tc>
        <w:tc>
          <w:tcPr>
            <w:tcW w:w="2899" w:type="dxa"/>
            <w:vAlign w:val="center"/>
          </w:tcPr>
          <w:p w14:paraId="14E7B6BD">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取得《驯养繁殖许可证》的单位和个人是否超出《驯养繁殖许可证》的规定驯养繁殖野生动物种类</w:t>
            </w:r>
          </w:p>
        </w:tc>
        <w:tc>
          <w:tcPr>
            <w:tcW w:w="10952" w:type="dxa"/>
            <w:vAlign w:val="center"/>
          </w:tcPr>
          <w:p w14:paraId="1FC83E8C">
            <w:pPr>
              <w:keepNext w:val="0"/>
              <w:keepLines w:val="0"/>
              <w:widowControl/>
              <w:suppressLineNumbers w:val="0"/>
              <w:jc w:val="left"/>
              <w:textAlignment w:val="center"/>
              <w:rPr>
                <w:rFonts w:hint="eastAsia" w:ascii="仿宋" w:hAnsi="仿宋" w:eastAsia="仿宋" w:cs="仿宋"/>
                <w:sz w:val="18"/>
                <w:szCs w:val="18"/>
              </w:rPr>
            </w:pPr>
            <w:r>
              <w:rPr>
                <w:rStyle w:val="8"/>
                <w:rFonts w:hint="eastAsia" w:ascii="仿宋" w:hAnsi="仿宋" w:eastAsia="仿宋" w:cs="仿宋"/>
                <w:snapToGrid w:val="0"/>
                <w:color w:val="000000"/>
                <w:sz w:val="18"/>
                <w:szCs w:val="18"/>
                <w:lang w:val="en-US" w:eastAsia="zh-CN" w:bidi="ar"/>
              </w:rPr>
              <w:t>《森林防火条例</w:t>
            </w:r>
            <w:r>
              <w:rPr>
                <w:rStyle w:val="9"/>
                <w:rFonts w:hint="eastAsia" w:ascii="仿宋" w:hAnsi="仿宋" w:eastAsia="仿宋" w:cs="仿宋"/>
                <w:snapToGrid w:val="0"/>
                <w:color w:val="000000"/>
                <w:sz w:val="18"/>
                <w:szCs w:val="18"/>
                <w:lang w:val="en-US" w:eastAsia="zh-CN" w:bidi="ar"/>
              </w:rPr>
              <w:t>(2008)</w:t>
            </w:r>
            <w:r>
              <w:rPr>
                <w:rStyle w:val="8"/>
                <w:rFonts w:hint="eastAsia" w:ascii="仿宋" w:hAnsi="仿宋" w:eastAsia="仿宋" w:cs="仿宋"/>
                <w:snapToGrid w:val="0"/>
                <w:color w:val="000000"/>
                <w:sz w:val="18"/>
                <w:szCs w:val="18"/>
                <w:lang w:val="en-US" w:eastAsia="zh-CN" w:bidi="ar"/>
              </w:rPr>
              <w:t>》第二十四条第一款</w:t>
            </w:r>
            <w:r>
              <w:rPr>
                <w:rStyle w:val="9"/>
                <w:rFonts w:hint="eastAsia" w:ascii="仿宋" w:hAnsi="仿宋" w:eastAsia="仿宋" w:cs="仿宋"/>
                <w:snapToGrid w:val="0"/>
                <w:color w:val="000000"/>
                <w:sz w:val="18"/>
                <w:szCs w:val="18"/>
                <w:lang w:val="en-US" w:eastAsia="zh-CN" w:bidi="ar"/>
              </w:rPr>
              <w:t xml:space="preserve">    </w:t>
            </w:r>
            <w:r>
              <w:rPr>
                <w:rStyle w:val="8"/>
                <w:rFonts w:hint="eastAsia" w:ascii="仿宋" w:hAnsi="仿宋" w:eastAsia="仿宋" w:cs="仿宋"/>
                <w:snapToGrid w:val="0"/>
                <w:color w:val="000000"/>
                <w:sz w:val="18"/>
                <w:szCs w:val="18"/>
                <w:lang w:val="en-US" w:eastAsia="zh-CN" w:bidi="ar"/>
              </w:rPr>
              <w:t>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r>
              <w:rPr>
                <w:rStyle w:val="9"/>
                <w:rFonts w:hint="eastAsia" w:ascii="仿宋" w:hAnsi="仿宋" w:eastAsia="仿宋" w:cs="仿宋"/>
                <w:snapToGrid w:val="0"/>
                <w:color w:val="000000"/>
                <w:sz w:val="18"/>
                <w:szCs w:val="18"/>
                <w:lang w:val="en-US" w:eastAsia="zh-CN" w:bidi="ar"/>
              </w:rPr>
              <w:br w:type="textWrapping"/>
            </w:r>
            <w:r>
              <w:rPr>
                <w:rStyle w:val="8"/>
                <w:rFonts w:hint="eastAsia" w:ascii="仿宋" w:hAnsi="仿宋" w:eastAsia="仿宋" w:cs="仿宋"/>
                <w:snapToGrid w:val="0"/>
                <w:color w:val="000000"/>
                <w:sz w:val="18"/>
                <w:szCs w:val="18"/>
                <w:lang w:val="en-US" w:eastAsia="zh-CN" w:bidi="ar"/>
              </w:rPr>
              <w:t>《森林防火条例</w:t>
            </w:r>
            <w:r>
              <w:rPr>
                <w:rStyle w:val="9"/>
                <w:rFonts w:hint="eastAsia" w:ascii="仿宋" w:hAnsi="仿宋" w:eastAsia="仿宋" w:cs="仿宋"/>
                <w:snapToGrid w:val="0"/>
                <w:color w:val="000000"/>
                <w:sz w:val="18"/>
                <w:szCs w:val="18"/>
                <w:lang w:val="en-US" w:eastAsia="zh-CN" w:bidi="ar"/>
              </w:rPr>
              <w:t>(2008)</w:t>
            </w:r>
            <w:r>
              <w:rPr>
                <w:rStyle w:val="8"/>
                <w:rFonts w:hint="eastAsia" w:ascii="仿宋" w:hAnsi="仿宋" w:eastAsia="仿宋" w:cs="仿宋"/>
                <w:snapToGrid w:val="0"/>
                <w:color w:val="000000"/>
                <w:sz w:val="18"/>
                <w:szCs w:val="18"/>
                <w:lang w:val="en-US" w:eastAsia="zh-CN" w:bidi="ar"/>
              </w:rPr>
              <w:t>》第二十四条第二款</w:t>
            </w:r>
            <w:r>
              <w:rPr>
                <w:rStyle w:val="9"/>
                <w:rFonts w:hint="eastAsia" w:ascii="仿宋" w:hAnsi="仿宋" w:eastAsia="仿宋" w:cs="仿宋"/>
                <w:snapToGrid w:val="0"/>
                <w:color w:val="000000"/>
                <w:sz w:val="18"/>
                <w:szCs w:val="18"/>
                <w:lang w:val="en-US" w:eastAsia="zh-CN" w:bidi="ar"/>
              </w:rPr>
              <w:t xml:space="preserve">    </w:t>
            </w:r>
            <w:r>
              <w:rPr>
                <w:rStyle w:val="8"/>
                <w:rFonts w:hint="eastAsia" w:ascii="仿宋" w:hAnsi="仿宋" w:eastAsia="仿宋" w:cs="仿宋"/>
                <w:snapToGrid w:val="0"/>
                <w:color w:val="000000"/>
                <w:sz w:val="18"/>
                <w:szCs w:val="18"/>
                <w:lang w:val="en-US" w:eastAsia="zh-CN" w:bidi="ar"/>
              </w:rPr>
              <w:t>被检查单位应当积极配合，不得阻挠、妨碍检查活动。</w:t>
            </w:r>
            <w:r>
              <w:rPr>
                <w:rStyle w:val="9"/>
                <w:rFonts w:hint="eastAsia" w:ascii="仿宋" w:hAnsi="仿宋" w:eastAsia="仿宋" w:cs="仿宋"/>
                <w:snapToGrid w:val="0"/>
                <w:color w:val="000000"/>
                <w:sz w:val="18"/>
                <w:szCs w:val="18"/>
                <w:lang w:val="en-US" w:eastAsia="zh-CN" w:bidi="ar"/>
              </w:rPr>
              <w:br w:type="textWrapping"/>
            </w:r>
            <w:r>
              <w:rPr>
                <w:rStyle w:val="8"/>
                <w:rFonts w:hint="eastAsia" w:ascii="仿宋" w:hAnsi="仿宋" w:eastAsia="仿宋" w:cs="仿宋"/>
                <w:snapToGrid w:val="0"/>
                <w:color w:val="000000"/>
                <w:sz w:val="18"/>
                <w:szCs w:val="18"/>
                <w:lang w:val="en-US" w:eastAsia="zh-CN" w:bidi="ar"/>
              </w:rPr>
              <w:t>《河南省森林防火条例</w:t>
            </w:r>
            <w:r>
              <w:rPr>
                <w:rStyle w:val="9"/>
                <w:rFonts w:hint="eastAsia" w:ascii="仿宋" w:hAnsi="仿宋" w:eastAsia="仿宋" w:cs="仿宋"/>
                <w:snapToGrid w:val="0"/>
                <w:color w:val="000000"/>
                <w:sz w:val="18"/>
                <w:szCs w:val="18"/>
                <w:lang w:val="en-US" w:eastAsia="zh-CN" w:bidi="ar"/>
              </w:rPr>
              <w:t>(2018)</w:t>
            </w:r>
            <w:r>
              <w:rPr>
                <w:rStyle w:val="8"/>
                <w:rFonts w:hint="eastAsia" w:ascii="仿宋" w:hAnsi="仿宋" w:eastAsia="仿宋" w:cs="仿宋"/>
                <w:snapToGrid w:val="0"/>
                <w:color w:val="000000"/>
                <w:sz w:val="18"/>
                <w:szCs w:val="18"/>
                <w:lang w:val="en-US" w:eastAsia="zh-CN" w:bidi="ar"/>
              </w:rPr>
              <w:t>》第二十条</w:t>
            </w:r>
            <w:r>
              <w:rPr>
                <w:rStyle w:val="9"/>
                <w:rFonts w:hint="eastAsia" w:ascii="仿宋" w:hAnsi="仿宋" w:eastAsia="仿宋" w:cs="仿宋"/>
                <w:snapToGrid w:val="0"/>
                <w:color w:val="000000"/>
                <w:sz w:val="18"/>
                <w:szCs w:val="18"/>
                <w:lang w:val="en-US" w:eastAsia="zh-CN" w:bidi="ar"/>
              </w:rPr>
              <w:t xml:space="preserve">    </w:t>
            </w:r>
            <w:r>
              <w:rPr>
                <w:rStyle w:val="8"/>
                <w:rFonts w:hint="eastAsia" w:ascii="仿宋" w:hAnsi="仿宋" w:eastAsia="仿宋" w:cs="仿宋"/>
                <w:snapToGrid w:val="0"/>
                <w:color w:val="000000"/>
                <w:sz w:val="18"/>
                <w:szCs w:val="18"/>
                <w:lang w:val="en-US" w:eastAsia="zh-CN" w:bidi="ar"/>
              </w:rPr>
              <w:t>县级以上人民政府林业行政主管部门应当组织开展经常性的森林防火安全检查，做好全年森林火灾的预防和扑救工作。对检查中发现的森林火灾隐患，县级以上人民政府林业主管部门应当及时向有关单位下达森林火灾隐患整改通知书，责令限期整改，消除隐患。被检查的单位或者个人不得阻拦、妨碍检查活动。</w:t>
            </w:r>
            <w:r>
              <w:rPr>
                <w:rStyle w:val="9"/>
                <w:rFonts w:hint="eastAsia" w:ascii="仿宋" w:hAnsi="仿宋" w:eastAsia="仿宋" w:cs="仿宋"/>
                <w:snapToGrid w:val="0"/>
                <w:color w:val="000000"/>
                <w:sz w:val="18"/>
                <w:szCs w:val="18"/>
                <w:lang w:val="en-US" w:eastAsia="zh-CN" w:bidi="ar"/>
              </w:rPr>
              <w:br w:type="textWrapping"/>
            </w:r>
            <w:r>
              <w:rPr>
                <w:rStyle w:val="8"/>
                <w:rFonts w:hint="eastAsia" w:ascii="仿宋" w:hAnsi="仿宋" w:eastAsia="仿宋" w:cs="仿宋"/>
                <w:snapToGrid w:val="0"/>
                <w:color w:val="000000"/>
                <w:sz w:val="18"/>
                <w:szCs w:val="18"/>
                <w:lang w:val="en-US" w:eastAsia="zh-CN" w:bidi="ar"/>
              </w:rPr>
              <w:t>《河南省森林防火条例</w:t>
            </w:r>
            <w:r>
              <w:rPr>
                <w:rStyle w:val="9"/>
                <w:rFonts w:hint="eastAsia" w:ascii="仿宋" w:hAnsi="仿宋" w:eastAsia="仿宋" w:cs="仿宋"/>
                <w:snapToGrid w:val="0"/>
                <w:color w:val="000000"/>
                <w:sz w:val="18"/>
                <w:szCs w:val="18"/>
                <w:lang w:val="en-US" w:eastAsia="zh-CN" w:bidi="ar"/>
              </w:rPr>
              <w:t>(2018)</w:t>
            </w:r>
            <w:r>
              <w:rPr>
                <w:rStyle w:val="8"/>
                <w:rFonts w:hint="eastAsia" w:ascii="仿宋" w:hAnsi="仿宋" w:eastAsia="仿宋" w:cs="仿宋"/>
                <w:snapToGrid w:val="0"/>
                <w:color w:val="000000"/>
                <w:sz w:val="18"/>
                <w:szCs w:val="18"/>
                <w:lang w:val="en-US" w:eastAsia="zh-CN" w:bidi="ar"/>
              </w:rPr>
              <w:t>》第十条</w:t>
            </w:r>
            <w:r>
              <w:rPr>
                <w:rStyle w:val="9"/>
                <w:rFonts w:hint="eastAsia" w:ascii="仿宋" w:hAnsi="仿宋" w:eastAsia="仿宋" w:cs="仿宋"/>
                <w:snapToGrid w:val="0"/>
                <w:color w:val="000000"/>
                <w:sz w:val="18"/>
                <w:szCs w:val="18"/>
                <w:lang w:val="en-US" w:eastAsia="zh-CN" w:bidi="ar"/>
              </w:rPr>
              <w:t xml:space="preserve">    </w:t>
            </w:r>
            <w:r>
              <w:rPr>
                <w:rStyle w:val="8"/>
                <w:rFonts w:hint="eastAsia" w:ascii="仿宋" w:hAnsi="仿宋" w:eastAsia="仿宋" w:cs="仿宋"/>
                <w:snapToGrid w:val="0"/>
                <w:color w:val="000000"/>
                <w:sz w:val="18"/>
                <w:szCs w:val="18"/>
                <w:lang w:val="en-US" w:eastAsia="zh-CN" w:bidi="ar"/>
              </w:rPr>
              <w:t>县级以上人民政府森林防火指挥机构负责统一组织、协调和指导本行政区域的森林防火工作。森林防火指挥机构由政府有关部门和当地同级军事机关组成，政府行政首长或者分管负责人担任指挥长。</w:t>
            </w:r>
          </w:p>
        </w:tc>
      </w:tr>
      <w:tr w14:paraId="678CF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489C24A2">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w:t>
            </w:r>
          </w:p>
        </w:tc>
        <w:tc>
          <w:tcPr>
            <w:tcW w:w="2899" w:type="dxa"/>
            <w:vAlign w:val="center"/>
          </w:tcPr>
          <w:p w14:paraId="0C9DA587">
            <w:pPr>
              <w:keepNext w:val="0"/>
              <w:keepLines w:val="0"/>
              <w:widowControl/>
              <w:suppressLineNumbers w:val="0"/>
              <w:jc w:val="center"/>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进入与违反野生动物保护管理行为有关的场所进行现场检查、调查；</w:t>
            </w:r>
          </w:p>
        </w:tc>
        <w:tc>
          <w:tcPr>
            <w:tcW w:w="10952" w:type="dxa"/>
            <w:vAlign w:val="center"/>
          </w:tcPr>
          <w:p w14:paraId="722798C0">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《森林防火条例(2008)》第二十六条第一款    森林防火期内，森林、林木、林地的经营单位应当设置森林防火警示宣传标志，并对进入其经营范围的人员进行森林防火安全宣传。</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《河南省森林防火条例(2018)》第二十七条第一款    穿越林区的铁路、公路、电力、电信线路、石油天然气管道，其经营或者建设单位应当采取防火措施，在森林火灾危险地段设置固定的森林防火安全警示标志。</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《河南省森林防火条例(2018)》第二十七条第二款    在林区经营宾馆、饭店、食品摊点、娱乐场所及各种旅游观光项目的单位和个人、以及工矿企业应当按照规定配备必要的防火设施、器材，设置森林防火宣传标语，对客人进行防火安全宣传，经常性地开展安全教育和安全隐患排查，及时消除火灾隐患。</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《河南省森林防火条例(2018)》第十九条第一款    各级人民政府、林业行政主管部门及其他相关部门应当组织开展经常性的森林防火宣传，普及森林防火知识和安全避险知识，提高全社会的森林防火意识。加强对林区内群众森林防火宣传教育，并在林区道路两旁、林区边缘、林区的村庄附近设立森林防火警示宣传标志。</w:t>
            </w:r>
          </w:p>
        </w:tc>
      </w:tr>
      <w:tr w14:paraId="74AB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5DA2565C">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9</w:t>
            </w:r>
          </w:p>
        </w:tc>
        <w:tc>
          <w:tcPr>
            <w:tcW w:w="2899" w:type="dxa"/>
            <w:vAlign w:val="center"/>
          </w:tcPr>
          <w:p w14:paraId="21DD6F2D">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人工繁育有重要生态、科学、社会价值的陆生野生动物或者依照本法第二十九条第二款规定调出有重要生态、科学、社会价值的陆生野生动物名录的野生动物是否备案</w:t>
            </w:r>
          </w:p>
        </w:tc>
        <w:tc>
          <w:tcPr>
            <w:tcW w:w="10952" w:type="dxa"/>
            <w:vAlign w:val="center"/>
          </w:tcPr>
          <w:p w14:paraId="26C778EE">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《国家重点保护野生动物驯养繁殖许可证管理办法(2015)》第七条    驯养繁殖野生动物的单位和个人，必须按照《驯养繁殖许可证》规定的种类进行驯养繁殖活动。需要变更驯养繁殖野生动物种类的，应当比照本办法第五条的规定，在2个月内向原批准机关申请办理变更手续；需要终止驯养繁殖野生动物活动的，应当在2个月内向原批准机关办理终止手续，并交回原《驯养繁殖许可证》。</w:t>
            </w:r>
          </w:p>
        </w:tc>
      </w:tr>
      <w:tr w14:paraId="0F5E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271E49E8">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2899" w:type="dxa"/>
            <w:vAlign w:val="center"/>
          </w:tcPr>
          <w:p w14:paraId="5C6EB1EE">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森林防火工作联防区域监督检查</w:t>
            </w:r>
          </w:p>
        </w:tc>
        <w:tc>
          <w:tcPr>
            <w:tcW w:w="10952" w:type="dxa"/>
            <w:vAlign w:val="center"/>
          </w:tcPr>
          <w:p w14:paraId="5FFF8560">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《中华人民共和国野生动物保护法(2022)》第三十六条第一项    县级以上人民政府野生动物保护主管部门和其他负有野生动物保护职责的部门，在履行本法规定的职责时，可以采取下列措施：（一）进入与违反野生动物保护管理行为有关的场所进行现场检查、调查；</w:t>
            </w:r>
          </w:p>
        </w:tc>
      </w:tr>
      <w:tr w14:paraId="4AB1A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4C7D926A">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11</w:t>
            </w:r>
          </w:p>
        </w:tc>
        <w:tc>
          <w:tcPr>
            <w:tcW w:w="2899" w:type="dxa"/>
            <w:vAlign w:val="center"/>
          </w:tcPr>
          <w:p w14:paraId="5DC55D31">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对进入森林防火区的车辆和人员进行森林防火检查</w:t>
            </w:r>
          </w:p>
        </w:tc>
        <w:tc>
          <w:tcPr>
            <w:tcW w:w="10952" w:type="dxa"/>
            <w:vAlign w:val="center"/>
          </w:tcPr>
          <w:p w14:paraId="7B329F6E">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《中华人民共和国野生动物保护法(2022)》第二十五条第三款    人工繁育有重要生态、科学、社会价值的陆生野生动物的，应当向县级人民政府野生动物保护主管部门备案。</w:t>
            </w:r>
          </w:p>
        </w:tc>
      </w:tr>
      <w:tr w14:paraId="6FAE4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764" w:type="dxa"/>
            <w:vAlign w:val="top"/>
          </w:tcPr>
          <w:p w14:paraId="26898942">
            <w:pPr>
              <w:pStyle w:val="7"/>
              <w:spacing w:before="200" w:line="213" w:lineRule="auto"/>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12</w:t>
            </w:r>
          </w:p>
        </w:tc>
        <w:tc>
          <w:tcPr>
            <w:tcW w:w="2899" w:type="dxa"/>
            <w:vAlign w:val="center"/>
          </w:tcPr>
          <w:p w14:paraId="6BE39518">
            <w:pPr>
              <w:keepNext w:val="0"/>
              <w:keepLines w:val="0"/>
              <w:widowControl/>
              <w:suppressLineNumbers w:val="0"/>
              <w:jc w:val="center"/>
              <w:textAlignment w:val="center"/>
              <w:rPr>
                <w:rFonts w:hint="eastAsia" w:ascii="仿宋" w:hAnsi="仿宋" w:eastAsia="仿宋" w:cs="仿宋"/>
                <w:snapToGrid w:val="0"/>
                <w:color w:val="000000"/>
                <w:kern w:val="0"/>
                <w:sz w:val="18"/>
                <w:szCs w:val="18"/>
                <w:lang w:val="en-US" w:eastAsia="en-US" w:bidi="ar-SA"/>
              </w:rPr>
            </w:pPr>
            <w:r>
              <w:rPr>
                <w:rFonts w:hint="eastAsia" w:ascii="仿宋" w:hAnsi="仿宋" w:eastAsia="仿宋" w:cs="仿宋"/>
                <w:i w:val="0"/>
                <w:iCs w:val="0"/>
                <w:snapToGrid w:val="0"/>
                <w:color w:val="000000"/>
                <w:kern w:val="0"/>
                <w:sz w:val="18"/>
                <w:szCs w:val="18"/>
                <w:u w:val="none"/>
                <w:lang w:val="en-US" w:eastAsia="zh-CN" w:bidi="ar"/>
              </w:rPr>
              <w:t>森林防火期内进入森林防火区的机动车辆是否安装森林防火装置</w:t>
            </w:r>
          </w:p>
        </w:tc>
        <w:tc>
          <w:tcPr>
            <w:tcW w:w="10952" w:type="dxa"/>
            <w:vAlign w:val="center"/>
          </w:tcPr>
          <w:p w14:paraId="73DFAA3D">
            <w:pPr>
              <w:keepNext w:val="0"/>
              <w:keepLines w:val="0"/>
              <w:widowControl/>
              <w:suppressLineNumbers w:val="0"/>
              <w:jc w:val="left"/>
              <w:textAlignment w:val="center"/>
              <w:rPr>
                <w:rFonts w:hint="eastAsia" w:ascii="仿宋" w:hAnsi="仿宋" w:eastAsia="仿宋" w:cs="仿宋"/>
                <w:sz w:val="18"/>
                <w:szCs w:val="18"/>
              </w:rPr>
            </w:pPr>
            <w:r>
              <w:rPr>
                <w:rFonts w:hint="eastAsia" w:ascii="仿宋" w:hAnsi="仿宋" w:eastAsia="仿宋" w:cs="仿宋"/>
                <w:i w:val="0"/>
                <w:iCs w:val="0"/>
                <w:snapToGrid w:val="0"/>
                <w:color w:val="000000"/>
                <w:kern w:val="0"/>
                <w:sz w:val="18"/>
                <w:szCs w:val="18"/>
                <w:u w:val="none"/>
                <w:lang w:val="en-US" w:eastAsia="zh-CN" w:bidi="ar"/>
              </w:rPr>
              <w:t>《森林防火条例(2008)》第七条    森林防火工作涉及两个以上行政区域的，有关地方人民政府应当建立森林防火联防机制，确定联防区域，建立联防制度，实行信息共享，并加强监督检查。</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《河南省森林防火条例(2018)》第十二条    森林防火工作涉及两个以上行政区域的，由上一级人民政府确定联防区域，有关人民政府应当建立森林防火联防机制，制定联防制度，实行信息共享，检查、督促联防区域的森林防火工作。</w:t>
            </w:r>
          </w:p>
        </w:tc>
      </w:tr>
    </w:tbl>
    <w:p w14:paraId="4E40C675">
      <w:pPr>
        <w:rPr>
          <w:rFonts w:hint="eastAsia" w:ascii="仿宋" w:hAnsi="仿宋" w:eastAsia="仿宋" w:cs="仿宋"/>
          <w:lang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5264C"/>
    <w:rsid w:val="26242729"/>
    <w:rsid w:val="3E154A8A"/>
    <w:rsid w:val="499D0E6B"/>
    <w:rsid w:val="55017533"/>
    <w:rsid w:val="6EC2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5"/>
      <w:szCs w:val="25"/>
      <w:lang w:val="en-US" w:eastAsia="en-US" w:bidi="ar-SA"/>
    </w:rPr>
  </w:style>
  <w:style w:type="character" w:customStyle="1" w:styleId="8">
    <w:name w:val="font21"/>
    <w:basedOn w:val="5"/>
    <w:uiPriority w:val="0"/>
    <w:rPr>
      <w:rFonts w:hint="eastAsia" w:ascii="宋体" w:hAnsi="宋体" w:eastAsia="宋体" w:cs="宋体"/>
      <w:color w:val="000000"/>
      <w:sz w:val="20"/>
      <w:szCs w:val="20"/>
      <w:u w:val="none"/>
    </w:rPr>
  </w:style>
  <w:style w:type="character" w:customStyle="1" w:styleId="9">
    <w:name w:val="font31"/>
    <w:basedOn w:val="5"/>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5274</Words>
  <Characters>5532</Characters>
  <Lines>0</Lines>
  <Paragraphs>0</Paragraphs>
  <TotalTime>2</TotalTime>
  <ScaleCrop>false</ScaleCrop>
  <LinksUpToDate>false</LinksUpToDate>
  <CharactersWithSpaces>5736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2025-07-24T01:37:00Z</dcterms:created>
  <dc:creator>Administrator</dc:creator>
  <cp:lastModifiedBy>鹰击长空</cp:lastModifiedBy>
  <dcterms:modified xsi:type="dcterms:W3CDTF">2025-09-26T01:46:15Z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eyJoZGlkIjoiNTJhZDczM2M1OTg1YzgyMGRjMzIyZjQ3NDM3OWU4ZjgiLCJ1c2VySWQiOiIzMzkxMDYzNDgifQ==</vt:lpwstr>
  </property>
  <property fmtid="{D5CDD505-2E9C-101B-9397-08002B2CF9AE}" pid="4" name="ICV">
    <vt:lpwstr>1A9372F956C34CB1A17DF715FA9FC5AC_13</vt:lpwstr>
  </property>
</Properties>
</file>