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BFF534">
      <w:pPr>
        <w:spacing w:line="579" w:lineRule="exact"/>
        <w:jc w:val="center"/>
        <w:rPr>
          <w:rFonts w:hint="eastAsia" w:ascii="Times New Roman" w:hAnsi="Times New Roman" w:eastAsia="方正小标宋_GBK" w:cs="Times New Roman"/>
          <w:color w:val="000000"/>
          <w:sz w:val="36"/>
          <w:szCs w:val="36"/>
          <w:lang w:eastAsia="zh-CN"/>
        </w:rPr>
      </w:pPr>
      <w:r>
        <w:rPr>
          <w:rFonts w:hint="eastAsia" w:ascii="Times New Roman" w:hAnsi="Times New Roman" w:eastAsia="方正小标宋_GBK" w:cs="Times New Roman"/>
          <w:color w:val="000000"/>
          <w:sz w:val="36"/>
          <w:szCs w:val="36"/>
        </w:rPr>
        <w:t>信阳市</w:t>
      </w:r>
      <w:r>
        <w:rPr>
          <w:rFonts w:hint="eastAsia" w:ascii="Times New Roman" w:hAnsi="Times New Roman" w:eastAsia="方正小标宋_GBK" w:cs="Times New Roman"/>
          <w:color w:val="000000"/>
          <w:sz w:val="36"/>
          <w:szCs w:val="36"/>
          <w:lang w:val="en-US" w:eastAsia="zh-CN"/>
        </w:rPr>
        <w:t>生态环境局息县分局</w:t>
      </w:r>
      <w:r>
        <w:rPr>
          <w:rFonts w:hint="eastAsia" w:ascii="Times New Roman" w:hAnsi="Times New Roman" w:eastAsia="方正小标宋_GBK" w:cs="Times New Roman"/>
          <w:color w:val="000000"/>
          <w:sz w:val="36"/>
          <w:szCs w:val="36"/>
        </w:rPr>
        <w:t>2025年度涉企行政检查计划表</w:t>
      </w:r>
    </w:p>
    <w:tbl>
      <w:tblPr>
        <w:tblStyle w:val="6"/>
        <w:tblW w:w="14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479"/>
        <w:gridCol w:w="2116"/>
        <w:gridCol w:w="3775"/>
        <w:gridCol w:w="2433"/>
        <w:gridCol w:w="1082"/>
        <w:gridCol w:w="1082"/>
        <w:gridCol w:w="1542"/>
      </w:tblGrid>
      <w:tr w14:paraId="2AE8A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blHeader/>
          <w:jc w:val="center"/>
        </w:trPr>
        <w:tc>
          <w:tcPr>
            <w:tcW w:w="664" w:type="dxa"/>
            <w:noWrap w:val="0"/>
            <w:vAlign w:val="center"/>
          </w:tcPr>
          <w:p w14:paraId="1D7AF694">
            <w:pPr>
              <w:keepNext w:val="0"/>
              <w:keepLines w:val="0"/>
              <w:pageBreakBefore w:val="0"/>
              <w:kinsoku/>
              <w:wordWrap/>
              <w:overflowPunct/>
              <w:topLinePunct w:val="0"/>
              <w:autoSpaceDE/>
              <w:autoSpaceDN/>
              <w:bidi w:val="0"/>
              <w:adjustRightInd/>
              <w:snapToGrid/>
              <w:spacing w:line="240" w:lineRule="exact"/>
              <w:ind w:left="0"/>
              <w:jc w:val="center"/>
              <w:rPr>
                <w:rFonts w:hint="default" w:ascii="Times New Roman" w:hAnsi="Times New Roman" w:eastAsia="黑体" w:cs="Times New Roman"/>
                <w:color w:val="auto"/>
                <w:sz w:val="22"/>
                <w:szCs w:val="22"/>
              </w:rPr>
            </w:pPr>
            <w:r>
              <w:rPr>
                <w:rFonts w:hint="default" w:ascii="Times New Roman" w:hAnsi="Times New Roman" w:eastAsia="黑体" w:cs="Times New Roman"/>
                <w:color w:val="auto"/>
                <w:sz w:val="21"/>
                <w:szCs w:val="21"/>
              </w:rPr>
              <w:t>序号</w:t>
            </w:r>
          </w:p>
        </w:tc>
        <w:tc>
          <w:tcPr>
            <w:tcW w:w="1479" w:type="dxa"/>
            <w:noWrap w:val="0"/>
            <w:vAlign w:val="center"/>
          </w:tcPr>
          <w:p w14:paraId="71860DC0">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黑体" w:cs="Times New Roman"/>
                <w:color w:val="auto"/>
                <w:sz w:val="21"/>
                <w:szCs w:val="21"/>
                <w:lang w:val="en-US" w:eastAsia="zh-CN"/>
              </w:rPr>
            </w:pPr>
            <w:r>
              <w:rPr>
                <w:rFonts w:hint="eastAsia" w:ascii="Times New Roman" w:hAnsi="Times New Roman" w:eastAsia="黑体" w:cs="Times New Roman"/>
                <w:color w:val="auto"/>
                <w:sz w:val="21"/>
                <w:szCs w:val="21"/>
                <w:lang w:val="en-US" w:eastAsia="zh-CN"/>
              </w:rPr>
              <w:t>检查</w:t>
            </w:r>
            <w:r>
              <w:rPr>
                <w:rFonts w:hint="default" w:ascii="Times New Roman" w:hAnsi="Times New Roman" w:eastAsia="黑体" w:cs="Times New Roman"/>
                <w:color w:val="auto"/>
                <w:sz w:val="21"/>
                <w:szCs w:val="21"/>
                <w:lang w:val="en-US" w:eastAsia="zh-CN"/>
              </w:rPr>
              <w:t>单位</w:t>
            </w:r>
          </w:p>
        </w:tc>
        <w:tc>
          <w:tcPr>
            <w:tcW w:w="2116" w:type="dxa"/>
            <w:noWrap w:val="0"/>
            <w:vAlign w:val="center"/>
          </w:tcPr>
          <w:p w14:paraId="570EC5C6">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黑体" w:cs="Times New Roman"/>
                <w:color w:val="auto"/>
                <w:sz w:val="21"/>
                <w:szCs w:val="21"/>
                <w:lang w:val="en-US" w:eastAsia="zh-CN"/>
              </w:rPr>
            </w:pPr>
            <w:r>
              <w:rPr>
                <w:rFonts w:hint="default" w:ascii="Times New Roman" w:hAnsi="Times New Roman" w:eastAsia="黑体" w:cs="Times New Roman"/>
                <w:color w:val="auto"/>
                <w:sz w:val="21"/>
                <w:szCs w:val="21"/>
                <w:lang w:val="en-US" w:eastAsia="zh-CN"/>
              </w:rPr>
              <w:t>检查事项</w:t>
            </w:r>
          </w:p>
        </w:tc>
        <w:tc>
          <w:tcPr>
            <w:tcW w:w="3775" w:type="dxa"/>
            <w:noWrap w:val="0"/>
            <w:vAlign w:val="center"/>
          </w:tcPr>
          <w:p w14:paraId="78690224">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黑体" w:cs="Times New Roman"/>
                <w:color w:val="auto"/>
                <w:sz w:val="21"/>
                <w:szCs w:val="21"/>
                <w:lang w:val="en-US" w:eastAsia="zh-CN"/>
              </w:rPr>
            </w:pPr>
            <w:r>
              <w:rPr>
                <w:rFonts w:hint="default" w:ascii="Times New Roman" w:hAnsi="Times New Roman" w:eastAsia="黑体" w:cs="Times New Roman"/>
                <w:color w:val="auto"/>
                <w:sz w:val="21"/>
                <w:szCs w:val="21"/>
                <w:lang w:val="en-US" w:eastAsia="zh-CN"/>
              </w:rPr>
              <w:t>实施依据</w:t>
            </w:r>
          </w:p>
        </w:tc>
        <w:tc>
          <w:tcPr>
            <w:tcW w:w="2433" w:type="dxa"/>
            <w:noWrap w:val="0"/>
            <w:vAlign w:val="center"/>
          </w:tcPr>
          <w:p w14:paraId="1672F9F9">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黑体" w:cs="Times New Roman"/>
                <w:color w:val="auto"/>
                <w:sz w:val="21"/>
                <w:szCs w:val="21"/>
                <w:lang w:val="en-US" w:eastAsia="zh-CN"/>
              </w:rPr>
            </w:pPr>
            <w:r>
              <w:rPr>
                <w:rFonts w:hint="default" w:ascii="Times New Roman" w:hAnsi="Times New Roman" w:eastAsia="黑体" w:cs="Times New Roman"/>
                <w:color w:val="auto"/>
                <w:sz w:val="21"/>
                <w:szCs w:val="21"/>
                <w:lang w:val="en-US" w:eastAsia="zh-CN"/>
              </w:rPr>
              <w:t>检查对象</w:t>
            </w:r>
          </w:p>
        </w:tc>
        <w:tc>
          <w:tcPr>
            <w:tcW w:w="1082" w:type="dxa"/>
            <w:noWrap w:val="0"/>
            <w:vAlign w:val="center"/>
          </w:tcPr>
          <w:p w14:paraId="427AFB0D">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黑体" w:cs="Times New Roman"/>
                <w:color w:val="auto"/>
                <w:sz w:val="21"/>
                <w:szCs w:val="21"/>
                <w:lang w:val="en-US" w:eastAsia="zh-CN"/>
              </w:rPr>
            </w:pPr>
            <w:r>
              <w:rPr>
                <w:rFonts w:hint="default" w:ascii="Times New Roman" w:hAnsi="Times New Roman" w:eastAsia="黑体" w:cs="Times New Roman"/>
                <w:color w:val="auto"/>
                <w:sz w:val="21"/>
                <w:szCs w:val="21"/>
                <w:lang w:val="en-US" w:eastAsia="zh-CN"/>
              </w:rPr>
              <w:t>检查方式</w:t>
            </w:r>
          </w:p>
        </w:tc>
        <w:tc>
          <w:tcPr>
            <w:tcW w:w="1082" w:type="dxa"/>
            <w:noWrap w:val="0"/>
            <w:vAlign w:val="center"/>
          </w:tcPr>
          <w:p w14:paraId="2D9F0ADE">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default" w:ascii="Times New Roman" w:hAnsi="Times New Roman" w:eastAsia="黑体" w:cs="Times New Roman"/>
                <w:color w:val="auto"/>
                <w:sz w:val="21"/>
                <w:szCs w:val="21"/>
                <w:lang w:val="en-US" w:eastAsia="zh-CN"/>
              </w:rPr>
            </w:pPr>
            <w:r>
              <w:rPr>
                <w:rFonts w:hint="default" w:ascii="Times New Roman" w:hAnsi="Times New Roman" w:eastAsia="黑体" w:cs="Times New Roman"/>
                <w:color w:val="auto"/>
                <w:sz w:val="21"/>
                <w:szCs w:val="21"/>
                <w:lang w:val="en-US" w:eastAsia="zh-CN"/>
              </w:rPr>
              <w:t>检查范围</w:t>
            </w:r>
          </w:p>
        </w:tc>
        <w:tc>
          <w:tcPr>
            <w:tcW w:w="1542" w:type="dxa"/>
            <w:noWrap w:val="0"/>
            <w:vAlign w:val="center"/>
          </w:tcPr>
          <w:p w14:paraId="58191DC2">
            <w:pPr>
              <w:keepNext w:val="0"/>
              <w:keepLines w:val="0"/>
              <w:pageBreakBefore w:val="0"/>
              <w:widowControl w:val="0"/>
              <w:kinsoku/>
              <w:wordWrap/>
              <w:overflowPunct/>
              <w:topLinePunct w:val="0"/>
              <w:autoSpaceDE/>
              <w:autoSpaceDN/>
              <w:bidi w:val="0"/>
              <w:adjustRightInd/>
              <w:snapToGrid/>
              <w:spacing w:line="240" w:lineRule="exact"/>
              <w:ind w:left="0"/>
              <w:jc w:val="center"/>
              <w:textAlignment w:val="auto"/>
              <w:rPr>
                <w:rFonts w:hint="eastAsia" w:ascii="Times New Roman" w:hAnsi="Times New Roman" w:eastAsia="黑体" w:cs="Times New Roman"/>
                <w:color w:val="auto"/>
                <w:sz w:val="21"/>
                <w:szCs w:val="21"/>
                <w:lang w:val="en-US" w:eastAsia="zh-CN"/>
              </w:rPr>
            </w:pPr>
            <w:r>
              <w:rPr>
                <w:rFonts w:hint="eastAsia" w:ascii="Times New Roman" w:hAnsi="Times New Roman" w:eastAsia="黑体" w:cs="Times New Roman"/>
                <w:color w:val="auto"/>
                <w:sz w:val="21"/>
                <w:szCs w:val="21"/>
                <w:lang w:val="en-US" w:eastAsia="zh-CN"/>
              </w:rPr>
              <w:t>年度</w:t>
            </w:r>
            <w:r>
              <w:rPr>
                <w:rFonts w:hint="default" w:ascii="Times New Roman" w:hAnsi="Times New Roman" w:eastAsia="黑体" w:cs="Times New Roman"/>
                <w:color w:val="auto"/>
                <w:sz w:val="21"/>
                <w:szCs w:val="21"/>
              </w:rPr>
              <w:t>检查频次</w:t>
            </w:r>
            <w:r>
              <w:rPr>
                <w:rFonts w:hint="eastAsia" w:ascii="Times New Roman" w:hAnsi="Times New Roman" w:eastAsia="黑体" w:cs="Times New Roman"/>
                <w:color w:val="auto"/>
                <w:sz w:val="21"/>
                <w:szCs w:val="21"/>
                <w:lang w:val="en-US" w:eastAsia="zh-CN"/>
              </w:rPr>
              <w:t>上限</w:t>
            </w:r>
          </w:p>
        </w:tc>
      </w:tr>
      <w:tr w14:paraId="58233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exact"/>
          <w:jc w:val="center"/>
        </w:trPr>
        <w:tc>
          <w:tcPr>
            <w:tcW w:w="664" w:type="dxa"/>
            <w:noWrap w:val="0"/>
            <w:vAlign w:val="center"/>
          </w:tcPr>
          <w:p w14:paraId="0815E39D">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kern w:val="2"/>
                <w:sz w:val="21"/>
                <w:szCs w:val="21"/>
                <w:lang w:val="en-US" w:eastAsia="zh-CN" w:bidi="ar-SA"/>
              </w:rPr>
              <w:t>1</w:t>
            </w:r>
          </w:p>
        </w:tc>
        <w:tc>
          <w:tcPr>
            <w:tcW w:w="1479" w:type="dxa"/>
            <w:noWrap w:val="0"/>
            <w:vAlign w:val="center"/>
          </w:tcPr>
          <w:p w14:paraId="230E4DBB">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58CA2FD5">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对第三方环保服务机构的检查</w:t>
            </w:r>
          </w:p>
        </w:tc>
        <w:tc>
          <w:tcPr>
            <w:tcW w:w="3775" w:type="dxa"/>
            <w:noWrap w:val="0"/>
            <w:vAlign w:val="center"/>
          </w:tcPr>
          <w:p w14:paraId="1930066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《中华人民共和国大气污染防治法》第二十九条、第五十四条《中华人民共和国环境影响评价法》第二十条、《河南省大气污染防治条例》第二十条</w:t>
            </w:r>
          </w:p>
        </w:tc>
        <w:tc>
          <w:tcPr>
            <w:tcW w:w="2433" w:type="dxa"/>
            <w:noWrap w:val="0"/>
            <w:vAlign w:val="center"/>
          </w:tcPr>
          <w:p w14:paraId="65374159">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在线监控第三方运维机构、第三方检测、检验机构、第三方环评编制单位等第三方环保服务机构</w:t>
            </w:r>
          </w:p>
        </w:tc>
        <w:tc>
          <w:tcPr>
            <w:tcW w:w="1082" w:type="dxa"/>
            <w:noWrap w:val="0"/>
            <w:vAlign w:val="center"/>
          </w:tcPr>
          <w:p w14:paraId="518FEB36">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eastAsia" w:ascii="Times New Roman" w:hAnsi="Times New Roman" w:eastAsia="方正仿宋_GBK" w:cs="Times New Roman"/>
                <w:color w:val="auto"/>
                <w:sz w:val="21"/>
                <w:szCs w:val="21"/>
                <w:lang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5F1A8C03">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eastAsia" w:ascii="Times New Roman" w:hAnsi="Times New Roman" w:eastAsia="方正仿宋_GBK" w:cs="Times New Roman"/>
                <w:color w:val="auto"/>
                <w:sz w:val="21"/>
                <w:szCs w:val="21"/>
                <w:lang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24C5F434">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5743A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2" w:hRule="exact"/>
          <w:jc w:val="center"/>
        </w:trPr>
        <w:tc>
          <w:tcPr>
            <w:tcW w:w="664" w:type="dxa"/>
            <w:noWrap w:val="0"/>
            <w:vAlign w:val="center"/>
          </w:tcPr>
          <w:p w14:paraId="143565B9">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kern w:val="2"/>
                <w:sz w:val="21"/>
                <w:szCs w:val="21"/>
                <w:lang w:val="en-US" w:eastAsia="zh-CN" w:bidi="ar-SA"/>
              </w:rPr>
              <w:t>2</w:t>
            </w:r>
          </w:p>
        </w:tc>
        <w:tc>
          <w:tcPr>
            <w:tcW w:w="1479" w:type="dxa"/>
            <w:noWrap w:val="0"/>
            <w:vAlign w:val="center"/>
          </w:tcPr>
          <w:p w14:paraId="5721B87A">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6AFAD171">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涉气污染源（固定源、移动源）执法检查</w:t>
            </w:r>
          </w:p>
        </w:tc>
        <w:tc>
          <w:tcPr>
            <w:tcW w:w="3775" w:type="dxa"/>
            <w:noWrap w:val="0"/>
            <w:vAlign w:val="center"/>
          </w:tcPr>
          <w:p w14:paraId="1667318F">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《中华人民共和国大气污染防治法》第二十九条、第五十六条、五十四条、《河南省大气污染防治条例》第四十三条、第六条</w:t>
            </w:r>
          </w:p>
        </w:tc>
        <w:tc>
          <w:tcPr>
            <w:tcW w:w="2433" w:type="dxa"/>
            <w:noWrap w:val="0"/>
            <w:vAlign w:val="center"/>
          </w:tcPr>
          <w:p w14:paraId="07617DE4">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电力、钢铁、水泥、焦化、砂石骨料和涉挥发性有机物排放等重点行业企业重型货车、非道路移动机械、油品储运销企业</w:t>
            </w:r>
          </w:p>
        </w:tc>
        <w:tc>
          <w:tcPr>
            <w:tcW w:w="1082" w:type="dxa"/>
            <w:noWrap w:val="0"/>
            <w:vAlign w:val="center"/>
          </w:tcPr>
          <w:p w14:paraId="18EF5C71">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eastAsia" w:ascii="Times New Roman" w:hAnsi="Times New Roman" w:eastAsia="方正仿宋_GBK" w:cs="Times New Roman"/>
                <w:color w:val="auto"/>
                <w:sz w:val="21"/>
                <w:szCs w:val="21"/>
                <w:lang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342EB4E4">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eastAsia" w:ascii="Times New Roman" w:hAnsi="Times New Roman" w:eastAsia="方正仿宋_GBK" w:cs="Times New Roman"/>
                <w:color w:val="auto"/>
                <w:sz w:val="21"/>
                <w:szCs w:val="21"/>
                <w:lang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62499380">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2843F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exact"/>
          <w:jc w:val="center"/>
        </w:trPr>
        <w:tc>
          <w:tcPr>
            <w:tcW w:w="664" w:type="dxa"/>
            <w:noWrap w:val="0"/>
            <w:vAlign w:val="center"/>
          </w:tcPr>
          <w:p w14:paraId="51B6FC3C">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kern w:val="2"/>
                <w:sz w:val="21"/>
                <w:szCs w:val="21"/>
                <w:lang w:val="en-US" w:eastAsia="zh-CN" w:bidi="ar-SA"/>
              </w:rPr>
              <w:t>3</w:t>
            </w:r>
          </w:p>
        </w:tc>
        <w:tc>
          <w:tcPr>
            <w:tcW w:w="1479" w:type="dxa"/>
            <w:noWrap w:val="0"/>
            <w:vAlign w:val="center"/>
          </w:tcPr>
          <w:p w14:paraId="5BB61832">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4886CF21">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重污染天气应急管控执法检查</w:t>
            </w:r>
          </w:p>
        </w:tc>
        <w:tc>
          <w:tcPr>
            <w:tcW w:w="3775" w:type="dxa"/>
            <w:noWrap w:val="0"/>
            <w:vAlign w:val="center"/>
          </w:tcPr>
          <w:p w14:paraId="6F6643B6">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1.</w:t>
            </w:r>
            <w:r>
              <w:rPr>
                <w:rFonts w:hint="default" w:ascii="Times New Roman" w:hAnsi="Times New Roman" w:eastAsia="方正仿宋_GBK" w:cs="Times New Roman"/>
                <w:i w:val="0"/>
                <w:iCs w:val="0"/>
                <w:color w:val="auto"/>
                <w:kern w:val="0"/>
                <w:sz w:val="21"/>
                <w:szCs w:val="21"/>
                <w:u w:val="none"/>
                <w:lang w:val="en-US" w:eastAsia="zh-CN" w:bidi="ar"/>
              </w:rPr>
              <w:t>《中华人民共和国大气污染防治法》第二十九条、第九十六条、</w:t>
            </w:r>
          </w:p>
          <w:p w14:paraId="32BCAFE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2.</w:t>
            </w:r>
            <w:r>
              <w:rPr>
                <w:rFonts w:hint="default" w:ascii="Times New Roman" w:hAnsi="Times New Roman" w:eastAsia="方正仿宋_GBK" w:cs="Times New Roman"/>
                <w:i w:val="0"/>
                <w:iCs w:val="0"/>
                <w:color w:val="auto"/>
                <w:kern w:val="0"/>
                <w:sz w:val="21"/>
                <w:szCs w:val="21"/>
                <w:u w:val="none"/>
                <w:lang w:val="en-US" w:eastAsia="zh-CN" w:bidi="ar"/>
              </w:rPr>
              <w:t>《河南省大气污染防治条例》第六条、第六十三条</w:t>
            </w:r>
          </w:p>
        </w:tc>
        <w:tc>
          <w:tcPr>
            <w:tcW w:w="2433" w:type="dxa"/>
            <w:noWrap w:val="0"/>
            <w:vAlign w:val="center"/>
          </w:tcPr>
          <w:p w14:paraId="16229440">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以应急减排清单为基础的全市工业源、移动源、扬尘源</w:t>
            </w:r>
          </w:p>
        </w:tc>
        <w:tc>
          <w:tcPr>
            <w:tcW w:w="1082" w:type="dxa"/>
            <w:noWrap w:val="0"/>
            <w:vAlign w:val="center"/>
          </w:tcPr>
          <w:p w14:paraId="5A02B412">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399C46E8">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271832A0">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0F2DD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exact"/>
          <w:jc w:val="center"/>
        </w:trPr>
        <w:tc>
          <w:tcPr>
            <w:tcW w:w="664" w:type="dxa"/>
            <w:noWrap w:val="0"/>
            <w:vAlign w:val="center"/>
          </w:tcPr>
          <w:p w14:paraId="4F0169E7">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kern w:val="2"/>
                <w:sz w:val="21"/>
                <w:szCs w:val="21"/>
                <w:lang w:val="en-US" w:eastAsia="zh-CN" w:bidi="ar-SA"/>
              </w:rPr>
              <w:t>4</w:t>
            </w:r>
          </w:p>
        </w:tc>
        <w:tc>
          <w:tcPr>
            <w:tcW w:w="1479" w:type="dxa"/>
            <w:noWrap w:val="0"/>
            <w:vAlign w:val="center"/>
          </w:tcPr>
          <w:p w14:paraId="15825328">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45AF04CE">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核与辐射安全检查</w:t>
            </w:r>
          </w:p>
        </w:tc>
        <w:tc>
          <w:tcPr>
            <w:tcW w:w="3775" w:type="dxa"/>
            <w:noWrap w:val="0"/>
            <w:vAlign w:val="center"/>
          </w:tcPr>
          <w:p w14:paraId="32317AB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1.</w:t>
            </w:r>
            <w:r>
              <w:rPr>
                <w:rFonts w:hint="default" w:ascii="Times New Roman" w:hAnsi="Times New Roman" w:eastAsia="方正仿宋_GBK" w:cs="Times New Roman"/>
                <w:i w:val="0"/>
                <w:iCs w:val="0"/>
                <w:color w:val="auto"/>
                <w:kern w:val="0"/>
                <w:sz w:val="21"/>
                <w:szCs w:val="21"/>
                <w:u w:val="none"/>
                <w:lang w:val="en-US" w:eastAsia="zh-CN" w:bidi="ar"/>
              </w:rPr>
              <w:t>《中华人民共和国放射性污染防治法》第十一条</w:t>
            </w:r>
          </w:p>
          <w:p w14:paraId="3BFBC39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2.</w:t>
            </w:r>
            <w:r>
              <w:rPr>
                <w:rFonts w:hint="default" w:ascii="Times New Roman" w:hAnsi="Times New Roman" w:eastAsia="方正仿宋_GBK" w:cs="Times New Roman"/>
                <w:i w:val="0"/>
                <w:iCs w:val="0"/>
                <w:color w:val="auto"/>
                <w:kern w:val="0"/>
                <w:sz w:val="21"/>
                <w:szCs w:val="21"/>
                <w:u w:val="none"/>
                <w:lang w:val="en-US" w:eastAsia="zh-CN" w:bidi="ar"/>
              </w:rPr>
              <w:t>《放射性同位素与射线装置安全和防护条例》第四十六条</w:t>
            </w:r>
          </w:p>
          <w:p w14:paraId="4AB33298">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3.</w:t>
            </w:r>
            <w:r>
              <w:rPr>
                <w:rFonts w:hint="default" w:ascii="Times New Roman" w:hAnsi="Times New Roman" w:eastAsia="方正仿宋_GBK" w:cs="Times New Roman"/>
                <w:i w:val="0"/>
                <w:iCs w:val="0"/>
                <w:color w:val="auto"/>
                <w:kern w:val="0"/>
                <w:sz w:val="21"/>
                <w:szCs w:val="21"/>
                <w:u w:val="none"/>
                <w:lang w:val="en-US" w:eastAsia="zh-CN" w:bidi="ar"/>
              </w:rPr>
              <w:t>《河南省辐射污染防治条例》第六条、第三十条</w:t>
            </w:r>
          </w:p>
        </w:tc>
        <w:tc>
          <w:tcPr>
            <w:tcW w:w="2433" w:type="dxa"/>
            <w:noWrap w:val="0"/>
            <w:vAlign w:val="center"/>
          </w:tcPr>
          <w:p w14:paraId="4423542C">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核技术利用单位、伴生放射性矿开发利用企业</w:t>
            </w:r>
          </w:p>
        </w:tc>
        <w:tc>
          <w:tcPr>
            <w:tcW w:w="1082" w:type="dxa"/>
            <w:noWrap w:val="0"/>
            <w:vAlign w:val="center"/>
          </w:tcPr>
          <w:p w14:paraId="18AF2147">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6A177C9D">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3CB6F50C">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7B67D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664" w:type="dxa"/>
            <w:noWrap w:val="0"/>
            <w:vAlign w:val="center"/>
          </w:tcPr>
          <w:p w14:paraId="1E5F92D2">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kern w:val="2"/>
                <w:sz w:val="21"/>
                <w:szCs w:val="21"/>
                <w:lang w:val="en-US" w:eastAsia="zh-CN" w:bidi="ar-SA"/>
              </w:rPr>
              <w:t>5</w:t>
            </w:r>
          </w:p>
        </w:tc>
        <w:tc>
          <w:tcPr>
            <w:tcW w:w="1479" w:type="dxa"/>
            <w:noWrap w:val="0"/>
            <w:vAlign w:val="center"/>
          </w:tcPr>
          <w:p w14:paraId="4B73EC89">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0E0364FF">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i w:val="0"/>
                <w:iCs w:val="0"/>
                <w:color w:val="auto"/>
                <w:kern w:val="0"/>
                <w:sz w:val="21"/>
                <w:szCs w:val="21"/>
                <w:u w:val="none"/>
                <w:lang w:val="en-US" w:eastAsia="zh-CN" w:bidi="ar"/>
              </w:rPr>
              <w:t>生活垃圾焚烧发电、医疗废物焚烧处置企业执法检查</w:t>
            </w:r>
          </w:p>
        </w:tc>
        <w:tc>
          <w:tcPr>
            <w:tcW w:w="3775" w:type="dxa"/>
            <w:noWrap w:val="0"/>
            <w:vAlign w:val="center"/>
          </w:tcPr>
          <w:p w14:paraId="1E958BC3">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1.</w:t>
            </w:r>
            <w:r>
              <w:rPr>
                <w:rFonts w:hint="default" w:ascii="Times New Roman" w:hAnsi="Times New Roman" w:eastAsia="方正仿宋_GBK" w:cs="Times New Roman"/>
                <w:i w:val="0"/>
                <w:iCs w:val="0"/>
                <w:color w:val="auto"/>
                <w:kern w:val="0"/>
                <w:sz w:val="21"/>
                <w:szCs w:val="21"/>
                <w:u w:val="none"/>
                <w:lang w:val="en-US" w:eastAsia="zh-CN" w:bidi="ar"/>
              </w:rPr>
              <w:t>《中华人民共和国固体废物污染环境防治法》第二十六条</w:t>
            </w:r>
          </w:p>
          <w:p w14:paraId="5E0E9D20">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i w:val="0"/>
                <w:iCs w:val="0"/>
                <w:color w:val="auto"/>
                <w:kern w:val="0"/>
                <w:sz w:val="21"/>
                <w:szCs w:val="21"/>
                <w:lang w:val="en-US" w:eastAsia="zh-CN" w:bidi="ar"/>
              </w:rPr>
              <w:t>2.</w:t>
            </w:r>
            <w:r>
              <w:rPr>
                <w:rFonts w:hint="default" w:ascii="Times New Roman" w:hAnsi="Times New Roman" w:eastAsia="方正仿宋_GBK" w:cs="Times New Roman"/>
                <w:i w:val="0"/>
                <w:iCs w:val="0"/>
                <w:color w:val="auto"/>
                <w:kern w:val="0"/>
                <w:sz w:val="21"/>
                <w:szCs w:val="21"/>
                <w:u w:val="none"/>
                <w:lang w:val="en-US" w:eastAsia="zh-CN" w:bidi="ar"/>
              </w:rPr>
              <w:t>《中华人民共和国大气污染防治法》第二十九条</w:t>
            </w:r>
          </w:p>
        </w:tc>
        <w:tc>
          <w:tcPr>
            <w:tcW w:w="2433" w:type="dxa"/>
            <w:noWrap w:val="0"/>
            <w:vAlign w:val="center"/>
          </w:tcPr>
          <w:p w14:paraId="62D87CCB">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i w:val="0"/>
                <w:iCs w:val="0"/>
                <w:color w:val="auto"/>
                <w:kern w:val="0"/>
                <w:sz w:val="21"/>
                <w:szCs w:val="21"/>
                <w:u w:val="none"/>
                <w:lang w:val="en-US" w:eastAsia="zh-CN" w:bidi="ar"/>
              </w:rPr>
              <w:t>生活垃圾焚烧发电、医疗废物焚烧处置企业</w:t>
            </w:r>
          </w:p>
        </w:tc>
        <w:tc>
          <w:tcPr>
            <w:tcW w:w="1082" w:type="dxa"/>
            <w:noWrap w:val="0"/>
            <w:vAlign w:val="center"/>
          </w:tcPr>
          <w:p w14:paraId="198CA168">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kern w:val="2"/>
                <w:sz w:val="21"/>
                <w:szCs w:val="21"/>
                <w:lang w:val="en-US" w:eastAsia="zh-CN" w:bidi="ar-SA"/>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0C9A2A0B">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kern w:val="2"/>
                <w:sz w:val="21"/>
                <w:szCs w:val="21"/>
                <w:lang w:val="en-US" w:eastAsia="zh-CN" w:bidi="ar-SA"/>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2B000C22">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kern w:val="2"/>
                <w:sz w:val="21"/>
                <w:szCs w:val="21"/>
                <w:lang w:val="en-US" w:eastAsia="zh-CN" w:bidi="ar-SA"/>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07E0D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664" w:type="dxa"/>
            <w:noWrap w:val="0"/>
            <w:vAlign w:val="center"/>
          </w:tcPr>
          <w:p w14:paraId="087C1B5A">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6</w:t>
            </w:r>
          </w:p>
        </w:tc>
        <w:tc>
          <w:tcPr>
            <w:tcW w:w="1479" w:type="dxa"/>
            <w:noWrap w:val="0"/>
            <w:vAlign w:val="center"/>
          </w:tcPr>
          <w:p w14:paraId="29E111BB">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59966AAD">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入河排污口排查溯源整治</w:t>
            </w:r>
          </w:p>
        </w:tc>
        <w:tc>
          <w:tcPr>
            <w:tcW w:w="3775" w:type="dxa"/>
            <w:noWrap w:val="0"/>
            <w:vAlign w:val="center"/>
          </w:tcPr>
          <w:p w14:paraId="6A596511">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1.</w:t>
            </w:r>
            <w:r>
              <w:rPr>
                <w:rFonts w:hint="default" w:ascii="Times New Roman" w:hAnsi="Times New Roman" w:eastAsia="方正仿宋_GBK" w:cs="Times New Roman"/>
                <w:i w:val="0"/>
                <w:iCs w:val="0"/>
                <w:color w:val="auto"/>
                <w:kern w:val="0"/>
                <w:sz w:val="21"/>
                <w:szCs w:val="21"/>
                <w:u w:val="none"/>
                <w:lang w:val="en-US" w:eastAsia="zh-CN" w:bidi="ar"/>
              </w:rPr>
              <w:t>《中华人民共和国水污染防治法》第三十条、第五十条</w:t>
            </w:r>
          </w:p>
          <w:p w14:paraId="0FB00A39">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lang w:val="en-US" w:eastAsia="zh-CN" w:bidi="ar"/>
              </w:rPr>
              <w:t>2.</w:t>
            </w:r>
            <w:r>
              <w:rPr>
                <w:rFonts w:hint="default" w:ascii="Times New Roman" w:hAnsi="Times New Roman" w:eastAsia="方正仿宋_GBK" w:cs="Times New Roman"/>
                <w:i w:val="0"/>
                <w:iCs w:val="0"/>
                <w:color w:val="auto"/>
                <w:kern w:val="0"/>
                <w:sz w:val="21"/>
                <w:szCs w:val="21"/>
                <w:u w:val="none"/>
                <w:lang w:val="en-US" w:eastAsia="zh-CN" w:bidi="ar"/>
              </w:rPr>
              <w:t>《入河排污口监督管理办法》第二十六条</w:t>
            </w:r>
          </w:p>
        </w:tc>
        <w:tc>
          <w:tcPr>
            <w:tcW w:w="2433" w:type="dxa"/>
            <w:noWrap w:val="0"/>
            <w:vAlign w:val="center"/>
          </w:tcPr>
          <w:p w14:paraId="0D8F2C08">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入河排污口关联企业</w:t>
            </w:r>
          </w:p>
        </w:tc>
        <w:tc>
          <w:tcPr>
            <w:tcW w:w="1082" w:type="dxa"/>
            <w:noWrap w:val="0"/>
            <w:vAlign w:val="center"/>
          </w:tcPr>
          <w:p w14:paraId="4B0F7904">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5E158A40">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1F594CE1">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71A90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exact"/>
          <w:jc w:val="center"/>
        </w:trPr>
        <w:tc>
          <w:tcPr>
            <w:tcW w:w="664" w:type="dxa"/>
            <w:noWrap w:val="0"/>
            <w:vAlign w:val="center"/>
          </w:tcPr>
          <w:p w14:paraId="2810CC44">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7</w:t>
            </w:r>
          </w:p>
        </w:tc>
        <w:tc>
          <w:tcPr>
            <w:tcW w:w="1479" w:type="dxa"/>
            <w:noWrap w:val="0"/>
            <w:vAlign w:val="center"/>
          </w:tcPr>
          <w:p w14:paraId="0D685355">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1EF421D1">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对工业园区工业废水依托城镇污水处理厂处理评估的检查</w:t>
            </w:r>
          </w:p>
        </w:tc>
        <w:tc>
          <w:tcPr>
            <w:tcW w:w="3775" w:type="dxa"/>
            <w:noWrap w:val="0"/>
            <w:vAlign w:val="center"/>
          </w:tcPr>
          <w:p w14:paraId="394477D0">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《中华人民共和国水污染防治法》第三十条、第五十条</w:t>
            </w:r>
          </w:p>
          <w:p w14:paraId="5ABBA48F">
            <w:pPr>
              <w:keepNext w:val="0"/>
              <w:keepLines w:val="0"/>
              <w:pageBreakBefore w:val="0"/>
              <w:widowControl/>
              <w:numPr>
                <w:ilvl w:val="0"/>
                <w:numId w:val="1"/>
              </w:numPr>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《河南省水污染防治条例》第二十四条</w:t>
            </w:r>
          </w:p>
        </w:tc>
        <w:tc>
          <w:tcPr>
            <w:tcW w:w="2433" w:type="dxa"/>
            <w:noWrap w:val="0"/>
            <w:vAlign w:val="center"/>
          </w:tcPr>
          <w:p w14:paraId="2F7279D3">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工业园区配套污水处理厂及收水范围内工业企业</w:t>
            </w:r>
          </w:p>
        </w:tc>
        <w:tc>
          <w:tcPr>
            <w:tcW w:w="1082" w:type="dxa"/>
            <w:noWrap w:val="0"/>
            <w:vAlign w:val="center"/>
          </w:tcPr>
          <w:p w14:paraId="7E1F2E5B">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27CCCF72">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41484402">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3E24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exact"/>
          <w:jc w:val="center"/>
        </w:trPr>
        <w:tc>
          <w:tcPr>
            <w:tcW w:w="664" w:type="dxa"/>
            <w:noWrap w:val="0"/>
            <w:vAlign w:val="center"/>
          </w:tcPr>
          <w:p w14:paraId="5830924A">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8</w:t>
            </w:r>
          </w:p>
        </w:tc>
        <w:tc>
          <w:tcPr>
            <w:tcW w:w="1479" w:type="dxa"/>
            <w:noWrap w:val="0"/>
            <w:vAlign w:val="center"/>
          </w:tcPr>
          <w:p w14:paraId="771577BA">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426C072D">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水质超标断面现场核查</w:t>
            </w:r>
          </w:p>
        </w:tc>
        <w:tc>
          <w:tcPr>
            <w:tcW w:w="3775" w:type="dxa"/>
            <w:noWrap w:val="0"/>
            <w:vAlign w:val="center"/>
          </w:tcPr>
          <w:p w14:paraId="2A9C756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1.</w:t>
            </w:r>
            <w:r>
              <w:rPr>
                <w:rFonts w:hint="default" w:ascii="Times New Roman" w:hAnsi="Times New Roman" w:eastAsia="方正仿宋_GBK" w:cs="Times New Roman"/>
                <w:i w:val="0"/>
                <w:iCs w:val="0"/>
                <w:color w:val="auto"/>
                <w:kern w:val="0"/>
                <w:sz w:val="21"/>
                <w:szCs w:val="21"/>
                <w:u w:val="none"/>
                <w:lang w:val="en-US" w:eastAsia="zh-CN" w:bidi="ar"/>
              </w:rPr>
              <w:t>《中华人民共和国水污染防治法》第三十条</w:t>
            </w:r>
          </w:p>
          <w:p w14:paraId="3EB5A9C4">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lang w:val="en-US" w:eastAsia="zh-CN" w:bidi="ar"/>
              </w:rPr>
              <w:t>2.</w:t>
            </w:r>
            <w:r>
              <w:rPr>
                <w:rFonts w:hint="default" w:ascii="Times New Roman" w:hAnsi="Times New Roman" w:eastAsia="方正仿宋_GBK" w:cs="Times New Roman"/>
                <w:i w:val="0"/>
                <w:iCs w:val="0"/>
                <w:color w:val="auto"/>
                <w:kern w:val="0"/>
                <w:sz w:val="21"/>
                <w:szCs w:val="21"/>
                <w:u w:val="none"/>
                <w:lang w:val="en-US" w:eastAsia="zh-CN" w:bidi="ar"/>
              </w:rPr>
              <w:t>《河南省水污染防治条例》第二十四条</w:t>
            </w:r>
          </w:p>
        </w:tc>
        <w:tc>
          <w:tcPr>
            <w:tcW w:w="2433" w:type="dxa"/>
            <w:noWrap w:val="0"/>
            <w:vAlign w:val="center"/>
          </w:tcPr>
          <w:p w14:paraId="2E27A2EE">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超标断面上游涉水污染源</w:t>
            </w:r>
          </w:p>
        </w:tc>
        <w:tc>
          <w:tcPr>
            <w:tcW w:w="1082" w:type="dxa"/>
            <w:noWrap w:val="0"/>
            <w:vAlign w:val="center"/>
          </w:tcPr>
          <w:p w14:paraId="7A0402B8">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3C6E98CB">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730F4E43">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09AF5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exact"/>
          <w:jc w:val="center"/>
        </w:trPr>
        <w:tc>
          <w:tcPr>
            <w:tcW w:w="664" w:type="dxa"/>
            <w:noWrap w:val="0"/>
            <w:vAlign w:val="center"/>
          </w:tcPr>
          <w:p w14:paraId="21B6A3B6">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9</w:t>
            </w:r>
          </w:p>
        </w:tc>
        <w:tc>
          <w:tcPr>
            <w:tcW w:w="1479" w:type="dxa"/>
            <w:noWrap w:val="0"/>
            <w:vAlign w:val="center"/>
          </w:tcPr>
          <w:p w14:paraId="37BF5E4F">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457952C9">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对规模养殖场和畜禽养殖业的检查</w:t>
            </w:r>
          </w:p>
        </w:tc>
        <w:tc>
          <w:tcPr>
            <w:tcW w:w="3775" w:type="dxa"/>
            <w:noWrap w:val="0"/>
            <w:vAlign w:val="center"/>
          </w:tcPr>
          <w:p w14:paraId="158FB8FC">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《畜禽规模养殖污染防治务例》第六条、第二十三条</w:t>
            </w:r>
          </w:p>
        </w:tc>
        <w:tc>
          <w:tcPr>
            <w:tcW w:w="2433" w:type="dxa"/>
            <w:noWrap w:val="0"/>
            <w:vAlign w:val="center"/>
          </w:tcPr>
          <w:p w14:paraId="1A686B7B">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从事畜禽养殖以及畜禽养殖废弃物综合利用和无害化处理活动的企业畜禽养殖业氨排放控制试点项目企业</w:t>
            </w:r>
          </w:p>
        </w:tc>
        <w:tc>
          <w:tcPr>
            <w:tcW w:w="1082" w:type="dxa"/>
            <w:noWrap w:val="0"/>
            <w:vAlign w:val="center"/>
          </w:tcPr>
          <w:p w14:paraId="0A634BF6">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1F67AAB8">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3F1208DF">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6286B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exact"/>
          <w:jc w:val="center"/>
        </w:trPr>
        <w:tc>
          <w:tcPr>
            <w:tcW w:w="664" w:type="dxa"/>
            <w:noWrap w:val="0"/>
            <w:vAlign w:val="center"/>
          </w:tcPr>
          <w:p w14:paraId="1A679FB3">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10</w:t>
            </w:r>
          </w:p>
        </w:tc>
        <w:tc>
          <w:tcPr>
            <w:tcW w:w="1479" w:type="dxa"/>
            <w:noWrap w:val="0"/>
            <w:vAlign w:val="center"/>
          </w:tcPr>
          <w:p w14:paraId="0C051A29">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19122E7B">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对土壤污染重点监管单位的检查</w:t>
            </w:r>
          </w:p>
        </w:tc>
        <w:tc>
          <w:tcPr>
            <w:tcW w:w="3775" w:type="dxa"/>
            <w:noWrap w:val="0"/>
            <w:vAlign w:val="center"/>
          </w:tcPr>
          <w:p w14:paraId="408A74CE">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lang w:val="en-US" w:eastAsia="zh-CN" w:bidi="ar"/>
              </w:rPr>
              <w:t>1.</w:t>
            </w:r>
            <w:r>
              <w:rPr>
                <w:rFonts w:hint="default" w:ascii="Times New Roman" w:hAnsi="Times New Roman" w:eastAsia="方正仿宋_GBK" w:cs="Times New Roman"/>
                <w:i w:val="0"/>
                <w:iCs w:val="0"/>
                <w:color w:val="auto"/>
                <w:kern w:val="0"/>
                <w:sz w:val="21"/>
                <w:szCs w:val="21"/>
                <w:u w:val="none"/>
                <w:lang w:val="en-US" w:eastAsia="zh-CN" w:bidi="ar"/>
              </w:rPr>
              <w:t>《中华人民共和国土壤污染防治法》第七十七条</w:t>
            </w:r>
          </w:p>
        </w:tc>
        <w:tc>
          <w:tcPr>
            <w:tcW w:w="2433" w:type="dxa"/>
            <w:noWrap w:val="0"/>
            <w:vAlign w:val="center"/>
          </w:tcPr>
          <w:p w14:paraId="15553415">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2021年已实施土壤污染隐患排查的重点监管单位</w:t>
            </w:r>
          </w:p>
        </w:tc>
        <w:tc>
          <w:tcPr>
            <w:tcW w:w="1082" w:type="dxa"/>
            <w:noWrap w:val="0"/>
            <w:vAlign w:val="center"/>
          </w:tcPr>
          <w:p w14:paraId="32C7CFF6">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30C6F9EC">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41E925F3">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4C875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exact"/>
          <w:jc w:val="center"/>
        </w:trPr>
        <w:tc>
          <w:tcPr>
            <w:tcW w:w="664" w:type="dxa"/>
            <w:noWrap w:val="0"/>
            <w:vAlign w:val="center"/>
          </w:tcPr>
          <w:p w14:paraId="2B7E2495">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kern w:val="2"/>
                <w:sz w:val="21"/>
                <w:szCs w:val="21"/>
                <w:lang w:val="en-US" w:eastAsia="zh-CN" w:bidi="ar-SA"/>
              </w:rPr>
              <w:t>1</w:t>
            </w:r>
            <w:r>
              <w:rPr>
                <w:rFonts w:hint="eastAsia" w:ascii="Times New Roman" w:hAnsi="Times New Roman" w:eastAsia="方正仿宋_GBK" w:cs="Times New Roman"/>
                <w:color w:val="auto"/>
                <w:kern w:val="2"/>
                <w:sz w:val="21"/>
                <w:szCs w:val="21"/>
                <w:lang w:val="en-US" w:eastAsia="zh-CN" w:bidi="ar-SA"/>
              </w:rPr>
              <w:t>1</w:t>
            </w:r>
          </w:p>
        </w:tc>
        <w:tc>
          <w:tcPr>
            <w:tcW w:w="1479" w:type="dxa"/>
            <w:noWrap w:val="0"/>
            <w:vAlign w:val="center"/>
          </w:tcPr>
          <w:p w14:paraId="71665DD4">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13A1E981">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对从事产生、收集、贮存、运输、利用、处置固体废物等活动的单位和其他生产经营者进行检查</w:t>
            </w:r>
          </w:p>
        </w:tc>
        <w:tc>
          <w:tcPr>
            <w:tcW w:w="3775" w:type="dxa"/>
            <w:noWrap w:val="0"/>
            <w:vAlign w:val="center"/>
          </w:tcPr>
          <w:p w14:paraId="1E1A3462">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1.</w:t>
            </w:r>
            <w:r>
              <w:rPr>
                <w:rFonts w:hint="default" w:ascii="Times New Roman" w:hAnsi="Times New Roman" w:eastAsia="方正仿宋_GBK" w:cs="Times New Roman"/>
                <w:i w:val="0"/>
                <w:iCs w:val="0"/>
                <w:color w:val="auto"/>
                <w:kern w:val="0"/>
                <w:sz w:val="21"/>
                <w:szCs w:val="21"/>
                <w:u w:val="none"/>
                <w:lang w:val="en-US" w:eastAsia="zh-CN" w:bidi="ar"/>
              </w:rPr>
              <w:t>《中华人民共和国固体废物污染环境防治法》第二十六条</w:t>
            </w:r>
          </w:p>
          <w:p w14:paraId="43AF140B">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lang w:val="en-US" w:eastAsia="zh-CN" w:bidi="ar"/>
              </w:rPr>
              <w:t>2.</w:t>
            </w:r>
            <w:r>
              <w:rPr>
                <w:rFonts w:hint="default" w:ascii="Times New Roman" w:hAnsi="Times New Roman" w:eastAsia="方正仿宋_GBK" w:cs="Times New Roman"/>
                <w:i w:val="0"/>
                <w:iCs w:val="0"/>
                <w:color w:val="auto"/>
                <w:kern w:val="0"/>
                <w:sz w:val="21"/>
                <w:szCs w:val="21"/>
                <w:u w:val="none"/>
                <w:lang w:val="en-US" w:eastAsia="zh-CN" w:bidi="ar"/>
              </w:rPr>
              <w:t>《危险废物经营许可证管理办法》第四条</w:t>
            </w:r>
          </w:p>
          <w:p w14:paraId="7BFE44C5">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lang w:val="en-US" w:eastAsia="zh-CN" w:bidi="ar"/>
              </w:rPr>
              <w:t>3.</w:t>
            </w:r>
            <w:r>
              <w:rPr>
                <w:rFonts w:hint="default" w:ascii="Times New Roman" w:hAnsi="Times New Roman" w:eastAsia="方正仿宋_GBK" w:cs="Times New Roman"/>
                <w:i w:val="0"/>
                <w:iCs w:val="0"/>
                <w:color w:val="auto"/>
                <w:kern w:val="0"/>
                <w:sz w:val="21"/>
                <w:szCs w:val="21"/>
                <w:u w:val="none"/>
                <w:lang w:val="en-US" w:eastAsia="zh-CN" w:bidi="ar"/>
              </w:rPr>
              <w:t>《医疗废物管理条例》第三十六条</w:t>
            </w:r>
          </w:p>
        </w:tc>
        <w:tc>
          <w:tcPr>
            <w:tcW w:w="2433" w:type="dxa"/>
            <w:noWrap w:val="0"/>
            <w:vAlign w:val="center"/>
          </w:tcPr>
          <w:p w14:paraId="4124559C">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从事产生、收集、贮存、运输、利用处置固体废物等活动的单位和其他生产经营单位、医疗废物集中处置单位</w:t>
            </w:r>
          </w:p>
        </w:tc>
        <w:tc>
          <w:tcPr>
            <w:tcW w:w="1082" w:type="dxa"/>
            <w:noWrap w:val="0"/>
            <w:vAlign w:val="center"/>
          </w:tcPr>
          <w:p w14:paraId="7EFF3887">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3488BB14">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4DA87F1D">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14A04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exact"/>
          <w:jc w:val="center"/>
        </w:trPr>
        <w:tc>
          <w:tcPr>
            <w:tcW w:w="664" w:type="dxa"/>
            <w:noWrap w:val="0"/>
            <w:vAlign w:val="center"/>
          </w:tcPr>
          <w:p w14:paraId="49D4FA69">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p>
        </w:tc>
        <w:tc>
          <w:tcPr>
            <w:tcW w:w="1479" w:type="dxa"/>
            <w:noWrap w:val="0"/>
            <w:vAlign w:val="center"/>
          </w:tcPr>
          <w:p w14:paraId="35E3D747">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p>
        </w:tc>
        <w:tc>
          <w:tcPr>
            <w:tcW w:w="2116" w:type="dxa"/>
            <w:noWrap w:val="0"/>
            <w:vAlign w:val="center"/>
          </w:tcPr>
          <w:p w14:paraId="7D299361">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p>
        </w:tc>
        <w:tc>
          <w:tcPr>
            <w:tcW w:w="3775" w:type="dxa"/>
            <w:noWrap w:val="0"/>
            <w:vAlign w:val="center"/>
          </w:tcPr>
          <w:p w14:paraId="60049B1C">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p>
        </w:tc>
        <w:tc>
          <w:tcPr>
            <w:tcW w:w="2433" w:type="dxa"/>
            <w:noWrap w:val="0"/>
            <w:vAlign w:val="center"/>
          </w:tcPr>
          <w:p w14:paraId="533EA554">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p>
        </w:tc>
        <w:tc>
          <w:tcPr>
            <w:tcW w:w="1082" w:type="dxa"/>
            <w:noWrap w:val="0"/>
            <w:vAlign w:val="center"/>
          </w:tcPr>
          <w:p w14:paraId="1DAE87B8">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p>
        </w:tc>
        <w:tc>
          <w:tcPr>
            <w:tcW w:w="1082" w:type="dxa"/>
            <w:noWrap w:val="0"/>
            <w:vAlign w:val="center"/>
          </w:tcPr>
          <w:p w14:paraId="1904835E">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p>
        </w:tc>
        <w:tc>
          <w:tcPr>
            <w:tcW w:w="1542" w:type="dxa"/>
            <w:noWrap w:val="0"/>
            <w:vAlign w:val="center"/>
          </w:tcPr>
          <w:p w14:paraId="2AF124F1">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p>
        </w:tc>
      </w:tr>
      <w:tr w14:paraId="3E089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exact"/>
          <w:jc w:val="center"/>
        </w:trPr>
        <w:tc>
          <w:tcPr>
            <w:tcW w:w="664" w:type="dxa"/>
            <w:noWrap w:val="0"/>
            <w:vAlign w:val="center"/>
          </w:tcPr>
          <w:p w14:paraId="67EF06D8">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12</w:t>
            </w:r>
          </w:p>
        </w:tc>
        <w:tc>
          <w:tcPr>
            <w:tcW w:w="1479" w:type="dxa"/>
            <w:noWrap w:val="0"/>
            <w:vAlign w:val="center"/>
          </w:tcPr>
          <w:p w14:paraId="3462C7C3">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23E89624">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对排污许可的执法检查</w:t>
            </w:r>
          </w:p>
        </w:tc>
        <w:tc>
          <w:tcPr>
            <w:tcW w:w="3775" w:type="dxa"/>
            <w:noWrap w:val="0"/>
            <w:vAlign w:val="center"/>
          </w:tcPr>
          <w:p w14:paraId="61C487E2">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《排污许可管理条例》第二十五条</w:t>
            </w:r>
          </w:p>
        </w:tc>
        <w:tc>
          <w:tcPr>
            <w:tcW w:w="2433" w:type="dxa"/>
            <w:noWrap w:val="0"/>
            <w:vAlign w:val="center"/>
          </w:tcPr>
          <w:p w14:paraId="4BA8E397">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纳入排污许可管理的固定污染源企业</w:t>
            </w:r>
          </w:p>
        </w:tc>
        <w:tc>
          <w:tcPr>
            <w:tcW w:w="1082" w:type="dxa"/>
            <w:noWrap w:val="0"/>
            <w:vAlign w:val="center"/>
          </w:tcPr>
          <w:p w14:paraId="48E823C2">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3EE8E94C">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3101F6AE">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54029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exact"/>
          <w:jc w:val="center"/>
        </w:trPr>
        <w:tc>
          <w:tcPr>
            <w:tcW w:w="664" w:type="dxa"/>
            <w:noWrap w:val="0"/>
            <w:vAlign w:val="center"/>
          </w:tcPr>
          <w:p w14:paraId="74CC80C4">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13</w:t>
            </w:r>
          </w:p>
        </w:tc>
        <w:tc>
          <w:tcPr>
            <w:tcW w:w="1479" w:type="dxa"/>
            <w:noWrap w:val="0"/>
            <w:vAlign w:val="center"/>
          </w:tcPr>
          <w:p w14:paraId="7BCA5EF6">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178C26C6">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油气回收检查</w:t>
            </w:r>
          </w:p>
        </w:tc>
        <w:tc>
          <w:tcPr>
            <w:tcW w:w="3775" w:type="dxa"/>
            <w:noWrap w:val="0"/>
            <w:vAlign w:val="center"/>
          </w:tcPr>
          <w:p w14:paraId="16E66BBA">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《中华人民共和国大气污染防治法》第二十九条</w:t>
            </w:r>
          </w:p>
        </w:tc>
        <w:tc>
          <w:tcPr>
            <w:tcW w:w="2433" w:type="dxa"/>
            <w:noWrap w:val="0"/>
            <w:vAlign w:val="center"/>
          </w:tcPr>
          <w:p w14:paraId="2DA5FEFE">
            <w:pPr>
              <w:keepNext w:val="0"/>
              <w:keepLines w:val="0"/>
              <w:pageBreakBefore w:val="0"/>
              <w:widowControl/>
              <w:suppressLineNumbers w:val="0"/>
              <w:kinsoku/>
              <w:wordWrap/>
              <w:overflowPunct/>
              <w:topLinePunct w:val="0"/>
              <w:autoSpaceDE/>
              <w:autoSpaceDN/>
              <w:bidi w:val="0"/>
              <w:adjustRightInd/>
              <w:snapToGrid/>
              <w:spacing w:line="240" w:lineRule="exact"/>
              <w:ind w:left="0"/>
              <w:jc w:val="both"/>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油品储运销企业</w:t>
            </w:r>
          </w:p>
        </w:tc>
        <w:tc>
          <w:tcPr>
            <w:tcW w:w="1082" w:type="dxa"/>
            <w:noWrap w:val="0"/>
            <w:vAlign w:val="center"/>
          </w:tcPr>
          <w:p w14:paraId="390CE62B">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Style w:val="16"/>
                <w:rFonts w:hint="default" w:ascii="Times New Roman" w:hAnsi="Times New Roman" w:eastAsia="方正仿宋_GBK" w:cs="Times New Roman"/>
                <w:color w:val="auto"/>
                <w:sz w:val="21"/>
                <w:szCs w:val="21"/>
                <w:lang w:val="en-US" w:eastAsia="zh-CN" w:bidi="ar"/>
              </w:rPr>
              <w:t>现场</w:t>
            </w:r>
            <w:r>
              <w:rPr>
                <w:rStyle w:val="16"/>
                <w:rFonts w:hint="eastAsia" w:ascii="Times New Roman" w:hAnsi="Times New Roman" w:eastAsia="方正仿宋_GBK" w:cs="Times New Roman"/>
                <w:color w:val="auto"/>
                <w:sz w:val="21"/>
                <w:szCs w:val="21"/>
                <w:lang w:val="en-US" w:eastAsia="zh-CN" w:bidi="ar"/>
              </w:rPr>
              <w:t>+非现场检查</w:t>
            </w:r>
          </w:p>
        </w:tc>
        <w:tc>
          <w:tcPr>
            <w:tcW w:w="1082" w:type="dxa"/>
            <w:noWrap w:val="0"/>
            <w:vAlign w:val="center"/>
          </w:tcPr>
          <w:p w14:paraId="161482CC">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37A487BE">
            <w:pPr>
              <w:keepNext w:val="0"/>
              <w:keepLines w:val="0"/>
              <w:pageBreakBefore w:val="0"/>
              <w:widowControl/>
              <w:suppressLineNumbers w:val="0"/>
              <w:kinsoku/>
              <w:wordWrap/>
              <w:overflowPunct/>
              <w:topLinePunct w:val="0"/>
              <w:autoSpaceDE/>
              <w:autoSpaceDN/>
              <w:bidi w:val="0"/>
              <w:adjustRightInd/>
              <w:snapToGrid/>
              <w:spacing w:line="240" w:lineRule="exact"/>
              <w:ind w:left="0"/>
              <w:jc w:val="center"/>
              <w:textAlignment w:val="center"/>
              <w:rPr>
                <w:rFonts w:hint="default"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i w:val="0"/>
                <w:iCs w:val="0"/>
                <w:color w:val="auto"/>
                <w:kern w:val="0"/>
                <w:sz w:val="21"/>
                <w:szCs w:val="21"/>
                <w:u w:val="none"/>
                <w:lang w:val="en-US" w:eastAsia="zh-CN" w:bidi="ar"/>
              </w:rPr>
              <w:t>2次/年</w:t>
            </w:r>
          </w:p>
        </w:tc>
      </w:tr>
      <w:tr w14:paraId="796A7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exact"/>
          <w:jc w:val="center"/>
        </w:trPr>
        <w:tc>
          <w:tcPr>
            <w:tcW w:w="664" w:type="dxa"/>
            <w:noWrap w:val="0"/>
            <w:vAlign w:val="center"/>
          </w:tcPr>
          <w:p w14:paraId="489F4291">
            <w:pPr>
              <w:keepNext w:val="0"/>
              <w:keepLines w:val="0"/>
              <w:pageBreakBefore w:val="0"/>
              <w:numPr>
                <w:ilvl w:val="0"/>
                <w:numId w:val="0"/>
              </w:numPr>
              <w:kinsoku/>
              <w:wordWrap/>
              <w:overflowPunct/>
              <w:topLinePunct w:val="0"/>
              <w:autoSpaceDE/>
              <w:autoSpaceDN/>
              <w:bidi w:val="0"/>
              <w:adjustRightInd/>
              <w:snapToGrid/>
              <w:spacing w:line="240" w:lineRule="exact"/>
              <w:ind w:left="420" w:leftChars="0" w:hanging="420" w:firstLineChars="0"/>
              <w:jc w:val="center"/>
              <w:rPr>
                <w:rFonts w:hint="default" w:ascii="Times New Roman" w:hAnsi="Times New Roman" w:eastAsia="方正仿宋_GBK" w:cs="Times New Roman"/>
                <w:color w:val="auto"/>
                <w:kern w:val="2"/>
                <w:sz w:val="21"/>
                <w:szCs w:val="21"/>
                <w:lang w:val="en-US" w:eastAsia="zh-CN" w:bidi="ar-SA"/>
              </w:rPr>
            </w:pPr>
            <w:r>
              <w:rPr>
                <w:rFonts w:hint="eastAsia" w:ascii="Times New Roman" w:hAnsi="Times New Roman" w:eastAsia="方正仿宋_GBK" w:cs="Times New Roman"/>
                <w:color w:val="auto"/>
                <w:kern w:val="2"/>
                <w:sz w:val="21"/>
                <w:szCs w:val="21"/>
                <w:lang w:val="en-US" w:eastAsia="zh-CN" w:bidi="ar-SA"/>
              </w:rPr>
              <w:t>14</w:t>
            </w:r>
            <w:bookmarkStart w:id="0" w:name="_GoBack"/>
            <w:bookmarkEnd w:id="0"/>
          </w:p>
        </w:tc>
        <w:tc>
          <w:tcPr>
            <w:tcW w:w="1479" w:type="dxa"/>
            <w:noWrap w:val="0"/>
            <w:vAlign w:val="center"/>
          </w:tcPr>
          <w:p w14:paraId="5EBC1961">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市生态环境局</w:t>
            </w:r>
            <w:r>
              <w:rPr>
                <w:rFonts w:hint="eastAsia" w:ascii="Times New Roman" w:hAnsi="Times New Roman" w:eastAsia="方正仿宋_GBK" w:cs="Times New Roman"/>
                <w:i w:val="0"/>
                <w:iCs w:val="0"/>
                <w:color w:val="auto"/>
                <w:kern w:val="0"/>
                <w:sz w:val="21"/>
                <w:szCs w:val="21"/>
                <w:u w:val="none"/>
                <w:lang w:val="en-US" w:eastAsia="zh-CN" w:bidi="ar"/>
              </w:rPr>
              <w:t>息县分局</w:t>
            </w:r>
          </w:p>
        </w:tc>
        <w:tc>
          <w:tcPr>
            <w:tcW w:w="2116" w:type="dxa"/>
            <w:noWrap w:val="0"/>
            <w:vAlign w:val="center"/>
          </w:tcPr>
          <w:p w14:paraId="27D0375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对城镇污水处理设施污染防治情况的检查</w:t>
            </w:r>
          </w:p>
        </w:tc>
        <w:tc>
          <w:tcPr>
            <w:tcW w:w="3775" w:type="dxa"/>
            <w:noWrap w:val="0"/>
            <w:vAlign w:val="center"/>
          </w:tcPr>
          <w:p w14:paraId="5DD4CBCE">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《中华人民共和国水污染防治法》第五十条</w:t>
            </w:r>
          </w:p>
        </w:tc>
        <w:tc>
          <w:tcPr>
            <w:tcW w:w="2433" w:type="dxa"/>
            <w:noWrap w:val="0"/>
            <w:vAlign w:val="center"/>
          </w:tcPr>
          <w:p w14:paraId="2D8EC7E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jc w:val="both"/>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城镇污水处理厂</w:t>
            </w:r>
          </w:p>
        </w:tc>
        <w:tc>
          <w:tcPr>
            <w:tcW w:w="1082" w:type="dxa"/>
            <w:noWrap w:val="0"/>
            <w:vAlign w:val="center"/>
          </w:tcPr>
          <w:p w14:paraId="3F3EB680">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jc w:val="center"/>
              <w:textAlignment w:val="center"/>
              <w:rPr>
                <w:rFonts w:hint="default" w:ascii="Times New Roman" w:hAnsi="Times New Roman" w:eastAsia="方正仿宋_GBK" w:cs="Times New Roman"/>
                <w:color w:val="auto"/>
                <w:kern w:val="2"/>
                <w:sz w:val="21"/>
                <w:szCs w:val="21"/>
                <w:u w:val="none"/>
                <w:lang w:val="en-US" w:eastAsia="zh-CN" w:bidi="ar"/>
              </w:rPr>
            </w:pPr>
            <w:r>
              <w:rPr>
                <w:rStyle w:val="16"/>
                <w:rFonts w:hint="default" w:ascii="Times New Roman" w:hAnsi="Times New Roman" w:eastAsia="方正仿宋_GBK" w:cs="Times New Roman"/>
                <w:color w:val="auto"/>
                <w:sz w:val="21"/>
                <w:szCs w:val="21"/>
                <w:lang w:val="en-US" w:eastAsia="zh-CN" w:bidi="ar"/>
              </w:rPr>
              <w:t>现场检查</w:t>
            </w:r>
          </w:p>
        </w:tc>
        <w:tc>
          <w:tcPr>
            <w:tcW w:w="1082" w:type="dxa"/>
            <w:noWrap w:val="0"/>
            <w:vAlign w:val="center"/>
          </w:tcPr>
          <w:p w14:paraId="0706E2D9">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jc w:val="center"/>
              <w:textAlignment w:val="center"/>
              <w:rPr>
                <w:rFonts w:hint="eastAsia" w:ascii="Times New Roman" w:hAnsi="Times New Roman" w:eastAsia="方正仿宋_GBK" w:cs="Times New Roman"/>
                <w:i w:val="0"/>
                <w:iCs w:val="0"/>
                <w:color w:val="auto"/>
                <w:kern w:val="0"/>
                <w:sz w:val="21"/>
                <w:szCs w:val="21"/>
                <w:u w:val="none"/>
                <w:lang w:val="en-US" w:eastAsia="zh-CN" w:bidi="ar"/>
              </w:rPr>
            </w:pPr>
            <w:r>
              <w:rPr>
                <w:rFonts w:hint="eastAsia" w:ascii="Times New Roman" w:hAnsi="Times New Roman" w:eastAsia="方正仿宋_GBK" w:cs="Times New Roman"/>
                <w:i w:val="0"/>
                <w:iCs w:val="0"/>
                <w:color w:val="auto"/>
                <w:kern w:val="0"/>
                <w:sz w:val="21"/>
                <w:szCs w:val="21"/>
                <w:u w:val="none"/>
                <w:lang w:val="en-US" w:eastAsia="zh-CN" w:bidi="ar"/>
              </w:rPr>
              <w:t>随机抽取</w:t>
            </w:r>
          </w:p>
        </w:tc>
        <w:tc>
          <w:tcPr>
            <w:tcW w:w="1542" w:type="dxa"/>
            <w:noWrap w:val="0"/>
            <w:vAlign w:val="center"/>
          </w:tcPr>
          <w:p w14:paraId="5EB3645F">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1次/年</w:t>
            </w:r>
          </w:p>
        </w:tc>
      </w:tr>
    </w:tbl>
    <w:p w14:paraId="753834DF">
      <w:pPr>
        <w:keepNext w:val="0"/>
        <w:keepLines w:val="0"/>
        <w:pageBreakBefore w:val="0"/>
        <w:widowControl w:val="0"/>
        <w:kinsoku/>
        <w:wordWrap/>
        <w:overflowPunct/>
        <w:topLinePunct w:val="0"/>
        <w:autoSpaceDE/>
        <w:autoSpaceDN/>
        <w:bidi w:val="0"/>
        <w:adjustRightInd/>
        <w:snapToGrid/>
        <w:spacing w:line="560" w:lineRule="exact"/>
        <w:ind w:right="1283" w:rightChars="611"/>
        <w:jc w:val="left"/>
        <w:textAlignment w:val="auto"/>
        <w:rPr>
          <w:rFonts w:hint="default" w:ascii="Times New Roman" w:hAnsi="Times New Roman" w:eastAsia="方正仿宋_GBK" w:cs="Times New Roman"/>
          <w:i w:val="0"/>
          <w:iCs w:val="0"/>
          <w:color w:val="auto"/>
          <w:kern w:val="0"/>
          <w:sz w:val="32"/>
          <w:szCs w:val="32"/>
          <w:u w:val="none"/>
          <w:lang w:val="en-US" w:eastAsia="zh-CN" w:bidi="ar"/>
        </w:rPr>
        <w:sectPr>
          <w:footerReference r:id="rId3" w:type="default"/>
          <w:pgSz w:w="16838" w:h="11906" w:orient="landscape"/>
          <w:pgMar w:top="1587" w:right="2098" w:bottom="1474" w:left="1984" w:header="851" w:footer="992" w:gutter="0"/>
          <w:pgNumType w:fmt="decimal"/>
          <w:cols w:space="720" w:num="1"/>
          <w:rtlGutter w:val="0"/>
          <w:docGrid w:type="lines" w:linePitch="312" w:charSpace="0"/>
        </w:sectPr>
      </w:pPr>
    </w:p>
    <w:p w14:paraId="3B70E3A0">
      <w:pPr>
        <w:rPr>
          <w:rFonts w:ascii="黑体" w:hAnsi="黑体" w:eastAsia="黑体"/>
          <w:color w:val="000000"/>
          <w:sz w:val="32"/>
          <w:szCs w:val="32"/>
        </w:rPr>
      </w:pPr>
    </w:p>
    <w:p w14:paraId="1820CD9E">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ascii="方正仿宋_GBK" w:hAnsi="方正仿宋_GBK" w:eastAsia="方正仿宋_GBK" w:cs="方正仿宋_GBK"/>
          <w:color w:val="000000"/>
        </w:rPr>
      </w:pPr>
    </w:p>
    <w:p w14:paraId="149EC280">
      <w:pPr>
        <w:keepNext w:val="0"/>
        <w:keepLines w:val="0"/>
        <w:pageBreakBefore w:val="0"/>
        <w:widowControl w:val="0"/>
        <w:kinsoku/>
        <w:wordWrap/>
        <w:overflowPunct/>
        <w:topLinePunct w:val="0"/>
        <w:autoSpaceDE/>
        <w:autoSpaceDN/>
        <w:bidi w:val="0"/>
        <w:adjustRightInd/>
        <w:snapToGrid/>
        <w:spacing w:line="560" w:lineRule="exact"/>
        <w:ind w:right="1283" w:rightChars="611"/>
        <w:jc w:val="left"/>
        <w:textAlignment w:val="auto"/>
        <w:rPr>
          <w:rFonts w:hint="eastAsia" w:ascii="黑体" w:hAnsi="黑体" w:eastAsia="黑体" w:cs="黑体"/>
          <w:i w:val="0"/>
          <w:iCs w:val="0"/>
          <w:color w:val="auto"/>
          <w:kern w:val="0"/>
          <w:sz w:val="32"/>
          <w:szCs w:val="32"/>
          <w:u w:val="none"/>
          <w:lang w:val="en-US" w:eastAsia="zh-CN" w:bidi="ar"/>
        </w:rPr>
      </w:pPr>
    </w:p>
    <w:p w14:paraId="2F977DDC">
      <w:pPr>
        <w:ind w:firstLine="640" w:firstLineChars="200"/>
        <w:jc w:val="right"/>
        <w:rPr>
          <w:rFonts w:hint="eastAsia" w:ascii="方正仿宋_GBK" w:hAnsi="方正仿宋_GBK" w:eastAsia="方正仿宋_GBK" w:cs="方正仿宋_GBK"/>
          <w:i w:val="0"/>
          <w:iCs w:val="0"/>
          <w:color w:val="auto"/>
          <w:kern w:val="0"/>
          <w:sz w:val="32"/>
          <w:szCs w:val="32"/>
          <w:u w:val="none"/>
          <w:lang w:val="en-US" w:eastAsia="zh-CN" w:bidi="ar"/>
        </w:rPr>
      </w:pPr>
    </w:p>
    <w:p w14:paraId="4767B0A5">
      <w:pPr>
        <w:keepNext w:val="0"/>
        <w:keepLines w:val="0"/>
        <w:pageBreakBefore w:val="0"/>
        <w:widowControl w:val="0"/>
        <w:kinsoku/>
        <w:wordWrap/>
        <w:overflowPunct/>
        <w:topLinePunct w:val="0"/>
        <w:autoSpaceDE/>
        <w:autoSpaceDN/>
        <w:bidi w:val="0"/>
        <w:adjustRightInd/>
        <w:snapToGrid/>
        <w:spacing w:line="560" w:lineRule="exact"/>
        <w:ind w:right="1283" w:rightChars="611"/>
        <w:jc w:val="left"/>
        <w:textAlignment w:val="auto"/>
        <w:rPr>
          <w:rFonts w:hint="eastAsia" w:ascii="黑体" w:hAnsi="黑体" w:eastAsia="黑体" w:cs="黑体"/>
          <w:i w:val="0"/>
          <w:iCs w:val="0"/>
          <w:color w:val="auto"/>
          <w:kern w:val="0"/>
          <w:sz w:val="32"/>
          <w:szCs w:val="32"/>
          <w:u w:val="none"/>
          <w:lang w:val="en-US" w:eastAsia="zh-CN" w:bidi="ar"/>
        </w:rPr>
      </w:pPr>
    </w:p>
    <w:sectPr>
      <w:footerReference r:id="rId4" w:type="default"/>
      <w:pgSz w:w="16838" w:h="11906" w:orient="landscape"/>
      <w:pgMar w:top="1587" w:right="2098" w:bottom="1474" w:left="198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D376A4-0058-4119-9785-4BD89CD0226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18030">
    <w:altName w:val="仿宋"/>
    <w:panose1 w:val="02000000000000000000"/>
    <w:charset w:val="86"/>
    <w:family w:val="auto"/>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embedRegular r:id="rId2" w:fontKey="{90C479EC-714A-42B8-BE34-0E409F80B79D}"/>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2000000000000000000"/>
    <w:charset w:val="86"/>
    <w:family w:val="auto"/>
    <w:pitch w:val="default"/>
    <w:sig w:usb0="00000000" w:usb1="00000000" w:usb2="00000000" w:usb3="00000000" w:csb0="00040000" w:csb1="00000000"/>
    <w:embedRegular r:id="rId3" w:fontKey="{9CA3BB63-C679-424E-9F68-32F4B83B667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C9C3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86CD4FE">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486CD4FE">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CB7AA">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3C623B">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29</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E3C623B">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29</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A4A800"/>
    <w:multiLevelType w:val="singleLevel"/>
    <w:tmpl w:val="91A4A80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9C1EB4"/>
    <w:rsid w:val="09B34A27"/>
    <w:rsid w:val="10B31D4E"/>
    <w:rsid w:val="1182211B"/>
    <w:rsid w:val="14A405FA"/>
    <w:rsid w:val="151632A6"/>
    <w:rsid w:val="17942BA8"/>
    <w:rsid w:val="1B81532C"/>
    <w:rsid w:val="1E032835"/>
    <w:rsid w:val="252B4B4C"/>
    <w:rsid w:val="25F660D7"/>
    <w:rsid w:val="2677273A"/>
    <w:rsid w:val="2FF40230"/>
    <w:rsid w:val="35960BC1"/>
    <w:rsid w:val="36F30DF9"/>
    <w:rsid w:val="3B514E5E"/>
    <w:rsid w:val="3EFFF17E"/>
    <w:rsid w:val="3FFF62FC"/>
    <w:rsid w:val="3FFFE8EA"/>
    <w:rsid w:val="46A66819"/>
    <w:rsid w:val="4AC50C38"/>
    <w:rsid w:val="4B10066D"/>
    <w:rsid w:val="4D510618"/>
    <w:rsid w:val="4EE57EFD"/>
    <w:rsid w:val="54790B80"/>
    <w:rsid w:val="55BA9CC5"/>
    <w:rsid w:val="58840844"/>
    <w:rsid w:val="58D9012E"/>
    <w:rsid w:val="598516EC"/>
    <w:rsid w:val="5A7DE468"/>
    <w:rsid w:val="5A8913F1"/>
    <w:rsid w:val="5AD1390C"/>
    <w:rsid w:val="5DA04EA1"/>
    <w:rsid w:val="5F2931A3"/>
    <w:rsid w:val="5FEBEF70"/>
    <w:rsid w:val="5FFE5F36"/>
    <w:rsid w:val="6251664D"/>
    <w:rsid w:val="6BF3777B"/>
    <w:rsid w:val="6C712A55"/>
    <w:rsid w:val="6C9A7FA8"/>
    <w:rsid w:val="6DF9A50F"/>
    <w:rsid w:val="6ECF78C3"/>
    <w:rsid w:val="6F79AC9F"/>
    <w:rsid w:val="727FFD74"/>
    <w:rsid w:val="76EF62A4"/>
    <w:rsid w:val="77086156"/>
    <w:rsid w:val="77A72647"/>
    <w:rsid w:val="77BC55D2"/>
    <w:rsid w:val="78BB476B"/>
    <w:rsid w:val="792A5740"/>
    <w:rsid w:val="7BB186FD"/>
    <w:rsid w:val="7BD8B4C1"/>
    <w:rsid w:val="7BFA76F2"/>
    <w:rsid w:val="7C7F7790"/>
    <w:rsid w:val="7DA168CE"/>
    <w:rsid w:val="7DDF1801"/>
    <w:rsid w:val="7E37A681"/>
    <w:rsid w:val="7EDF3DC6"/>
    <w:rsid w:val="7F5704B7"/>
    <w:rsid w:val="7FDD5BE9"/>
    <w:rsid w:val="7FDF4B99"/>
    <w:rsid w:val="7FFDFC9B"/>
    <w:rsid w:val="7FFE890F"/>
    <w:rsid w:val="9377AEA1"/>
    <w:rsid w:val="9767523F"/>
    <w:rsid w:val="BFB2AD9F"/>
    <w:rsid w:val="E7F684FF"/>
    <w:rsid w:val="E9EB9345"/>
    <w:rsid w:val="EEFC6C04"/>
    <w:rsid w:val="EFF79BE0"/>
    <w:rsid w:val="F794AF18"/>
    <w:rsid w:val="FEFF31AB"/>
    <w:rsid w:val="FF652C0A"/>
    <w:rsid w:val="FFB7464F"/>
    <w:rsid w:val="FFC932FB"/>
    <w:rsid w:val="FFFF9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Table Paragraph"/>
    <w:basedOn w:val="1"/>
    <w:qFormat/>
    <w:uiPriority w:val="0"/>
    <w:pPr>
      <w:keepNext w:val="0"/>
      <w:keepLines w:val="0"/>
      <w:widowControl w:val="0"/>
      <w:suppressLineNumbers w:val="0"/>
      <w:spacing w:before="0" w:beforeAutospacing="0" w:after="0" w:afterAutospacing="0"/>
      <w:ind w:left="0" w:right="0"/>
      <w:jc w:val="both"/>
    </w:pPr>
    <w:rPr>
      <w:rFonts w:hint="default" w:ascii="Calibri" w:hAnsi="Calibri" w:eastAsia="宋体" w:cs="Times New Roman"/>
      <w:kern w:val="2"/>
      <w:sz w:val="21"/>
      <w:szCs w:val="21"/>
      <w:lang w:val="en-US" w:eastAsia="zh-CN" w:bidi="ar"/>
    </w:rPr>
  </w:style>
  <w:style w:type="character" w:customStyle="1" w:styleId="11">
    <w:name w:val="font01"/>
    <w:basedOn w:val="7"/>
    <w:qFormat/>
    <w:uiPriority w:val="0"/>
    <w:rPr>
      <w:rFonts w:hint="eastAsia" w:ascii="仿宋" w:hAnsi="仿宋" w:eastAsia="仿宋" w:cs="仿宋"/>
      <w:b/>
      <w:color w:val="000000"/>
      <w:sz w:val="22"/>
      <w:szCs w:val="22"/>
      <w:u w:val="none"/>
    </w:rPr>
  </w:style>
  <w:style w:type="paragraph" w:customStyle="1" w:styleId="12">
    <w:name w:val="Table Text"/>
    <w:basedOn w:val="1"/>
    <w:semiHidden/>
    <w:qFormat/>
    <w:uiPriority w:val="0"/>
    <w:rPr>
      <w:rFonts w:ascii="Arial" w:hAnsi="Arial" w:eastAsia="Arial" w:cs="Arial"/>
      <w:sz w:val="21"/>
      <w:szCs w:val="21"/>
      <w:lang w:val="en-US" w:eastAsia="en-US" w:bidi="ar-SA"/>
    </w:rPr>
  </w:style>
  <w:style w:type="character" w:customStyle="1" w:styleId="13">
    <w:name w:val="font41"/>
    <w:basedOn w:val="7"/>
    <w:qFormat/>
    <w:uiPriority w:val="0"/>
    <w:rPr>
      <w:rFonts w:hint="default" w:ascii="方正仿宋_GB18030" w:hAnsi="方正仿宋_GB18030" w:eastAsia="方正仿宋_GB18030" w:cs="方正仿宋_GB18030"/>
      <w:color w:val="000000"/>
      <w:sz w:val="28"/>
      <w:szCs w:val="28"/>
      <w:u w:val="none"/>
    </w:rPr>
  </w:style>
  <w:style w:type="character" w:customStyle="1" w:styleId="14">
    <w:name w:val="font31"/>
    <w:basedOn w:val="7"/>
    <w:qFormat/>
    <w:uiPriority w:val="0"/>
    <w:rPr>
      <w:rFonts w:hint="default" w:ascii="Times New Roman" w:hAnsi="Times New Roman" w:cs="Times New Roman"/>
      <w:color w:val="000000"/>
      <w:sz w:val="28"/>
      <w:szCs w:val="28"/>
      <w:u w:val="none"/>
    </w:rPr>
  </w:style>
  <w:style w:type="character" w:customStyle="1" w:styleId="15">
    <w:name w:val="font61"/>
    <w:basedOn w:val="7"/>
    <w:qFormat/>
    <w:uiPriority w:val="0"/>
    <w:rPr>
      <w:rFonts w:hint="default" w:ascii="方正仿宋_GB18030" w:hAnsi="方正仿宋_GB18030" w:eastAsia="方正仿宋_GB18030" w:cs="方正仿宋_GB18030"/>
      <w:color w:val="000000"/>
      <w:sz w:val="28"/>
      <w:szCs w:val="28"/>
      <w:u w:val="none"/>
    </w:rPr>
  </w:style>
  <w:style w:type="character" w:customStyle="1" w:styleId="16">
    <w:name w:val="font81"/>
    <w:basedOn w:val="7"/>
    <w:qFormat/>
    <w:uiPriority w:val="0"/>
    <w:rPr>
      <w:rFonts w:hint="default" w:ascii="方正仿宋_GB18030" w:hAnsi="方正仿宋_GB18030" w:eastAsia="方正仿宋_GB18030" w:cs="方正仿宋_GB18030"/>
      <w:color w:val="000000"/>
      <w:sz w:val="28"/>
      <w:szCs w:val="28"/>
      <w:u w:val="none"/>
    </w:rPr>
  </w:style>
  <w:style w:type="character" w:customStyle="1" w:styleId="17">
    <w:name w:val="font71"/>
    <w:basedOn w:val="7"/>
    <w:qFormat/>
    <w:uiPriority w:val="0"/>
    <w:rPr>
      <w:rFonts w:hint="default" w:ascii="Times New Roman" w:hAnsi="Times New Roman" w:cs="Times New Roman"/>
      <w:color w:val="000000"/>
      <w:sz w:val="28"/>
      <w:szCs w:val="28"/>
      <w:u w:val="none"/>
    </w:rPr>
  </w:style>
  <w:style w:type="character" w:customStyle="1" w:styleId="18">
    <w:name w:val="font51"/>
    <w:basedOn w:val="7"/>
    <w:qFormat/>
    <w:uiPriority w:val="0"/>
    <w:rPr>
      <w:rFonts w:hint="default" w:ascii="Times New Roman" w:hAnsi="Times New Roman" w:cs="Times New Roman"/>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2058</Words>
  <Characters>2097</Characters>
  <Lines>0</Lines>
  <Paragraphs>0</Paragraphs>
  <TotalTime>8</TotalTime>
  <ScaleCrop>false</ScaleCrop>
  <LinksUpToDate>false</LinksUpToDate>
  <CharactersWithSpaces>2100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2025-07-16T19:46:00Z</dcterms:created>
  <dc:creator>Administrator</dc:creator>
  <cp:lastModifiedBy>且行且珍惜</cp:lastModifiedBy>
  <dcterms:modified xsi:type="dcterms:W3CDTF">2025-08-01T03:08:00Z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1B8A3393B5CB4E43AA55B4ECFBD0641D_12</vt:lpwstr>
  </property>
  <property fmtid="{D5CDD505-2E9C-101B-9397-08002B2CF9AE}" pid="4" name="KSOTemplateDocerSaveRecord">
    <vt:lpwstr>eyJoZGlkIjoiZDdkYzg0NTgzZWRkM2YyMWM0YzIzYWNjMzAwNmY2MTciLCJ1c2VySWQiOiI0MzI3ODA0NjgifQ==</vt:lpwstr>
  </property>
</Properties>
</file>