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0A03A">
      <w:pPr>
        <w:jc w:val="center"/>
        <w:rPr>
          <w:rFonts w:ascii="方正小标宋简体" w:hAnsi="方正小标宋简体" w:eastAsia="方正小标宋简体" w:cs="方正小标宋简体"/>
          <w:sz w:val="44"/>
          <w:szCs w:val="44"/>
        </w:rPr>
      </w:pPr>
      <w:r>
        <w:rPr>
          <w:rFonts w:hint="eastAsia" w:ascii="宋体" w:hAnsi="宋体" w:eastAsia="宋体" w:cs="宋体"/>
          <w:sz w:val="44"/>
          <w:szCs w:val="44"/>
        </w:rPr>
        <w:t>浉河区烟草专卖局</w:t>
      </w:r>
      <w:r>
        <w:rPr>
          <w:rFonts w:hint="eastAsia" w:ascii="宋体" w:hAnsi="宋体" w:eastAsia="宋体" w:cs="宋体"/>
          <w:sz w:val="44"/>
          <w:szCs w:val="44"/>
          <w:lang w:val="en-US" w:eastAsia="zh-CN"/>
        </w:rPr>
        <w:t>长期未经营</w:t>
      </w:r>
      <w:r>
        <w:rPr>
          <w:rFonts w:hint="eastAsia" w:ascii="宋体" w:hAnsi="宋体" w:eastAsia="宋体" w:cs="宋体"/>
          <w:sz w:val="44"/>
          <w:szCs w:val="44"/>
        </w:rPr>
        <w:t>公告</w:t>
      </w:r>
    </w:p>
    <w:p w14:paraId="424A6CD1">
      <w:pPr>
        <w:spacing w:after="240"/>
        <w:ind w:firstLine="640" w:firstLineChars="200"/>
        <w:rPr>
          <w:rFonts w:hint="eastAsia" w:ascii="仿宋" w:hAnsi="仿宋" w:eastAsia="仿宋"/>
          <w:sz w:val="32"/>
          <w:szCs w:val="32"/>
          <w:lang w:eastAsia="zh-CN"/>
        </w:rPr>
      </w:pPr>
    </w:p>
    <w:p w14:paraId="285AF7E1">
      <w:pPr>
        <w:spacing w:after="240"/>
        <w:ind w:firstLine="640" w:firstLineChars="200"/>
        <w:rPr>
          <w:rFonts w:hint="eastAsia" w:ascii="仿宋" w:hAnsi="仿宋" w:eastAsia="仿宋"/>
          <w:sz w:val="30"/>
          <w:szCs w:val="30"/>
          <w:lang w:val="en-US" w:eastAsia="zh-CN"/>
        </w:rPr>
      </w:pPr>
      <w:r>
        <w:rPr>
          <w:rFonts w:hint="eastAsia" w:ascii="仿宋" w:hAnsi="仿宋" w:eastAsia="仿宋"/>
          <w:sz w:val="32"/>
          <w:szCs w:val="32"/>
          <w:lang w:eastAsia="zh-CN"/>
        </w:rPr>
        <w:t>☑</w:t>
      </w:r>
      <w:r>
        <w:rPr>
          <w:rFonts w:hint="eastAsia" w:ascii="仿宋" w:hAnsi="仿宋" w:eastAsia="仿宋"/>
          <w:sz w:val="30"/>
          <w:szCs w:val="30"/>
          <w:lang w:val="en-US" w:eastAsia="zh-CN"/>
        </w:rPr>
        <w:t xml:space="preserve"> </w:t>
      </w:r>
      <w:r>
        <w:rPr>
          <w:rFonts w:hint="eastAsia" w:ascii="仿宋" w:hAnsi="仿宋" w:eastAsia="仿宋"/>
          <w:sz w:val="32"/>
          <w:szCs w:val="32"/>
          <w:lang w:val="en-US" w:eastAsia="zh-CN"/>
        </w:rPr>
        <w:t>下列烟草专卖许可证持证人停止经管6个月以上未办理停业手续，根据《烟草专卖许可证管理办法》第五十条、</w:t>
      </w:r>
      <w:r>
        <w:rPr>
          <w:rFonts w:hint="eastAsia" w:ascii="仿宋" w:hAnsi="仿宋" w:eastAsia="仿宋"/>
          <w:sz w:val="32"/>
          <w:szCs w:val="32"/>
          <w:lang w:eastAsia="zh-CN"/>
        </w:rPr>
        <w:t>☑</w:t>
      </w:r>
      <w:r>
        <w:rPr>
          <w:rFonts w:hint="eastAsia" w:ascii="仿宋" w:hAnsi="仿宋" w:eastAsia="仿宋"/>
          <w:sz w:val="32"/>
          <w:szCs w:val="32"/>
          <w:lang w:val="en-US" w:eastAsia="zh-CN"/>
        </w:rPr>
        <w:t>《烟草专卖许可证管理办法实施细则》第六十五条、</w:t>
      </w:r>
      <w:r>
        <w:rPr>
          <w:rFonts w:hint="eastAsia" w:ascii="仿宋" w:hAnsi="仿宋" w:eastAsia="仿宋"/>
          <w:sz w:val="32"/>
          <w:szCs w:val="32"/>
          <w:lang w:eastAsia="zh-CN"/>
        </w:rPr>
        <w:t>□《电子烟相关生产企业、批发企业烟草专卖许可证管理细则》第五十</w:t>
      </w:r>
      <w:r>
        <w:rPr>
          <w:rFonts w:hint="eastAsia" w:ascii="仿宋" w:hAnsi="仿宋" w:eastAsia="仿宋"/>
          <w:sz w:val="32"/>
          <w:szCs w:val="32"/>
          <w:lang w:val="en-US" w:eastAsia="zh-CN"/>
        </w:rPr>
        <w:t>六</w:t>
      </w:r>
      <w:r>
        <w:rPr>
          <w:rFonts w:hint="eastAsia" w:ascii="仿宋" w:hAnsi="仿宋" w:eastAsia="仿宋"/>
          <w:sz w:val="32"/>
          <w:szCs w:val="32"/>
          <w:lang w:eastAsia="zh-CN"/>
        </w:rPr>
        <w:t>条规定，现</w:t>
      </w:r>
      <w:r>
        <w:rPr>
          <w:rFonts w:hint="eastAsia" w:ascii="仿宋" w:hAnsi="仿宋" w:eastAsia="仿宋"/>
          <w:sz w:val="32"/>
          <w:szCs w:val="32"/>
          <w:lang w:val="en-US" w:eastAsia="zh-CN"/>
        </w:rPr>
        <w:t>予以</w:t>
      </w:r>
      <w:r>
        <w:rPr>
          <w:rFonts w:hint="eastAsia" w:ascii="仿宋" w:hAnsi="仿宋" w:eastAsia="仿宋"/>
          <w:sz w:val="32"/>
          <w:szCs w:val="32"/>
          <w:lang w:eastAsia="zh-CN"/>
        </w:rPr>
        <w:t>公告。</w:t>
      </w:r>
      <w:r>
        <w:rPr>
          <w:rFonts w:hint="eastAsia" w:ascii="仿宋" w:hAnsi="仿宋" w:eastAsia="仿宋"/>
          <w:sz w:val="30"/>
          <w:szCs w:val="30"/>
          <w:lang w:val="en-US" w:eastAsia="zh-CN"/>
        </w:rPr>
        <w:t>自公告发布之日起一个月内，向浉河区行政服务中心烟草专卖局窗口申请办理停业手续或恢复经营。逾期不办理的，我局将依法收回许可证。</w:t>
      </w:r>
    </w:p>
    <w:p w14:paraId="4F006081">
      <w:pPr>
        <w:spacing w:after="240"/>
        <w:ind w:firstLine="640" w:firstLineChars="200"/>
        <w:rPr>
          <w:rFonts w:hint="default" w:ascii="仿宋" w:hAnsi="仿宋" w:eastAsia="仿宋"/>
          <w:sz w:val="30"/>
          <w:szCs w:val="30"/>
          <w:lang w:val="en-US" w:eastAsia="zh-CN"/>
        </w:rPr>
      </w:pPr>
      <w:r>
        <w:rPr>
          <w:rFonts w:hint="eastAsia" w:ascii="仿宋" w:hAnsi="仿宋" w:eastAsia="仿宋"/>
          <w:sz w:val="32"/>
          <w:szCs w:val="32"/>
          <w:lang w:eastAsia="zh-CN"/>
        </w:rPr>
        <w:t>□下列烟草专卖许可证持证人停业期满未申请恢复营业已6个月以上，根据《烟草专卖许可证管理办法》第五十条、□</w:t>
      </w:r>
      <w:r>
        <w:rPr>
          <w:rFonts w:hint="eastAsia" w:ascii="仿宋" w:hAnsi="仿宋" w:eastAsia="仿宋"/>
          <w:sz w:val="32"/>
          <w:szCs w:val="32"/>
          <w:lang w:val="en-US" w:eastAsia="zh-CN"/>
        </w:rPr>
        <w:t>《烟草专卖许可证管理办法实施细则》第六十五条</w:t>
      </w:r>
      <w:r>
        <w:rPr>
          <w:rFonts w:hint="eastAsia" w:ascii="仿宋" w:hAnsi="仿宋" w:eastAsia="仿宋"/>
          <w:sz w:val="32"/>
          <w:szCs w:val="32"/>
          <w:lang w:eastAsia="zh-CN"/>
        </w:rPr>
        <w:t>□《电子烟相关生产企业、批发企业烟草专卖许可证管理细则》第五十</w:t>
      </w:r>
      <w:r>
        <w:rPr>
          <w:rFonts w:hint="eastAsia" w:ascii="仿宋" w:hAnsi="仿宋" w:eastAsia="仿宋"/>
          <w:sz w:val="32"/>
          <w:szCs w:val="32"/>
          <w:lang w:val="en-US" w:eastAsia="zh-CN"/>
        </w:rPr>
        <w:t>六</w:t>
      </w:r>
      <w:r>
        <w:rPr>
          <w:rFonts w:hint="eastAsia" w:ascii="仿宋" w:hAnsi="仿宋" w:eastAsia="仿宋"/>
          <w:sz w:val="32"/>
          <w:szCs w:val="32"/>
          <w:lang w:eastAsia="zh-CN"/>
        </w:rPr>
        <w:t>条规定，现</w:t>
      </w:r>
      <w:r>
        <w:rPr>
          <w:rFonts w:hint="eastAsia" w:ascii="仿宋" w:hAnsi="仿宋" w:eastAsia="仿宋"/>
          <w:sz w:val="32"/>
          <w:szCs w:val="32"/>
          <w:lang w:val="en-US" w:eastAsia="zh-CN"/>
        </w:rPr>
        <w:t>予以</w:t>
      </w:r>
      <w:r>
        <w:rPr>
          <w:rFonts w:hint="eastAsia" w:ascii="仿宋" w:hAnsi="仿宋" w:eastAsia="仿宋"/>
          <w:sz w:val="32"/>
          <w:szCs w:val="32"/>
          <w:lang w:eastAsia="zh-CN"/>
        </w:rPr>
        <w:t>公告。</w:t>
      </w:r>
      <w:r>
        <w:rPr>
          <w:rFonts w:hint="eastAsia" w:ascii="仿宋" w:hAnsi="仿宋" w:eastAsia="仿宋"/>
          <w:sz w:val="30"/>
          <w:szCs w:val="30"/>
          <w:lang w:val="en-US" w:eastAsia="zh-CN"/>
        </w:rPr>
        <w:t>自公告发布之日起一个月内，向浉河区行政服务中心烟草专卖局窗口申请办理恢复营业或继续停业手续。逾期不办理的，我局将依法收回许可证。</w:t>
      </w:r>
    </w:p>
    <w:tbl>
      <w:tblPr>
        <w:tblStyle w:val="6"/>
        <w:tblW w:w="8767"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108" w:type="dxa"/>
          <w:bottom w:w="0" w:type="dxa"/>
          <w:right w:w="108" w:type="dxa"/>
        </w:tblCellMar>
      </w:tblPr>
      <w:tblGrid>
        <w:gridCol w:w="1580"/>
        <w:gridCol w:w="1868"/>
        <w:gridCol w:w="1145"/>
        <w:gridCol w:w="4174"/>
      </w:tblGrid>
      <w:tr w14:paraId="0780F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540" w:hRule="atLeast"/>
        </w:trPr>
        <w:tc>
          <w:tcPr>
            <w:tcW w:w="1580" w:type="dxa"/>
            <w:shd w:val="clear" w:color="auto" w:fill="FFFFFF" w:themeFill="background1"/>
            <w:noWrap/>
            <w:vAlign w:val="center"/>
          </w:tcPr>
          <w:p w14:paraId="26541B1D">
            <w:pPr>
              <w:widowControl/>
              <w:spacing w:line="480" w:lineRule="auto"/>
              <w:jc w:val="center"/>
              <w:rPr>
                <w:rFonts w:hint="default" w:ascii="宋体" w:hAnsi="宋体" w:eastAsia="宋体" w:cs="Arial"/>
                <w:b/>
                <w:bCs/>
                <w:kern w:val="0"/>
                <w:sz w:val="20"/>
                <w:szCs w:val="20"/>
                <w:lang w:val="en-US"/>
              </w:rPr>
            </w:pPr>
            <w:r>
              <w:rPr>
                <w:rFonts w:hint="eastAsia" w:ascii="Arial" w:hAnsi="Arial" w:eastAsia="宋体" w:cs="Arial"/>
                <w:b/>
                <w:bCs/>
                <w:kern w:val="0"/>
                <w:sz w:val="20"/>
                <w:szCs w:val="20"/>
                <w:lang w:val="en-US" w:eastAsia="zh-CN"/>
              </w:rPr>
              <w:t>许可证号码</w:t>
            </w:r>
          </w:p>
        </w:tc>
        <w:tc>
          <w:tcPr>
            <w:tcW w:w="1868" w:type="dxa"/>
            <w:shd w:val="clear" w:color="auto" w:fill="FFFFFF" w:themeFill="background1"/>
            <w:noWrap/>
            <w:vAlign w:val="center"/>
          </w:tcPr>
          <w:p w14:paraId="64DDB017">
            <w:pPr>
              <w:widowControl/>
              <w:spacing w:line="480" w:lineRule="auto"/>
              <w:jc w:val="center"/>
              <w:rPr>
                <w:rFonts w:hint="default" w:ascii="宋体" w:hAnsi="宋体" w:eastAsia="宋体" w:cs="Arial"/>
                <w:b/>
                <w:bCs/>
                <w:kern w:val="0"/>
                <w:sz w:val="20"/>
                <w:szCs w:val="20"/>
                <w:lang w:val="en-US" w:eastAsia="zh-CN"/>
              </w:rPr>
            </w:pPr>
            <w:r>
              <w:rPr>
                <w:rFonts w:hint="eastAsia" w:ascii="宋体" w:hAnsi="宋体" w:eastAsia="宋体" w:cs="Arial"/>
                <w:b/>
                <w:bCs/>
                <w:kern w:val="0"/>
                <w:sz w:val="20"/>
                <w:szCs w:val="20"/>
                <w:lang w:val="en-US" w:eastAsia="zh-CN"/>
              </w:rPr>
              <w:t>企业名称（字号）</w:t>
            </w:r>
          </w:p>
        </w:tc>
        <w:tc>
          <w:tcPr>
            <w:tcW w:w="1145" w:type="dxa"/>
            <w:shd w:val="clear" w:color="auto" w:fill="FFFFFF" w:themeFill="background1"/>
            <w:vAlign w:val="center"/>
          </w:tcPr>
          <w:p w14:paraId="6C8B512E">
            <w:pPr>
              <w:widowControl/>
              <w:spacing w:line="480" w:lineRule="auto"/>
              <w:jc w:val="center"/>
              <w:rPr>
                <w:rFonts w:hint="default" w:ascii="Arial" w:hAnsi="Arial" w:eastAsia="宋体" w:cs="Arial"/>
                <w:b/>
                <w:bCs/>
                <w:kern w:val="0"/>
                <w:sz w:val="20"/>
                <w:szCs w:val="20"/>
                <w:lang w:val="en-US" w:eastAsia="zh-CN"/>
              </w:rPr>
            </w:pPr>
            <w:r>
              <w:rPr>
                <w:rFonts w:hint="eastAsia" w:ascii="宋体" w:hAnsi="宋体" w:eastAsia="宋体" w:cs="Arial"/>
                <w:b/>
                <w:bCs/>
                <w:kern w:val="0"/>
                <w:sz w:val="20"/>
                <w:szCs w:val="20"/>
              </w:rPr>
              <w:t>姓名</w:t>
            </w:r>
          </w:p>
        </w:tc>
        <w:tc>
          <w:tcPr>
            <w:tcW w:w="4174" w:type="dxa"/>
            <w:shd w:val="clear" w:color="auto" w:fill="FFFFFF" w:themeFill="background1"/>
            <w:vAlign w:val="center"/>
          </w:tcPr>
          <w:p w14:paraId="6CF80E15">
            <w:pPr>
              <w:widowControl/>
              <w:spacing w:line="480" w:lineRule="auto"/>
              <w:jc w:val="center"/>
              <w:rPr>
                <w:rFonts w:ascii="Arial" w:hAnsi="Arial" w:eastAsia="宋体" w:cs="Arial"/>
                <w:b/>
                <w:bCs/>
                <w:kern w:val="0"/>
                <w:sz w:val="20"/>
                <w:szCs w:val="20"/>
              </w:rPr>
            </w:pPr>
            <w:r>
              <w:rPr>
                <w:rFonts w:ascii="Arial" w:hAnsi="Arial" w:eastAsia="宋体" w:cs="Arial"/>
                <w:b/>
                <w:bCs/>
                <w:kern w:val="0"/>
                <w:sz w:val="20"/>
                <w:szCs w:val="20"/>
              </w:rPr>
              <w:t>经营地址</w:t>
            </w:r>
          </w:p>
        </w:tc>
      </w:tr>
      <w:tr w14:paraId="6B5F0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580" w:type="dxa"/>
            <w:shd w:val="clear" w:color="auto" w:fill="FFFFFF" w:themeFill="background1"/>
            <w:noWrap/>
            <w:vAlign w:val="center"/>
          </w:tcPr>
          <w:p w14:paraId="2428362F">
            <w:pPr>
              <w:keepNext w:val="0"/>
              <w:keepLines w:val="0"/>
              <w:widowControl/>
              <w:suppressLineNumbers w:val="0"/>
              <w:jc w:val="center"/>
              <w:textAlignment w:val="center"/>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411502104971</w:t>
            </w:r>
          </w:p>
        </w:tc>
        <w:tc>
          <w:tcPr>
            <w:tcW w:w="1868" w:type="dxa"/>
            <w:shd w:val="clear" w:color="auto" w:fill="FFFFFF" w:themeFill="background1"/>
            <w:noWrap/>
            <w:vAlign w:val="bottom"/>
          </w:tcPr>
          <w:p w14:paraId="383DA673">
            <w:pPr>
              <w:keepNext w:val="0"/>
              <w:keepLines w:val="0"/>
              <w:widowControl/>
              <w:suppressLineNumbers w:val="0"/>
              <w:jc w:val="left"/>
              <w:textAlignment w:val="bottom"/>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信阳市浉河区素琴内衣店</w:t>
            </w:r>
          </w:p>
        </w:tc>
        <w:tc>
          <w:tcPr>
            <w:tcW w:w="1145" w:type="dxa"/>
            <w:shd w:val="clear" w:color="auto" w:fill="FFFFFF" w:themeFill="background1"/>
            <w:vAlign w:val="center"/>
          </w:tcPr>
          <w:p w14:paraId="3C297320">
            <w:pPr>
              <w:keepNext w:val="0"/>
              <w:keepLines w:val="0"/>
              <w:widowControl/>
              <w:suppressLineNumbers w:val="0"/>
              <w:jc w:val="center"/>
              <w:textAlignment w:val="center"/>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黄素琴</w:t>
            </w:r>
          </w:p>
        </w:tc>
        <w:tc>
          <w:tcPr>
            <w:tcW w:w="4174" w:type="dxa"/>
            <w:shd w:val="clear" w:color="auto" w:fill="FFFFFF" w:themeFill="background1"/>
            <w:vAlign w:val="bottom"/>
          </w:tcPr>
          <w:p w14:paraId="062B1DCE">
            <w:pPr>
              <w:keepNext w:val="0"/>
              <w:keepLines w:val="0"/>
              <w:widowControl/>
              <w:suppressLineNumbers w:val="0"/>
              <w:jc w:val="left"/>
              <w:textAlignment w:val="bottom"/>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河南省信阳市浉河区金牛山飨堂大道</w:t>
            </w:r>
          </w:p>
        </w:tc>
      </w:tr>
      <w:tr w14:paraId="56455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580" w:type="dxa"/>
            <w:shd w:val="clear" w:color="auto" w:fill="FFFFFF" w:themeFill="background1"/>
            <w:noWrap/>
            <w:vAlign w:val="center"/>
          </w:tcPr>
          <w:p w14:paraId="2227F03D">
            <w:pPr>
              <w:keepNext w:val="0"/>
              <w:keepLines w:val="0"/>
              <w:widowControl/>
              <w:suppressLineNumbers w:val="0"/>
              <w:jc w:val="center"/>
              <w:textAlignment w:val="center"/>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411502107590</w:t>
            </w:r>
          </w:p>
        </w:tc>
        <w:tc>
          <w:tcPr>
            <w:tcW w:w="1868" w:type="dxa"/>
            <w:shd w:val="clear" w:color="auto" w:fill="FFFFFF" w:themeFill="background1"/>
            <w:noWrap/>
            <w:vAlign w:val="bottom"/>
          </w:tcPr>
          <w:p w14:paraId="730F0738">
            <w:pPr>
              <w:keepNext w:val="0"/>
              <w:keepLines w:val="0"/>
              <w:widowControl/>
              <w:suppressLineNumbers w:val="0"/>
              <w:jc w:val="left"/>
              <w:textAlignment w:val="bottom"/>
              <w:rPr>
                <w:rFonts w:hint="eastAsia" w:ascii="仿宋" w:hAnsi="仿宋" w:eastAsia="仿宋" w:cs="仿宋"/>
                <w:i w:val="0"/>
                <w:iCs w:val="0"/>
                <w:caps w:val="0"/>
                <w:color w:val="333333"/>
                <w:spacing w:val="0"/>
                <w:sz w:val="22"/>
                <w:szCs w:val="22"/>
                <w:shd w:val="clear" w:fill="FFFFFF"/>
              </w:rPr>
            </w:pPr>
            <w:r>
              <w:rPr>
                <w:rFonts w:hint="default" w:ascii="雅黑" w:hAnsi="雅黑" w:eastAsia="雅黑" w:cs="雅黑"/>
                <w:i w:val="0"/>
                <w:iCs w:val="0"/>
                <w:color w:val="000000"/>
                <w:kern w:val="0"/>
                <w:sz w:val="22"/>
                <w:szCs w:val="22"/>
                <w:u w:val="none"/>
                <w:lang w:val="en-US" w:eastAsia="zh-CN" w:bidi="ar"/>
              </w:rPr>
              <w:t>信阳市浉河区宪广百货店</w:t>
            </w:r>
          </w:p>
        </w:tc>
        <w:tc>
          <w:tcPr>
            <w:tcW w:w="1145" w:type="dxa"/>
            <w:shd w:val="clear" w:color="auto" w:fill="FFFFFF" w:themeFill="background1"/>
            <w:vAlign w:val="center"/>
          </w:tcPr>
          <w:p w14:paraId="72C23FE7">
            <w:pPr>
              <w:keepNext w:val="0"/>
              <w:keepLines w:val="0"/>
              <w:widowControl/>
              <w:suppressLineNumbers w:val="0"/>
              <w:jc w:val="center"/>
              <w:textAlignment w:val="center"/>
              <w:rPr>
                <w:rFonts w:hint="eastAsia" w:ascii="仿宋" w:hAnsi="仿宋" w:eastAsia="仿宋" w:cs="仿宋"/>
                <w:i w:val="0"/>
                <w:iCs w:val="0"/>
                <w:caps w:val="0"/>
                <w:color w:val="333333"/>
                <w:spacing w:val="0"/>
                <w:sz w:val="22"/>
                <w:szCs w:val="22"/>
                <w:shd w:val="clear" w:fill="FFFFFF"/>
              </w:rPr>
            </w:pPr>
            <w:r>
              <w:rPr>
                <w:rFonts w:hint="default" w:ascii="雅黑" w:hAnsi="雅黑" w:eastAsia="雅黑" w:cs="雅黑"/>
                <w:i w:val="0"/>
                <w:iCs w:val="0"/>
                <w:color w:val="000000"/>
                <w:kern w:val="0"/>
                <w:sz w:val="22"/>
                <w:szCs w:val="22"/>
                <w:u w:val="none"/>
                <w:lang w:val="en-US" w:eastAsia="zh-CN" w:bidi="ar"/>
              </w:rPr>
              <w:t>刘宪广</w:t>
            </w:r>
          </w:p>
        </w:tc>
        <w:tc>
          <w:tcPr>
            <w:tcW w:w="4174" w:type="dxa"/>
            <w:shd w:val="clear" w:color="auto" w:fill="FFFFFF" w:themeFill="background1"/>
            <w:vAlign w:val="bottom"/>
          </w:tcPr>
          <w:p w14:paraId="1A430D39">
            <w:pPr>
              <w:keepNext w:val="0"/>
              <w:keepLines w:val="0"/>
              <w:widowControl/>
              <w:suppressLineNumbers w:val="0"/>
              <w:jc w:val="left"/>
              <w:textAlignment w:val="bottom"/>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河南省信阳市浉河区中都沁园5号楼110号商铺</w:t>
            </w:r>
          </w:p>
        </w:tc>
      </w:tr>
      <w:tr w14:paraId="6E100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580" w:type="dxa"/>
            <w:shd w:val="clear" w:color="auto" w:fill="FFFFFF" w:themeFill="background1"/>
            <w:noWrap/>
            <w:vAlign w:val="center"/>
          </w:tcPr>
          <w:p w14:paraId="2D7AF5A5">
            <w:pPr>
              <w:keepNext w:val="0"/>
              <w:keepLines w:val="0"/>
              <w:widowControl/>
              <w:suppressLineNumbers w:val="0"/>
              <w:jc w:val="center"/>
              <w:textAlignment w:val="center"/>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411502106712</w:t>
            </w:r>
          </w:p>
        </w:tc>
        <w:tc>
          <w:tcPr>
            <w:tcW w:w="1868" w:type="dxa"/>
            <w:shd w:val="clear" w:color="auto" w:fill="FFFFFF" w:themeFill="background1"/>
            <w:noWrap/>
            <w:vAlign w:val="bottom"/>
          </w:tcPr>
          <w:p w14:paraId="7F9F72EF">
            <w:pPr>
              <w:keepNext w:val="0"/>
              <w:keepLines w:val="0"/>
              <w:widowControl/>
              <w:suppressLineNumbers w:val="0"/>
              <w:jc w:val="left"/>
              <w:textAlignment w:val="bottom"/>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信阳市浉河区金达源生活超市</w:t>
            </w:r>
          </w:p>
        </w:tc>
        <w:tc>
          <w:tcPr>
            <w:tcW w:w="1145" w:type="dxa"/>
            <w:shd w:val="clear" w:color="auto" w:fill="FFFFFF" w:themeFill="background1"/>
            <w:vAlign w:val="center"/>
          </w:tcPr>
          <w:p w14:paraId="08D2D06E">
            <w:pPr>
              <w:keepNext w:val="0"/>
              <w:keepLines w:val="0"/>
              <w:widowControl/>
              <w:suppressLineNumbers w:val="0"/>
              <w:jc w:val="center"/>
              <w:textAlignment w:val="center"/>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金华达</w:t>
            </w:r>
          </w:p>
        </w:tc>
        <w:tc>
          <w:tcPr>
            <w:tcW w:w="4174" w:type="dxa"/>
            <w:shd w:val="clear" w:color="auto" w:fill="FFFFFF" w:themeFill="background1"/>
            <w:vAlign w:val="bottom"/>
          </w:tcPr>
          <w:p w14:paraId="5D1E4EF8">
            <w:pPr>
              <w:keepNext w:val="0"/>
              <w:keepLines w:val="0"/>
              <w:widowControl/>
              <w:suppressLineNumbers w:val="0"/>
              <w:jc w:val="left"/>
              <w:textAlignment w:val="bottom"/>
              <w:rPr>
                <w:rFonts w:hint="eastAsia" w:ascii="仿宋" w:hAnsi="仿宋" w:eastAsia="仿宋" w:cs="仿宋"/>
                <w:i w:val="0"/>
                <w:iCs w:val="0"/>
                <w:caps w:val="0"/>
                <w:spacing w:val="0"/>
                <w:sz w:val="22"/>
                <w:szCs w:val="22"/>
                <w:shd w:val="clear" w:fill="FFFFFF"/>
                <w:lang w:val="en-US" w:eastAsia="zh-CN"/>
              </w:rPr>
            </w:pPr>
            <w:r>
              <w:rPr>
                <w:rFonts w:hint="default" w:ascii="雅黑" w:hAnsi="雅黑" w:eastAsia="雅黑" w:cs="雅黑"/>
                <w:i w:val="0"/>
                <w:iCs w:val="0"/>
                <w:color w:val="000000"/>
                <w:kern w:val="0"/>
                <w:sz w:val="22"/>
                <w:szCs w:val="22"/>
                <w:u w:val="none"/>
                <w:lang w:val="en-US" w:eastAsia="zh-CN" w:bidi="ar"/>
              </w:rPr>
              <w:t>河南省信阳市浉河区五星乡七里棚村12组8号</w:t>
            </w:r>
          </w:p>
        </w:tc>
      </w:tr>
    </w:tbl>
    <w:p w14:paraId="24143D64">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rPr>
      </w:pPr>
    </w:p>
    <w:p w14:paraId="717E9A0F">
      <w:pPr>
        <w:pStyle w:val="5"/>
        <w:shd w:val="clear" w:color="auto" w:fill="FFFFFF"/>
        <w:spacing w:before="0" w:beforeAutospacing="0" w:after="0" w:afterAutospacing="0"/>
        <w:ind w:right="1280"/>
        <w:jc w:val="left"/>
        <w:rPr>
          <w:rFonts w:hint="default"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联系人：李田杨           联系电话：0376-6611867</w:t>
      </w:r>
    </w:p>
    <w:p w14:paraId="5C499764">
      <w:pPr>
        <w:pStyle w:val="5"/>
        <w:shd w:val="clear" w:color="auto" w:fill="FFFFFF"/>
        <w:spacing w:before="0" w:beforeAutospacing="0" w:after="0" w:afterAutospacing="0"/>
        <w:ind w:right="0"/>
        <w:jc w:val="left"/>
        <w:rPr>
          <w:rFonts w:hint="default"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联系地址：河南省信阳市浉河区五星街弘昌运动城市民之家</w:t>
      </w:r>
    </w:p>
    <w:p w14:paraId="50F11132">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lang w:val="en-US" w:eastAsia="zh-CN" w:bidi="ar-SA"/>
        </w:rPr>
      </w:pPr>
    </w:p>
    <w:p w14:paraId="458131C9">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rPr>
      </w:pPr>
    </w:p>
    <w:p w14:paraId="36B4E5A6">
      <w:pPr>
        <w:pStyle w:val="5"/>
        <w:shd w:val="clear" w:color="auto" w:fill="FFFFFF"/>
        <w:spacing w:before="0" w:beforeAutospacing="0" w:after="0" w:afterAutospacing="0"/>
        <w:ind w:right="1280" w:firstLine="4480" w:firstLineChars="1400"/>
        <w:jc w:val="both"/>
        <w:rPr>
          <w:rFonts w:hint="eastAsia" w:ascii="仿宋" w:hAnsi="仿宋" w:eastAsia="仿宋" w:cstheme="minorBidi"/>
          <w:kern w:val="2"/>
          <w:sz w:val="32"/>
          <w:szCs w:val="32"/>
        </w:rPr>
      </w:pPr>
    </w:p>
    <w:p w14:paraId="4935AB01">
      <w:pPr>
        <w:pStyle w:val="5"/>
        <w:shd w:val="clear" w:color="auto" w:fill="FFFFFF"/>
        <w:spacing w:before="0" w:beforeAutospacing="0" w:after="0" w:afterAutospacing="0"/>
        <w:ind w:right="0" w:firstLine="4800" w:firstLineChars="1500"/>
        <w:jc w:val="both"/>
        <w:rPr>
          <w:rFonts w:ascii="仿宋" w:hAnsi="仿宋" w:eastAsia="仿宋" w:cstheme="minorBidi"/>
          <w:kern w:val="2"/>
          <w:sz w:val="32"/>
          <w:szCs w:val="32"/>
        </w:rPr>
      </w:pPr>
      <w:r>
        <w:rPr>
          <w:rFonts w:hint="eastAsia" w:ascii="仿宋" w:hAnsi="仿宋" w:eastAsia="仿宋" w:cstheme="minorBidi"/>
          <w:kern w:val="2"/>
          <w:sz w:val="32"/>
          <w:szCs w:val="32"/>
        </w:rPr>
        <w:t>浉河</w:t>
      </w:r>
      <w:r>
        <w:rPr>
          <w:rFonts w:ascii="仿宋" w:hAnsi="仿宋" w:eastAsia="仿宋" w:cstheme="minorBidi"/>
          <w:kern w:val="2"/>
          <w:sz w:val="32"/>
          <w:szCs w:val="32"/>
        </w:rPr>
        <w:t>区烟草专卖局</w:t>
      </w:r>
    </w:p>
    <w:p w14:paraId="3F485BDD">
      <w:pPr>
        <w:pStyle w:val="5"/>
        <w:shd w:val="clear" w:color="auto" w:fill="FFFFFF"/>
        <w:spacing w:before="0" w:beforeAutospacing="0" w:after="0" w:afterAutospacing="0"/>
        <w:ind w:right="1280"/>
        <w:jc w:val="right"/>
        <w:rPr>
          <w:rFonts w:ascii="仿宋" w:hAnsi="仿宋" w:eastAsia="仿宋" w:cstheme="minorBidi"/>
          <w:kern w:val="2"/>
          <w:sz w:val="32"/>
          <w:szCs w:val="32"/>
        </w:rPr>
      </w:pPr>
      <w:r>
        <w:rPr>
          <w:rFonts w:ascii="Calibri" w:hAnsi="Calibri" w:eastAsia="仿宋" w:cs="Calibri"/>
          <w:kern w:val="2"/>
          <w:sz w:val="32"/>
          <w:szCs w:val="32"/>
        </w:rPr>
        <w:t>  </w:t>
      </w:r>
      <w:r>
        <w:rPr>
          <w:rFonts w:ascii="仿宋" w:hAnsi="仿宋" w:eastAsia="仿宋" w:cstheme="minorBidi"/>
          <w:kern w:val="2"/>
          <w:sz w:val="32"/>
          <w:szCs w:val="32"/>
        </w:rPr>
        <w:t>202</w:t>
      </w:r>
      <w:r>
        <w:rPr>
          <w:rFonts w:hint="eastAsia" w:ascii="仿宋" w:hAnsi="仿宋" w:eastAsia="仿宋" w:cstheme="minorBidi"/>
          <w:kern w:val="2"/>
          <w:sz w:val="32"/>
          <w:szCs w:val="32"/>
          <w:lang w:val="en-US" w:eastAsia="zh-CN"/>
        </w:rPr>
        <w:t>5</w:t>
      </w:r>
      <w:r>
        <w:rPr>
          <w:rFonts w:ascii="仿宋" w:hAnsi="仿宋" w:eastAsia="仿宋" w:cstheme="minorBidi"/>
          <w:kern w:val="2"/>
          <w:sz w:val="32"/>
          <w:szCs w:val="32"/>
        </w:rPr>
        <w:t>年</w:t>
      </w:r>
      <w:r>
        <w:rPr>
          <w:rFonts w:hint="eastAsia" w:ascii="仿宋" w:hAnsi="仿宋" w:eastAsia="仿宋" w:cstheme="minorBidi"/>
          <w:kern w:val="2"/>
          <w:sz w:val="32"/>
          <w:szCs w:val="32"/>
          <w:lang w:val="en-US" w:eastAsia="zh-CN"/>
        </w:rPr>
        <w:t>9</w:t>
      </w:r>
      <w:r>
        <w:rPr>
          <w:rFonts w:ascii="仿宋" w:hAnsi="仿宋" w:eastAsia="仿宋" w:cstheme="minorBidi"/>
          <w:kern w:val="2"/>
          <w:sz w:val="32"/>
          <w:szCs w:val="32"/>
        </w:rPr>
        <w:t>月</w:t>
      </w:r>
      <w:r>
        <w:rPr>
          <w:rFonts w:hint="eastAsia" w:ascii="仿宋" w:hAnsi="仿宋" w:eastAsia="仿宋" w:cstheme="minorBidi"/>
          <w:kern w:val="2"/>
          <w:sz w:val="32"/>
          <w:szCs w:val="32"/>
          <w:lang w:val="en-US" w:eastAsia="zh-CN"/>
        </w:rPr>
        <w:t>29</w:t>
      </w:r>
      <w:r>
        <w:rPr>
          <w:rFonts w:ascii="仿宋" w:hAnsi="仿宋" w:eastAsia="仿宋" w:cstheme="minorBidi"/>
          <w:kern w:val="2"/>
          <w:sz w:val="32"/>
          <w:szCs w:val="32"/>
        </w:rPr>
        <w:t>日</w:t>
      </w:r>
      <w:bookmarkStart w:id="0" w:name="_GoBack"/>
      <w:bookmarkEnd w:id="0"/>
    </w:p>
    <w:sectPr>
      <w:pgSz w:w="11906" w:h="16838"/>
      <w:pgMar w:top="1440" w:right="1558"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AyMjcwZWRmNDBhZmVlZDc1ZDczMDk2MGRjMDkyZGQifQ=="/>
  </w:docVars>
  <w:rsids>
    <w:rsidRoot w:val="00CA7492"/>
    <w:rsid w:val="00045859"/>
    <w:rsid w:val="00126FD9"/>
    <w:rsid w:val="001F66BC"/>
    <w:rsid w:val="00263FD0"/>
    <w:rsid w:val="002C6F4A"/>
    <w:rsid w:val="0042413D"/>
    <w:rsid w:val="005A3A8F"/>
    <w:rsid w:val="006A4FA0"/>
    <w:rsid w:val="007C1695"/>
    <w:rsid w:val="0082002C"/>
    <w:rsid w:val="008544E3"/>
    <w:rsid w:val="009213F0"/>
    <w:rsid w:val="009C701C"/>
    <w:rsid w:val="00A760D9"/>
    <w:rsid w:val="00CA7492"/>
    <w:rsid w:val="00D62E66"/>
    <w:rsid w:val="00E41116"/>
    <w:rsid w:val="00F01D80"/>
    <w:rsid w:val="00FA6C55"/>
    <w:rsid w:val="02ED7885"/>
    <w:rsid w:val="03675440"/>
    <w:rsid w:val="03C531A8"/>
    <w:rsid w:val="06464A56"/>
    <w:rsid w:val="097C57A1"/>
    <w:rsid w:val="0E4B30BE"/>
    <w:rsid w:val="0F584CF6"/>
    <w:rsid w:val="19A2200A"/>
    <w:rsid w:val="1CE079A0"/>
    <w:rsid w:val="1F293C15"/>
    <w:rsid w:val="232B508D"/>
    <w:rsid w:val="25766392"/>
    <w:rsid w:val="25DE14A7"/>
    <w:rsid w:val="266A10FE"/>
    <w:rsid w:val="2CB10582"/>
    <w:rsid w:val="2F4C47A7"/>
    <w:rsid w:val="3838788D"/>
    <w:rsid w:val="3B071DF8"/>
    <w:rsid w:val="3C3D2753"/>
    <w:rsid w:val="3DE93487"/>
    <w:rsid w:val="3F9835AE"/>
    <w:rsid w:val="43FC098C"/>
    <w:rsid w:val="44B92C76"/>
    <w:rsid w:val="4FBF08B9"/>
    <w:rsid w:val="512E6195"/>
    <w:rsid w:val="54005C25"/>
    <w:rsid w:val="54984DD0"/>
    <w:rsid w:val="5BD930EE"/>
    <w:rsid w:val="648B3429"/>
    <w:rsid w:val="64E325E4"/>
    <w:rsid w:val="65CB6342"/>
    <w:rsid w:val="665651D9"/>
    <w:rsid w:val="69963F20"/>
    <w:rsid w:val="71126468"/>
    <w:rsid w:val="712170AA"/>
    <w:rsid w:val="7481590E"/>
    <w:rsid w:val="7B8B347C"/>
    <w:rsid w:val="7CE415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0"/>
    <w:autoRedefine/>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autoRedefine/>
    <w:semiHidden/>
    <w:qFormat/>
    <w:uiPriority w:val="99"/>
    <w:rPr>
      <w:sz w:val="18"/>
      <w:szCs w:val="18"/>
    </w:rPr>
  </w:style>
  <w:style w:type="character" w:customStyle="1" w:styleId="11">
    <w:name w:val="font11"/>
    <w:basedOn w:val="7"/>
    <w:qFormat/>
    <w:uiPriority w:val="0"/>
    <w:rPr>
      <w:rFonts w:hint="eastAsia" w:ascii="宋体" w:hAnsi="宋体" w:eastAsia="宋体" w:cs="宋体"/>
      <w:color w:val="000000"/>
      <w:sz w:val="24"/>
      <w:szCs w:val="24"/>
      <w:u w:val="none"/>
    </w:rPr>
  </w:style>
  <w:style w:type="character" w:customStyle="1" w:styleId="12">
    <w:name w:val="font21"/>
    <w:basedOn w:val="7"/>
    <w:autoRedefine/>
    <w:qFormat/>
    <w:uiPriority w:val="0"/>
    <w:rPr>
      <w:rFonts w:ascii="Calibri" w:hAnsi="Calibri" w:cs="Calibri"/>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614</Words>
  <Characters>687</Characters>
  <Lines>9</Lines>
  <Paragraphs>2</Paragraphs>
  <TotalTime>1</TotalTime>
  <ScaleCrop>false</ScaleCrop>
  <LinksUpToDate>false</LinksUpToDate>
  <CharactersWithSpaces>701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2022-11-14T01:11:00Z</dcterms:created>
  <dc:creator>noname</dc:creator>
  <cp:lastModifiedBy>Administrator</cp:lastModifiedBy>
  <cp:lastPrinted>2025-06-12T07:24:00Z</cp:lastPrinted>
  <dcterms:modified xsi:type="dcterms:W3CDTF">2025-09-29T00:50:55Z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B5DFBE8940184909A2656FD4FA0AAC3B_13</vt:lpwstr>
  </property>
  <property fmtid="{D5CDD505-2E9C-101B-9397-08002B2CF9AE}" pid="4" name="KSOTemplateDocerSaveRecord">
    <vt:lpwstr>eyJoZGlkIjoiYjAyMjcwZWRmNDBhZmVlZDc1ZDczMDk2MGRjMDkyZGQiLCJ1c2VySWQiOiI2MDY5NjYxMzgifQ==</vt:lpwstr>
  </property>
</Properties>
</file>