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82C0F">
      <w:pPr>
        <w:spacing w:before="244" w:line="221" w:lineRule="auto"/>
        <w:jc w:val="center"/>
        <w:rPr>
          <w:rFonts w:hint="eastAsia" w:ascii="黑体" w:hAnsi="黑体" w:eastAsia="黑体" w:cs="黑体"/>
          <w:sz w:val="26"/>
          <w:szCs w:val="26"/>
        </w:rPr>
      </w:pPr>
      <w:r>
        <w:rPr>
          <w:rFonts w:hint="eastAsia" w:ascii="黑体" w:hAnsi="黑体" w:eastAsia="黑体" w:cs="黑体"/>
          <w:b/>
          <w:bCs/>
          <w:spacing w:val="-5"/>
          <w:sz w:val="26"/>
          <w:szCs w:val="26"/>
          <w:lang w:val="en-US" w:eastAsia="zh-CN"/>
        </w:rPr>
        <w:t>平桥区市场监督管理局</w:t>
      </w:r>
      <w:r>
        <w:rPr>
          <w:rFonts w:hint="eastAsia" w:ascii="黑体" w:hAnsi="黑体" w:eastAsia="黑体" w:cs="黑体"/>
          <w:b/>
          <w:bCs/>
          <w:spacing w:val="-5"/>
          <w:sz w:val="26"/>
          <w:szCs w:val="26"/>
        </w:rPr>
        <w:t>涉企行政检查公示专栏</w:t>
      </w:r>
    </w:p>
    <w:p w14:paraId="4D43771C">
      <w:pPr>
        <w:pStyle w:val="5"/>
        <w:spacing w:before="225" w:line="219" w:lineRule="auto"/>
        <w:jc w:val="center"/>
        <w:rPr>
          <w:rFonts w:hint="eastAsia" w:ascii="宋体" w:hAnsi="宋体" w:eastAsia="宋体" w:cs="宋体"/>
          <w:sz w:val="26"/>
          <w:szCs w:val="26"/>
        </w:rPr>
      </w:pPr>
      <w:r>
        <w:rPr>
          <w:rFonts w:hint="eastAsia" w:ascii="宋体" w:hAnsi="宋体" w:eastAsia="宋体" w:cs="宋体"/>
          <w:spacing w:val="-2"/>
          <w:sz w:val="26"/>
          <w:szCs w:val="26"/>
        </w:rPr>
        <w:t>检查频次上限</w:t>
      </w:r>
    </w:p>
    <w:p w14:paraId="0531868C">
      <w:pPr>
        <w:spacing w:line="175" w:lineRule="exact"/>
      </w:pPr>
    </w:p>
    <w:tbl>
      <w:tblPr>
        <w:tblStyle w:val="2"/>
        <w:tblW w:w="82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8"/>
        <w:gridCol w:w="4590"/>
        <w:gridCol w:w="2500"/>
      </w:tblGrid>
      <w:tr w14:paraId="1A8F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169F">
            <w:pPr>
              <w:keepNext w:val="0"/>
              <w:keepLines w:val="0"/>
              <w:widowControl/>
              <w:suppressLineNumbers w:val="0"/>
              <w:jc w:val="center"/>
              <w:textAlignment w:val="center"/>
              <w:rPr>
                <w:rFonts w:hint="eastAsia" w:ascii="宋体" w:hAnsi="宋体" w:eastAsia="宋体" w:cs="宋体"/>
                <w:b/>
                <w:bCs/>
                <w:i w:val="0"/>
                <w:iCs w:val="0"/>
                <w:color w:val="44546A"/>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D4F0">
            <w:pPr>
              <w:keepNext w:val="0"/>
              <w:keepLines w:val="0"/>
              <w:widowControl/>
              <w:suppressLineNumbers w:val="0"/>
              <w:jc w:val="center"/>
              <w:textAlignment w:val="center"/>
              <w:rPr>
                <w:rFonts w:hint="eastAsia" w:ascii="宋体" w:hAnsi="宋体" w:eastAsia="宋体" w:cs="宋体"/>
                <w:b/>
                <w:bCs/>
                <w:i w:val="0"/>
                <w:iCs w:val="0"/>
                <w:color w:val="44546A"/>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行政检查事项名称</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ADB8">
            <w:pPr>
              <w:keepNext w:val="0"/>
              <w:keepLines w:val="0"/>
              <w:widowControl/>
              <w:suppressLineNumbers w:val="0"/>
              <w:jc w:val="center"/>
              <w:textAlignment w:val="center"/>
              <w:rPr>
                <w:rFonts w:hint="eastAsia" w:ascii="宋体" w:hAnsi="宋体" w:eastAsia="宋体" w:cs="宋体"/>
                <w:b/>
                <w:bCs/>
                <w:i w:val="0"/>
                <w:iCs w:val="0"/>
                <w:color w:val="44546A"/>
                <w:sz w:val="21"/>
                <w:szCs w:val="21"/>
                <w:u w:val="none"/>
                <w:lang w:val="en-US"/>
              </w:rPr>
            </w:pPr>
            <w:r>
              <w:rPr>
                <w:rFonts w:hint="eastAsia" w:ascii="宋体" w:hAnsi="宋体" w:eastAsia="宋体" w:cs="宋体"/>
                <w:b/>
                <w:bCs/>
                <w:i w:val="0"/>
                <w:iCs w:val="0"/>
                <w:snapToGrid w:val="0"/>
                <w:color w:val="000000"/>
                <w:kern w:val="0"/>
                <w:sz w:val="21"/>
                <w:szCs w:val="21"/>
                <w:u w:val="none"/>
                <w:lang w:val="en-US" w:eastAsia="zh-CN" w:bidi="ar"/>
              </w:rPr>
              <w:t>频次上限</w:t>
            </w:r>
          </w:p>
        </w:tc>
      </w:tr>
      <w:tr w14:paraId="3876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7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F4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对经营者价格活动的行政检查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AC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3DED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7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9E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对同级人民政府业务主管部门、下级人民政府以及本地区事业单位执行价格法规、政策的行政检查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74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1FF3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5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B6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对行政事业性收费及经营性服务收费行为的行政检查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ED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1E2E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4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DF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对企业、个体工商户、农民专业合作社公示信息的行政检查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59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每年至少1次</w:t>
            </w:r>
          </w:p>
        </w:tc>
      </w:tr>
      <w:tr w14:paraId="11CC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0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6C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对持续公示信息的行政检查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D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每年至少1次</w:t>
            </w:r>
          </w:p>
        </w:tc>
      </w:tr>
      <w:tr w14:paraId="21E2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D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E8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对企业法定代表人（负责人）任职情况的行政检查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7C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每年至少1次</w:t>
            </w:r>
          </w:p>
        </w:tc>
      </w:tr>
      <w:tr w14:paraId="01D2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3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E4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对企业注册资本实缴情况的行政检查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4E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每年至少1次</w:t>
            </w:r>
          </w:p>
        </w:tc>
      </w:tr>
      <w:tr w14:paraId="7867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C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C0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对市场主体住所（经营场所）或驻在场所的行政检查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F5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每年至少1次</w:t>
            </w:r>
          </w:p>
        </w:tc>
      </w:tr>
      <w:tr w14:paraId="3CF3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9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E6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对市场主体擅自改变主要登记事项或者超出核准登记的经营范围从事经营活动的行政检查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EB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每年至少1次</w:t>
            </w:r>
          </w:p>
        </w:tc>
      </w:tr>
      <w:tr w14:paraId="2066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1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47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对市场主体经营（驻在）期限的行政检查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A5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每年至少1次</w:t>
            </w:r>
          </w:p>
        </w:tc>
      </w:tr>
      <w:tr w14:paraId="6EBF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D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21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对市场主体名称规范使用情况的行政检查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C1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每年至少1次</w:t>
            </w:r>
          </w:p>
        </w:tc>
      </w:tr>
      <w:tr w14:paraId="30C1C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1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BB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对市场主体营业执照（登记证）规范使用情况的行政检查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3C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每年至少1次</w:t>
            </w:r>
          </w:p>
        </w:tc>
      </w:tr>
      <w:tr w14:paraId="0660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1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59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对企业提交虚假材料或者采取其他欺诈手段隐瞒重要事实取得登记的行政检查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E1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每年至少1次</w:t>
            </w:r>
          </w:p>
        </w:tc>
      </w:tr>
      <w:tr w14:paraId="22F3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5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C0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对电子商务经营者披露信息的行政检查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09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2AADC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0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DB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对电子商务平台对平台内用户设置条件的行政检查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BE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48CF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5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13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对电子商务平台经营者自营业务的行政检查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1E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5A9E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3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BD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对电子商务经营者亮证亮照的行政检查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ED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5464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7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6B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对电子商务平台经营者的行政检查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09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5805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0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F0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对电子商务平台经营者搭售的行政检查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9B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3968B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2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30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对电子商务平台经营者修改平台服务协议和交易规则的行政检查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CF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751B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2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D8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对电子商务经营者信息的行政检查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F0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46B2E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2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E0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对向消费者显示搜索结果的行政检查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96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6EA2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E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A5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对公共场所的管理者、电信业务经营者、互联网信息服务提供者的行政检查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25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4AE2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4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9F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对电子商务平台经营者信用评价制度的行政检查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A8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2D30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8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A2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对制定平台服务协议和交易规则的行政检查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9A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3F7C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4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EF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对不正当竞争行为进行检查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E0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每年至少1次</w:t>
            </w:r>
          </w:p>
        </w:tc>
      </w:tr>
      <w:tr w14:paraId="4CFC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0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5E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对直销企业、直销员、及其直销活动进行检查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C9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49D2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8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52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对组织者或者经营者的传销行为进行检查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68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每年至少1次</w:t>
            </w:r>
          </w:p>
        </w:tc>
      </w:tr>
      <w:tr w14:paraId="7BF62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D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44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对广播电台、电视台、报刊出版单位的广告发布登记的监督检查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59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3700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B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94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对辖区内的广告发布单位按规定报送《广告业统计报表》的监督检查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AE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1784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8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84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对广告未显著标明关闭标志的监督检查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D7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5DD2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B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65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对违法广告代言活动的监督检查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86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7E08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B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A1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对广告经营者、广告发布者未建立健全相关制度的监督检查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FD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41E5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02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对其他违法广告行为的监督检查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9E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2FD9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A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7B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对虚假广告的监督检查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6D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0D5B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F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39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对广告主申请药品、医疗器械、保健食品和特殊医学用途配方食品广告审查情况的监督检查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16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38DA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C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44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拍卖活动经营资格的检查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83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280A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7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04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文物经营活动经营资格的检查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31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3200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0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B3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为非法交易野生动物等违法行为提供交易服务的检查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A4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2C5B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8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4A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对定量包装商品的计量行政检查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E1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2D48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F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72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对非法定计量单位的计量器具的行政检查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02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68B5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C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B9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对是否办理计量器具型式批准，是否按照批准的型式组织生产的行政检查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3C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1EBD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C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6C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对计量检定人员违反计量检定规程开展计量检定工作等行为的行政检查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33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774D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5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A4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对制造、修理、销售、进口和使用计量器具，以及计量检定等相关计量活动的行政检查。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D6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42E6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A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54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对法定计量单位的行政检查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38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6E21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F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FA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对计量标准器具出具的数据是否准确可靠的行政检查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AC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3F17B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3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D0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对用重点能单位能源计量工作人员配备和培训情况的行政检查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3E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1E45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0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04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对重点用能单位能源计量器具配备和使用情况的行政检查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AE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6B8E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F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15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对是否办理进口计量器具型式批准的行政检查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BB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033D7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E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2F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对授权的法定计量检定机构的行政检查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F9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63B9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4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A0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特种设备检验信息</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F2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7C03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E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65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特种设备管理人员作业人员证</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B6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5459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1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E9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特种设备注册登记证</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A9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0DD3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E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B8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特种设备事故应急处置预案及演练</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B3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3493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C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FB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强制产品认证、检验检测活动及结果的行政检查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BD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7594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8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56</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7C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对列入强制性产品认证目录内产品的行政检查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B0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1AFD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C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7D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对认证证书和认证标志的使用情况的行政检查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32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272C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6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82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对认证活动和认证结果的行政检查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2C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7F1C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E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A9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对认证从业人员执业行为的行政检查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68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5F04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3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1F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对有机产品认证的行政检查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F2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3D4F6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2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61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对列入生产目录且获得工业产品生产许可证的企业的行政检查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B3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5553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9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54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对检验检测机构的行政检查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72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1B03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D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99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对食品小作坊日常生产行为的行政检查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D1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451B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A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B6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对不合格食品及其生产经营者的行政检查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F0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60D1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1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65</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F8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对食品（含食品添加剂，不含特殊食品）生产企业的行政检查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61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5881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9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E9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对从事餐饮服务的食品小摊点日常经营行为的行政检查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DF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2636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3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D0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对从事餐饮服务的食品小经营店日常经营行为的行政检查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42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7523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7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EF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对餐饮服务经营者开展食品安全信用监管的行政检查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1B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0A06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3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CA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对餐饮服务经营者遵守本法情况的行政检查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B9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3B90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0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34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对餐饮服务经营者日常经营行为的行政检查。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35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7AC3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D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06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对发生食品安全事故风险较高的餐饮服务经营者的行政检查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E8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6734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F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96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对食品小经营店规范经营情况的行政检查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2C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620F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B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73</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8B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对不合格食品及其生产经营者的行政检查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E3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7044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D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74</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C7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对保健食品经营者的行政检查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D1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4690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A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64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对婴幼儿配方乳粉、特殊医学用途配方食品经营者的行政检查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A5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253E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6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AC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对食用农产品者按要求公布食用农产品相关信息的行政检查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93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1738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9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77</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9E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对食用农产品销售者按要求进行包装或者附加标签的行政检查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2D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15FC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7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C8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对食用农产品销售者是否存在销售未按要求选择贮存服务提供者，对贮存服务提供者履行食用农产品贮存相关义务的行政检查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59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4900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3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79</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BD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对食用农产品销售者是否存在销售未按规定进行检验的肉类，或者销售标准虚假的信息，标注伪造、冒用质量标志的食用农产品的行政检查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F9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02E1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2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46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对食用农产品销售者是否存在销售使用食品添加剂和食品相关产品不符合食品安全标准，被包装材料、容器、运输工具等污染的食用农产品的行政检查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96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76AB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B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81</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59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对食用农产品销售者是否存在销售违规使用食品添加剂，感观性状异常或者掺假掺杂，标注虚假生产日期、保质期或者超过保质期的食用农产品的行政检查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9A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1AF2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9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00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对食用农产品销售者是否存在销售致病性微生物，农药残留、兽药残留、生物毒素、重金属等污染物质以及其他危害人体健康的物质含量超过食品安全标准限量的食用农产品的行政检查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13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067C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8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83</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79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对食用农产品销售者是否存在销售病死、毒死或者死因不明的禽、畜、兽、水产动物肉类，未按规定进行检疫或者检疫不合格的肉类，以及为防病等特殊需要明令禁止销售的食用农产品的行政检查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9A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3D267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2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84</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A9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对食用农产品销售者是否存在销售使用国家禁止的兽药和剧毒、高毒农药，或者添加食品添加以外的化学物质和其他可能危害人体健康物质的食用农产品的行政检查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EE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70BB1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7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85</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9F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对食用农产品销售者按要求配备与销售品种相适应的冷藏、冷冻设施，温度、湿度和环境等符合特殊要求的行政检查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7C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1D90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D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86</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44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对食用农产品销售者建立食用农产品进货查验记录制度的行政检查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26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3E0FD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A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87</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D5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对食用农产品集中交易市场开办者在醒目位置及时公布食用农产品质量安全管理制度、食品安全管理人员、食用农产品抽样检验结果以及不合格食用农产品处理结果、投诉举报电话等信息的行政检查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5F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4C2D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9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F2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对食用农产品集中交易市场开办者发现食用农产品不符合食品安全标准等违法行为，依照集中交易市场管理规定或者与销售者签订的协议处理的行政检查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FB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2F34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5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89</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BB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对食用农产品集中交易市场开办者对进入市场销售的食用农产品是否进行抽样检验，无法提供食用农产品产地证明或者购货凭证、合格证明文件的销售者不得入场销售的行政检查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B6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07C0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6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D3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对食用农产品集中交易市场开办者查验并留存入场销售者的社会信用代码或者身份证复印件、食用农产品产地证明或者购货凭证、合格证明文件的行政检查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90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6256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0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91</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54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对食用农产品集中交易市场开办者如实向所在地县级市场监管部门报告市场基本信息的行政检查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33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240E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5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33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对食用农产品集中交易市场开办者按要求建立入场销售者档案，或者按要求保存和更新销售者档案的行政检查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9D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30DF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1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93</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6C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对食用农产品集中交易市场开办者环境、设施、设备等符合有关食用农产品质量安全要求的行政检查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0D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5BC0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6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94</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BC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对食用农产品集中交易市场开办者按食用农产品类别实行分区销售的行政检查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01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6058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B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F0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对食用农产品集中交易市场开办者制定食品安全事故处置方案的行政检查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ED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7FE0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4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96</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E8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对食用农产品集中交易市场开办者配备食品安全管理人员、专业技术人员，或者组织食品安全知识培训的行政检查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E4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p>
        </w:tc>
      </w:tr>
      <w:tr w14:paraId="32AE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6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DF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对食用农产品集中交易市场开办者建立或者落实食品安全管理制度的行政检查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5A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每年3-4次</w:t>
            </w:r>
            <w:bookmarkStart w:id="0" w:name="_GoBack"/>
            <w:bookmarkEnd w:id="0"/>
          </w:p>
        </w:tc>
      </w:tr>
      <w:tr w14:paraId="3BAE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E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DA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对第三类医疗器械经营企业的行政检查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D5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1243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C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99</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E1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对单位使用医疗器械的行政检查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08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65B1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F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E7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对第二类医疗器械经营备案情况的行政检查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9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722E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3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101</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1D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对医疗器械网络销售和医疗器械网络交易服务第三方平台的行政管理行政检查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44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15AB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C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3F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对药品经营企业销售终止妊娠药品的行政检查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0D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1CF6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E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103</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0C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对购买麻醉药品和精神药品的行政检查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E4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02E3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5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104</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99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对经营第一类中的药品类易制毒化学品的行政检查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77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55A96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9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105</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A6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对执业药师执业活动的行政检查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46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2A25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2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106</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43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对药品零售企业的行政检查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E4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18DC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F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107</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FF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对购买第一类中的药品类易制毒化学品的行政检查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15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1A3F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F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CF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对医疗机构擅自使用其他医疗机构配制的制剂的行政检查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B6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1589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8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109</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54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对第二类精神药品零售业务的行政检查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EE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每年2-3次</w:t>
            </w:r>
          </w:p>
        </w:tc>
      </w:tr>
      <w:tr w14:paraId="4F8B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6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D2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2022年商标代理行为“双随机、一公开”监督检查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EB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6E91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D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111</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62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专利证书、专利文件或专利申请文件</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C6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0199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E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81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产品专利宣传真实性的检查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F0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2D03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C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113</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F6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商标使用行为的检查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D8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24F3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73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集体商标、证明商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标（含地理标志）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使用行为的检查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81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r w14:paraId="079B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E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83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商标印制行为的检查</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18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每年至少2次</w:t>
            </w:r>
          </w:p>
        </w:tc>
      </w:tr>
    </w:tbl>
    <w:p w14:paraId="3E2E7B9D">
      <w:pPr>
        <w:ind w:firstLine="864" w:firstLineChars="400"/>
        <w:rPr>
          <w:rFonts w:hint="eastAsia" w:ascii="宋体" w:hAnsi="宋体" w:eastAsia="宋体" w:cs="宋体"/>
          <w:spacing w:val="3"/>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E5D84"/>
    <w:rsid w:val="0C00211C"/>
    <w:rsid w:val="10A01EB7"/>
    <w:rsid w:val="283207C5"/>
    <w:rsid w:val="7E850D29"/>
    <w:rsid w:val="7FEA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3806</Words>
  <Characters>4047</Characters>
  <Lines>0</Lines>
  <Paragraphs>0</Paragraphs>
  <TotalTime>9</TotalTime>
  <ScaleCrop>false</ScaleCrop>
  <LinksUpToDate>false</LinksUpToDate>
  <CharactersWithSpaces>4058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2025-07-24T01:40:00Z</dcterms:created>
  <dc:creator>Administrator</dc:creator>
  <cp:lastModifiedBy>彭闯</cp:lastModifiedBy>
  <dcterms:modified xsi:type="dcterms:W3CDTF">2025-09-26T02:48:13Z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eyJoZGlkIjoiNTZmMWU3MmJmOGY3MDE3NWUyMzMxNTA1YzI2OTYyOGQiLCJ1c2VySWQiOiIxNDc2NDc4MzQ1In0=</vt:lpwstr>
  </property>
  <property fmtid="{D5CDD505-2E9C-101B-9397-08002B2CF9AE}" pid="4" name="ICV">
    <vt:lpwstr>D925467CCC0D4FCD83F4A1FCEC954F4C_13</vt:lpwstr>
  </property>
</Properties>
</file>