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0EEC76">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44"/>
          <w:szCs w:val="44"/>
          <w:lang w:val="en-US" w:eastAsia="zh-CN"/>
        </w:rPr>
      </w:pPr>
      <w:r>
        <w:rPr>
          <w:rFonts w:hint="eastAsia" w:ascii="黑体" w:hAnsi="黑体" w:eastAsia="黑体" w:cs="黑体"/>
          <w:b w:val="0"/>
          <w:bCs w:val="0"/>
          <w:sz w:val="48"/>
          <w:szCs w:val="48"/>
          <w:lang w:val="en-US" w:eastAsia="zh-CN"/>
        </w:rPr>
        <w:t>息县应急管理局行政检查事项清单</w:t>
      </w:r>
    </w:p>
    <w:p w14:paraId="3F2242A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宋体" w:hAnsi="宋体" w:eastAsia="宋体" w:cs="宋体"/>
          <w:b/>
          <w:bCs/>
          <w:sz w:val="44"/>
          <w:szCs w:val="44"/>
          <w:lang w:val="en-US" w:eastAsia="zh-CN"/>
        </w:rPr>
      </w:pPr>
    </w:p>
    <w:tbl>
      <w:tblPr>
        <w:tblStyle w:val="3"/>
        <w:tblW w:w="147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0"/>
        <w:gridCol w:w="2085"/>
        <w:gridCol w:w="2170"/>
        <w:gridCol w:w="6440"/>
        <w:gridCol w:w="2100"/>
        <w:gridCol w:w="1080"/>
      </w:tblGrid>
      <w:tr w14:paraId="1D8CD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0" w:type="dxa"/>
            <w:tcBorders>
              <w:top w:val="single" w:color="000000" w:sz="4" w:space="0"/>
              <w:left w:val="single" w:color="000000" w:sz="4" w:space="0"/>
              <w:bottom w:val="single" w:color="000000" w:sz="4" w:space="0"/>
              <w:right w:val="single" w:color="000000" w:sz="4" w:space="0"/>
            </w:tcBorders>
            <w:noWrap/>
            <w:vAlign w:val="center"/>
          </w:tcPr>
          <w:p w14:paraId="7D6BE867">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32"/>
                <w:szCs w:val="32"/>
                <w:u w:val="none"/>
              </w:rPr>
            </w:pPr>
            <w:r>
              <w:rPr>
                <w:rFonts w:hint="eastAsia" w:ascii="方正仿宋_GB2312" w:hAnsi="方正仿宋_GB2312" w:eastAsia="方正仿宋_GB2312" w:cs="方正仿宋_GB2312"/>
                <w:b/>
                <w:bCs/>
                <w:i w:val="0"/>
                <w:iCs w:val="0"/>
                <w:color w:val="000000"/>
                <w:kern w:val="0"/>
                <w:sz w:val="32"/>
                <w:szCs w:val="32"/>
                <w:u w:val="none"/>
                <w:lang w:val="en-US" w:eastAsia="zh-CN" w:bidi="ar"/>
              </w:rPr>
              <w:t>序号</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78208B3D">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32"/>
                <w:szCs w:val="32"/>
                <w:u w:val="none"/>
              </w:rPr>
            </w:pPr>
            <w:r>
              <w:rPr>
                <w:rFonts w:hint="eastAsia" w:ascii="方正仿宋_GB2312" w:hAnsi="方正仿宋_GB2312" w:eastAsia="方正仿宋_GB2312" w:cs="方正仿宋_GB2312"/>
                <w:b/>
                <w:bCs/>
                <w:i w:val="0"/>
                <w:iCs w:val="0"/>
                <w:color w:val="000000"/>
                <w:kern w:val="0"/>
                <w:sz w:val="32"/>
                <w:szCs w:val="32"/>
                <w:u w:val="none"/>
                <w:lang w:val="en-US" w:eastAsia="zh-CN" w:bidi="ar"/>
              </w:rPr>
              <w:t>检查事项</w:t>
            </w:r>
          </w:p>
        </w:tc>
        <w:tc>
          <w:tcPr>
            <w:tcW w:w="2170" w:type="dxa"/>
            <w:tcBorders>
              <w:top w:val="single" w:color="000000" w:sz="4" w:space="0"/>
              <w:left w:val="single" w:color="000000" w:sz="4" w:space="0"/>
              <w:bottom w:val="single" w:color="000000" w:sz="4" w:space="0"/>
              <w:right w:val="single" w:color="000000" w:sz="4" w:space="0"/>
            </w:tcBorders>
            <w:noWrap w:val="0"/>
            <w:vAlign w:val="center"/>
          </w:tcPr>
          <w:p w14:paraId="629B1BBC">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32"/>
                <w:szCs w:val="32"/>
                <w:u w:val="none"/>
              </w:rPr>
            </w:pPr>
            <w:r>
              <w:rPr>
                <w:rFonts w:hint="eastAsia" w:ascii="方正仿宋_GB2312" w:hAnsi="方正仿宋_GB2312" w:eastAsia="方正仿宋_GB2312" w:cs="方正仿宋_GB2312"/>
                <w:b/>
                <w:bCs/>
                <w:i w:val="0"/>
                <w:iCs w:val="0"/>
                <w:color w:val="000000"/>
                <w:kern w:val="0"/>
                <w:sz w:val="32"/>
                <w:szCs w:val="32"/>
                <w:u w:val="none"/>
                <w:lang w:val="en-US" w:eastAsia="zh-CN" w:bidi="ar"/>
              </w:rPr>
              <w:t>检查对象</w:t>
            </w:r>
          </w:p>
        </w:tc>
        <w:tc>
          <w:tcPr>
            <w:tcW w:w="6440" w:type="dxa"/>
            <w:tcBorders>
              <w:top w:val="single" w:color="000000" w:sz="4" w:space="0"/>
              <w:left w:val="single" w:color="000000" w:sz="4" w:space="0"/>
              <w:bottom w:val="single" w:color="000000" w:sz="4" w:space="0"/>
              <w:right w:val="single" w:color="000000" w:sz="4" w:space="0"/>
            </w:tcBorders>
            <w:noWrap w:val="0"/>
            <w:vAlign w:val="center"/>
          </w:tcPr>
          <w:p w14:paraId="5B8E7571">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32"/>
                <w:szCs w:val="32"/>
                <w:u w:val="none"/>
              </w:rPr>
            </w:pPr>
            <w:r>
              <w:rPr>
                <w:rFonts w:hint="eastAsia" w:ascii="方正仿宋_GB2312" w:hAnsi="方正仿宋_GB2312" w:eastAsia="方正仿宋_GB2312" w:cs="方正仿宋_GB2312"/>
                <w:b/>
                <w:bCs/>
                <w:i w:val="0"/>
                <w:iCs w:val="0"/>
                <w:color w:val="000000"/>
                <w:kern w:val="0"/>
                <w:sz w:val="32"/>
                <w:szCs w:val="32"/>
                <w:u w:val="none"/>
                <w:lang w:val="en-US" w:eastAsia="zh-CN" w:bidi="ar"/>
              </w:rPr>
              <w:t>检查依据</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14:paraId="5C078FC7">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32"/>
                <w:szCs w:val="32"/>
                <w:u w:val="none"/>
              </w:rPr>
            </w:pPr>
            <w:r>
              <w:rPr>
                <w:rFonts w:hint="eastAsia" w:ascii="方正仿宋_GB2312" w:hAnsi="方正仿宋_GB2312" w:eastAsia="方正仿宋_GB2312" w:cs="方正仿宋_GB2312"/>
                <w:b/>
                <w:bCs/>
                <w:i w:val="0"/>
                <w:iCs w:val="0"/>
                <w:color w:val="000000"/>
                <w:kern w:val="0"/>
                <w:sz w:val="32"/>
                <w:szCs w:val="32"/>
                <w:u w:val="none"/>
                <w:lang w:val="en-US" w:eastAsia="zh-CN" w:bidi="ar"/>
              </w:rPr>
              <w:t>实施主体</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0B8BC28C">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32"/>
                <w:szCs w:val="32"/>
                <w:u w:val="none"/>
              </w:rPr>
            </w:pPr>
            <w:r>
              <w:rPr>
                <w:rFonts w:hint="eastAsia" w:ascii="方正仿宋_GB2312" w:hAnsi="方正仿宋_GB2312" w:eastAsia="方正仿宋_GB2312" w:cs="方正仿宋_GB2312"/>
                <w:b/>
                <w:bCs/>
                <w:i w:val="0"/>
                <w:iCs w:val="0"/>
                <w:color w:val="000000"/>
                <w:kern w:val="0"/>
                <w:sz w:val="32"/>
                <w:szCs w:val="32"/>
                <w:u w:val="none"/>
                <w:lang w:val="en-US" w:eastAsia="zh-CN" w:bidi="ar"/>
              </w:rPr>
              <w:t>备注</w:t>
            </w:r>
          </w:p>
        </w:tc>
      </w:tr>
      <w:tr w14:paraId="4B0C5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0" w:type="dxa"/>
            <w:tcBorders>
              <w:top w:val="single" w:color="000000" w:sz="4" w:space="0"/>
              <w:left w:val="single" w:color="000000" w:sz="4" w:space="0"/>
              <w:bottom w:val="single" w:color="000000" w:sz="4" w:space="0"/>
              <w:right w:val="single" w:color="000000" w:sz="4" w:space="0"/>
            </w:tcBorders>
            <w:noWrap/>
            <w:vAlign w:val="center"/>
          </w:tcPr>
          <w:p w14:paraId="39FFE9A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1</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6333017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对生产经营单位执行有关安全生产的法律、法规和国家标准或者行业标准的情况进行监督检查</w:t>
            </w:r>
          </w:p>
        </w:tc>
        <w:tc>
          <w:tcPr>
            <w:tcW w:w="2170" w:type="dxa"/>
            <w:tcBorders>
              <w:top w:val="single" w:color="000000" w:sz="4" w:space="0"/>
              <w:left w:val="single" w:color="000000" w:sz="4" w:space="0"/>
              <w:bottom w:val="single" w:color="000000" w:sz="4" w:space="0"/>
              <w:right w:val="single" w:color="000000" w:sz="4" w:space="0"/>
            </w:tcBorders>
            <w:noWrap w:val="0"/>
            <w:vAlign w:val="center"/>
          </w:tcPr>
          <w:p w14:paraId="3E82E90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非煤矿山、危险化学品、烟花爆竹、冶金、有色、机械、建材、轻工、纺织、烟草、商贸企业等工贸行业企业</w:t>
            </w:r>
          </w:p>
        </w:tc>
        <w:tc>
          <w:tcPr>
            <w:tcW w:w="6440" w:type="dxa"/>
            <w:tcBorders>
              <w:top w:val="single" w:color="000000" w:sz="4" w:space="0"/>
              <w:left w:val="single" w:color="000000" w:sz="4" w:space="0"/>
              <w:bottom w:val="single" w:color="000000" w:sz="4" w:space="0"/>
              <w:right w:val="single" w:color="000000" w:sz="4" w:space="0"/>
            </w:tcBorders>
            <w:noWrap w:val="0"/>
            <w:vAlign w:val="center"/>
          </w:tcPr>
          <w:p w14:paraId="1FC21985">
            <w:pPr>
              <w:keepNext w:val="0"/>
              <w:keepLines w:val="0"/>
              <w:pageBreakBefore w:val="0"/>
              <w:widowControl/>
              <w:suppressLineNumbers w:val="0"/>
              <w:kinsoku/>
              <w:wordWrap/>
              <w:overflowPunct/>
              <w:topLinePunct w:val="0"/>
              <w:autoSpaceDE/>
              <w:autoSpaceDN/>
              <w:bidi w:val="0"/>
              <w:adjustRightInd/>
              <w:snapToGrid/>
              <w:spacing w:line="360" w:lineRule="exact"/>
              <w:ind w:firstLine="480" w:firstLineChars="200"/>
              <w:jc w:val="left"/>
              <w:textAlignment w:val="cente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中华人民共和国安全生产法》第六十五条：应急管理部门和其他负有安全生产监督管理职责的部门依法开展安全生产行政执法工作，对生产经营单位执行有关安全生产的法律、法规和国家标准或者行业标准的情况进行监督检查。</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14:paraId="6FEA839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息县应急管理局</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ACC2BF9">
            <w:pPr>
              <w:keepNext w:val="0"/>
              <w:keepLines w:val="0"/>
              <w:pageBreakBefore w:val="0"/>
              <w:widowControl/>
              <w:suppressLineNumbers w:val="0"/>
              <w:kinsoku/>
              <w:wordWrap/>
              <w:overflowPunct/>
              <w:topLinePunct w:val="0"/>
              <w:autoSpaceDE/>
              <w:autoSpaceDN/>
              <w:bidi w:val="0"/>
              <w:adjustRightInd/>
              <w:snapToGrid/>
              <w:spacing w:line="200" w:lineRule="atLeast"/>
              <w:jc w:val="left"/>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p>
        </w:tc>
      </w:tr>
      <w:tr w14:paraId="35FF5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0" w:type="dxa"/>
            <w:tcBorders>
              <w:top w:val="single" w:color="000000" w:sz="4" w:space="0"/>
              <w:left w:val="single" w:color="000000" w:sz="4" w:space="0"/>
              <w:bottom w:val="single" w:color="000000" w:sz="4" w:space="0"/>
              <w:right w:val="single" w:color="000000" w:sz="4" w:space="0"/>
            </w:tcBorders>
            <w:noWrap/>
            <w:vAlign w:val="center"/>
          </w:tcPr>
          <w:p w14:paraId="44B314C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2</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321C0FF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对非药品类易制毒化学品生产、经营的监督检查</w:t>
            </w:r>
          </w:p>
        </w:tc>
        <w:tc>
          <w:tcPr>
            <w:tcW w:w="2170" w:type="dxa"/>
            <w:tcBorders>
              <w:top w:val="single" w:color="000000" w:sz="4" w:space="0"/>
              <w:left w:val="single" w:color="000000" w:sz="4" w:space="0"/>
              <w:bottom w:val="single" w:color="000000" w:sz="4" w:space="0"/>
              <w:right w:val="single" w:color="000000" w:sz="4" w:space="0"/>
            </w:tcBorders>
            <w:noWrap w:val="0"/>
            <w:vAlign w:val="center"/>
          </w:tcPr>
          <w:p w14:paraId="3D234F1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非药品类易制毒化学品生产、经营单位</w:t>
            </w:r>
          </w:p>
        </w:tc>
        <w:tc>
          <w:tcPr>
            <w:tcW w:w="6440" w:type="dxa"/>
            <w:tcBorders>
              <w:top w:val="single" w:color="000000" w:sz="4" w:space="0"/>
              <w:left w:val="single" w:color="000000" w:sz="4" w:space="0"/>
              <w:bottom w:val="single" w:color="000000" w:sz="4" w:space="0"/>
              <w:right w:val="single" w:color="000000" w:sz="4" w:space="0"/>
            </w:tcBorders>
            <w:noWrap w:val="0"/>
            <w:vAlign w:val="center"/>
          </w:tcPr>
          <w:p w14:paraId="61752960">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exact"/>
              <w:ind w:firstLine="240" w:firstLineChars="100"/>
              <w:jc w:val="left"/>
              <w:textAlignment w:val="center"/>
              <w:rPr>
                <w:rFonts w:hint="eastAsia" w:ascii="方正仿宋_GB2312" w:hAnsi="方正仿宋_GB2312" w:eastAsia="方正仿宋_GB2312" w:cs="方正仿宋_GB2312"/>
                <w:b w:val="0"/>
                <w:bCs w:val="0"/>
                <w:i w:val="0"/>
                <w:iCs w:val="0"/>
                <w:color w:val="000000"/>
                <w:kern w:val="0"/>
                <w:sz w:val="22"/>
                <w:szCs w:val="22"/>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 xml:space="preserve"> </w:t>
            </w:r>
            <w:r>
              <w:rPr>
                <w:rFonts w:hint="eastAsia" w:ascii="方正仿宋_GB2312" w:hAnsi="方正仿宋_GB2312" w:eastAsia="方正仿宋_GB2312" w:cs="方正仿宋_GB2312"/>
                <w:b w:val="0"/>
                <w:bCs w:val="0"/>
                <w:i w:val="0"/>
                <w:iCs w:val="0"/>
                <w:color w:val="000000"/>
                <w:kern w:val="0"/>
                <w:sz w:val="22"/>
                <w:szCs w:val="22"/>
                <w:u w:val="none"/>
                <w:lang w:val="en-US" w:eastAsia="zh-CN" w:bidi="ar"/>
              </w:rPr>
              <w:t xml:space="preserve"> 1.《易制毒化学品管理条例》第三十二条　县级以上人民政府公安机关、食品药品监督管理部门、安全生产监督管理部门、商务主管部门、卫生主管部门、价格主管部门、铁路主管部门、交通主管部门、工商行政管理部门、环境保护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p>
          <w:p w14:paraId="793663F5">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exact"/>
              <w:ind w:firstLine="440" w:firstLineChars="200"/>
              <w:jc w:val="left"/>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2"/>
                <w:szCs w:val="22"/>
                <w:u w:val="none"/>
                <w:lang w:val="en-US" w:eastAsia="zh-CN" w:bidi="ar"/>
              </w:rPr>
              <w:t>2.《非药品类易制毒化学品生产、经营许可办法》第二十五条：县级以上人民政府安全生产监督管理部门应当加强非药品类易制毒化学品生产、经营的监督检查工作。</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14:paraId="3245E33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息县应急管理局</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19F2750">
            <w:pPr>
              <w:keepNext w:val="0"/>
              <w:keepLines w:val="0"/>
              <w:pageBreakBefore w:val="0"/>
              <w:widowControl/>
              <w:suppressLineNumbers w:val="0"/>
              <w:kinsoku/>
              <w:wordWrap/>
              <w:overflowPunct/>
              <w:topLinePunct w:val="0"/>
              <w:autoSpaceDE/>
              <w:autoSpaceDN/>
              <w:bidi w:val="0"/>
              <w:adjustRightInd/>
              <w:snapToGrid/>
              <w:spacing w:line="200" w:lineRule="atLeast"/>
              <w:jc w:val="left"/>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p>
        </w:tc>
      </w:tr>
      <w:tr w14:paraId="31E2D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0" w:hRule="atLeast"/>
        </w:trPr>
        <w:tc>
          <w:tcPr>
            <w:tcW w:w="900" w:type="dxa"/>
            <w:tcBorders>
              <w:top w:val="single" w:color="000000" w:sz="4" w:space="0"/>
              <w:left w:val="single" w:color="000000" w:sz="4" w:space="0"/>
              <w:bottom w:val="single" w:color="000000" w:sz="4" w:space="0"/>
              <w:right w:val="single" w:color="000000" w:sz="4" w:space="0"/>
            </w:tcBorders>
            <w:noWrap/>
            <w:vAlign w:val="center"/>
          </w:tcPr>
          <w:p w14:paraId="469233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3</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4CBE6FA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对存在重大危险源的危险化学品单位的监督检查</w:t>
            </w:r>
          </w:p>
        </w:tc>
        <w:tc>
          <w:tcPr>
            <w:tcW w:w="2170" w:type="dxa"/>
            <w:tcBorders>
              <w:top w:val="single" w:color="000000" w:sz="4" w:space="0"/>
              <w:left w:val="single" w:color="000000" w:sz="4" w:space="0"/>
              <w:bottom w:val="single" w:color="000000" w:sz="4" w:space="0"/>
              <w:right w:val="single" w:color="000000" w:sz="4" w:space="0"/>
            </w:tcBorders>
            <w:noWrap w:val="0"/>
            <w:vAlign w:val="center"/>
          </w:tcPr>
          <w:p w14:paraId="74E48CE7">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存在重大危险源的危险化学品单位</w:t>
            </w:r>
          </w:p>
        </w:tc>
        <w:tc>
          <w:tcPr>
            <w:tcW w:w="6440" w:type="dxa"/>
            <w:tcBorders>
              <w:top w:val="single" w:color="000000" w:sz="4" w:space="0"/>
              <w:left w:val="single" w:color="000000" w:sz="4" w:space="0"/>
              <w:bottom w:val="single" w:color="000000" w:sz="4" w:space="0"/>
              <w:right w:val="single" w:color="000000" w:sz="4" w:space="0"/>
            </w:tcBorders>
            <w:noWrap w:val="0"/>
            <w:vAlign w:val="center"/>
          </w:tcPr>
          <w:p w14:paraId="16C032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80" w:firstLineChars="200"/>
              <w:jc w:val="left"/>
              <w:textAlignment w:val="auto"/>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t>《危险化学品重大危险源监督管理暂行规定》第三十条</w:t>
            </w: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w:t>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t>县级以上</w:t>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fldChar w:fldCharType="begin"/>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instrText xml:space="preserve"> HYPERLINK "https://baike.baidu.com/item/%E5%9C%B0%E6%96%B9%E5%90%84%E7%BA%A7%E4%BA%BA%E6%B0%91%E6%94%BF%E5%BA%9C/0?fromModule=lemma_inlink" \t "https://baike.baidu.com/item/_blank" </w:instrText>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fldChar w:fldCharType="separate"/>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t>地方各级人民政府</w:t>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fldChar w:fldCharType="end"/>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t>安全生产监督管理部门应当加强对存在重大危险源的危险化学品单位的监督检查，督促危险化学品单位做好重大危险源的辨识、安全评估及分级、登记建档、备案、监测监控、事故</w:t>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fldChar w:fldCharType="begin"/>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instrText xml:space="preserve"> HYPERLINK "https://baike.baidu.com/item/%E5%BA%94%E6%80%A5%E9%A2%84%E6%A1%88/2955453?fromModule=lemma_inlink" \t "https://baike.baidu.com/item/_blank" </w:instrText>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fldChar w:fldCharType="separate"/>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t>应急预案</w:t>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fldChar w:fldCharType="end"/>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t>编制、核销和安全管理工作。</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14:paraId="6D20E3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息县应急管理局</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D40715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p>
        </w:tc>
      </w:tr>
      <w:tr w14:paraId="6FA87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5" w:hRule="atLeast"/>
        </w:trPr>
        <w:tc>
          <w:tcPr>
            <w:tcW w:w="900" w:type="dxa"/>
            <w:tcBorders>
              <w:top w:val="single" w:color="000000" w:sz="4" w:space="0"/>
              <w:left w:val="single" w:color="000000" w:sz="4" w:space="0"/>
              <w:bottom w:val="single" w:color="000000" w:sz="4" w:space="0"/>
              <w:right w:val="single" w:color="000000" w:sz="4" w:space="0"/>
            </w:tcBorders>
            <w:noWrap/>
            <w:vAlign w:val="center"/>
          </w:tcPr>
          <w:p w14:paraId="6249AF8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4</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7491D4B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对安全培训机构开展安全培训活动的情况进行监督检查</w:t>
            </w:r>
          </w:p>
        </w:tc>
        <w:tc>
          <w:tcPr>
            <w:tcW w:w="2170" w:type="dxa"/>
            <w:tcBorders>
              <w:top w:val="single" w:color="000000" w:sz="4" w:space="0"/>
              <w:left w:val="single" w:color="000000" w:sz="4" w:space="0"/>
              <w:bottom w:val="single" w:color="000000" w:sz="4" w:space="0"/>
              <w:right w:val="single" w:color="000000" w:sz="4" w:space="0"/>
            </w:tcBorders>
            <w:noWrap w:val="0"/>
            <w:vAlign w:val="center"/>
          </w:tcPr>
          <w:p w14:paraId="238A16F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安全培训机构</w:t>
            </w:r>
          </w:p>
        </w:tc>
        <w:tc>
          <w:tcPr>
            <w:tcW w:w="6440" w:type="dxa"/>
            <w:tcBorders>
              <w:top w:val="single" w:color="000000" w:sz="4" w:space="0"/>
              <w:left w:val="single" w:color="000000" w:sz="4" w:space="0"/>
              <w:bottom w:val="single" w:color="000000" w:sz="4" w:space="0"/>
              <w:right w:val="single" w:color="000000" w:sz="4" w:space="0"/>
            </w:tcBorders>
            <w:noWrap w:val="0"/>
            <w:vAlign w:val="center"/>
          </w:tcPr>
          <w:p w14:paraId="635126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80" w:firstLineChars="200"/>
              <w:jc w:val="left"/>
              <w:textAlignment w:val="auto"/>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《安全生产培训管理办法》第二十八条</w:t>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t> 安全生产监督管理部门、煤矿安全培训监管机构应当依照法律、法规和本办法的规定，加强对安全培训工作的监督管理，对生产经营单位、安全培训机构违反有关法律、法规和本办法的行为，依法作出处理。</w:t>
            </w:r>
          </w:p>
          <w:p w14:paraId="3A1094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80" w:firstLineChars="200"/>
              <w:jc w:val="left"/>
              <w:textAlignment w:val="auto"/>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t>第二十九条 安全生产监督管理部门和煤矿安全培训监管机构应当对安全培训机构开展安全培训活动的情况进行监督检查，检查内容包括：</w:t>
            </w:r>
          </w:p>
          <w:p w14:paraId="0B3EB5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0"/>
              <w:jc w:val="left"/>
              <w:textAlignment w:val="auto"/>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t>（一）具备从事安全培训工作所需要的条件的情况；</w:t>
            </w:r>
          </w:p>
          <w:p w14:paraId="7AFAA9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0"/>
              <w:jc w:val="left"/>
              <w:textAlignment w:val="auto"/>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t>（二）建立培训管理制度和教师配备的情况；</w:t>
            </w:r>
          </w:p>
          <w:p w14:paraId="2AF4EC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0"/>
              <w:jc w:val="left"/>
              <w:textAlignment w:val="auto"/>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t>（三）执行培训大纲、建立培训档案和培训保障的情况；</w:t>
            </w:r>
          </w:p>
          <w:p w14:paraId="42C617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0"/>
              <w:jc w:val="left"/>
              <w:textAlignment w:val="auto"/>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t>（四）培训收费的情况；</w:t>
            </w:r>
          </w:p>
          <w:p w14:paraId="604615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0"/>
              <w:jc w:val="left"/>
              <w:textAlignment w:val="auto"/>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t>（五）法律法规规定的其他内容。</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14:paraId="122E6D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息县应急管理局</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5FC8447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p>
        </w:tc>
      </w:tr>
      <w:tr w14:paraId="45526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5" w:hRule="atLeast"/>
        </w:trPr>
        <w:tc>
          <w:tcPr>
            <w:tcW w:w="900" w:type="dxa"/>
            <w:tcBorders>
              <w:top w:val="single" w:color="000000" w:sz="4" w:space="0"/>
              <w:left w:val="single" w:color="000000" w:sz="4" w:space="0"/>
              <w:bottom w:val="single" w:color="000000" w:sz="4" w:space="0"/>
              <w:right w:val="single" w:color="000000" w:sz="4" w:space="0"/>
            </w:tcBorders>
            <w:noWrap/>
            <w:vAlign w:val="center"/>
          </w:tcPr>
          <w:p w14:paraId="5FAD158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5</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15D1DEF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对生产经营单位的安全培训情况进行监督检查</w:t>
            </w:r>
          </w:p>
        </w:tc>
        <w:tc>
          <w:tcPr>
            <w:tcW w:w="2170" w:type="dxa"/>
            <w:tcBorders>
              <w:top w:val="single" w:color="000000" w:sz="4" w:space="0"/>
              <w:left w:val="single" w:color="000000" w:sz="4" w:space="0"/>
              <w:bottom w:val="single" w:color="000000" w:sz="4" w:space="0"/>
              <w:right w:val="single" w:color="000000" w:sz="4" w:space="0"/>
            </w:tcBorders>
            <w:noWrap w:val="0"/>
            <w:vAlign w:val="center"/>
          </w:tcPr>
          <w:p w14:paraId="06DEC5A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非煤矿山、危险化学品、烟花爆竹、冶金、有色、机械、建材、轻工、纺织、烟草、商贸企业等工贸行业企业</w:t>
            </w:r>
          </w:p>
        </w:tc>
        <w:tc>
          <w:tcPr>
            <w:tcW w:w="6440" w:type="dxa"/>
            <w:tcBorders>
              <w:top w:val="single" w:color="000000" w:sz="4" w:space="0"/>
              <w:left w:val="single" w:color="000000" w:sz="4" w:space="0"/>
              <w:bottom w:val="single" w:color="000000" w:sz="4" w:space="0"/>
              <w:right w:val="single" w:color="000000" w:sz="4" w:space="0"/>
            </w:tcBorders>
            <w:noWrap w:val="0"/>
            <w:vAlign w:val="center"/>
          </w:tcPr>
          <w:p w14:paraId="23EA87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80" w:firstLineChars="200"/>
              <w:jc w:val="both"/>
              <w:textAlignment w:val="auto"/>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《安全生产培训管理办法》第三十条：</w:t>
            </w:r>
            <w: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t>安全生产监督管理部门、煤矿安全培训监管机构应当对生产经营单位的安全培训情况进行监督检查</w:t>
            </w: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。检查内容包括：</w:t>
            </w:r>
          </w:p>
          <w:p w14:paraId="0C7B31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80" w:firstLineChars="200"/>
              <w:jc w:val="both"/>
              <w:textAlignment w:val="auto"/>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（一）安全培训制度、年度培训计划、安全培训管理档案的制定和实施的情况；</w:t>
            </w:r>
          </w:p>
          <w:p w14:paraId="21B503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80" w:firstLineChars="200"/>
              <w:jc w:val="both"/>
              <w:textAlignment w:val="auto"/>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（二）安全培训经费投入和使用的情况；</w:t>
            </w:r>
          </w:p>
          <w:p w14:paraId="15ADF0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80" w:firstLineChars="200"/>
              <w:jc w:val="both"/>
              <w:textAlignment w:val="auto"/>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（三）主要负责人、安全生产管理人员接受安全生产知识和管理能力考核的情况；</w:t>
            </w:r>
          </w:p>
          <w:p w14:paraId="4CA4F5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80" w:firstLineChars="200"/>
              <w:jc w:val="both"/>
              <w:textAlignment w:val="auto"/>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（四）特种作业人员持证上岗的情况；</w:t>
            </w:r>
          </w:p>
          <w:p w14:paraId="617B3A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80" w:firstLineChars="200"/>
              <w:jc w:val="both"/>
              <w:textAlignment w:val="auto"/>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（五）应用新工艺、新技术、新材料、新设备以及转岗前对从业人员安全培训的情况；</w:t>
            </w:r>
          </w:p>
          <w:p w14:paraId="480A65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80" w:firstLineChars="200"/>
              <w:jc w:val="both"/>
              <w:textAlignment w:val="auto"/>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（六）其他从业人员安全培训的情况；</w:t>
            </w:r>
          </w:p>
          <w:p w14:paraId="636ADA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80" w:firstLineChars="200"/>
              <w:jc w:val="both"/>
              <w:textAlignment w:val="auto"/>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（七）法律法规规定的其他内容。</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14:paraId="1D5C61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息县应急管理局</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0D212C4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p>
        </w:tc>
      </w:tr>
      <w:tr w14:paraId="51D1B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8" w:hRule="atLeast"/>
        </w:trPr>
        <w:tc>
          <w:tcPr>
            <w:tcW w:w="900" w:type="dxa"/>
            <w:tcBorders>
              <w:top w:val="single" w:color="000000" w:sz="4" w:space="0"/>
              <w:left w:val="single" w:color="000000" w:sz="4" w:space="0"/>
              <w:bottom w:val="single" w:color="000000" w:sz="4" w:space="0"/>
              <w:right w:val="single" w:color="000000" w:sz="4" w:space="0"/>
            </w:tcBorders>
            <w:noWrap/>
            <w:vAlign w:val="center"/>
          </w:tcPr>
          <w:p w14:paraId="70ED1AE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6</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4921A50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对安全评价检测检验机构的监督检查</w:t>
            </w:r>
          </w:p>
        </w:tc>
        <w:tc>
          <w:tcPr>
            <w:tcW w:w="2170" w:type="dxa"/>
            <w:tcBorders>
              <w:top w:val="single" w:color="000000" w:sz="4" w:space="0"/>
              <w:left w:val="single" w:color="000000" w:sz="4" w:space="0"/>
              <w:bottom w:val="single" w:color="000000" w:sz="4" w:space="0"/>
              <w:right w:val="single" w:color="000000" w:sz="4" w:space="0"/>
            </w:tcBorders>
            <w:noWrap w:val="0"/>
            <w:vAlign w:val="center"/>
          </w:tcPr>
          <w:p w14:paraId="5004C3F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安全评价检测检验机构</w:t>
            </w:r>
          </w:p>
        </w:tc>
        <w:tc>
          <w:tcPr>
            <w:tcW w:w="6440" w:type="dxa"/>
            <w:tcBorders>
              <w:top w:val="single" w:color="000000" w:sz="4" w:space="0"/>
              <w:left w:val="single" w:color="000000" w:sz="4" w:space="0"/>
              <w:bottom w:val="single" w:color="000000" w:sz="4" w:space="0"/>
              <w:right w:val="single" w:color="000000" w:sz="4" w:space="0"/>
            </w:tcBorders>
            <w:noWrap w:val="0"/>
            <w:vAlign w:val="center"/>
          </w:tcPr>
          <w:p w14:paraId="6F0E61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40" w:firstLineChars="200"/>
              <w:jc w:val="left"/>
              <w:textAlignment w:val="auto"/>
              <w:rPr>
                <w:rFonts w:hint="default" w:ascii="方正仿宋_GB2312" w:hAnsi="方正仿宋_GB2312" w:eastAsia="方正仿宋_GB2312" w:cs="方正仿宋_GB2312"/>
                <w:b w:val="0"/>
                <w:bCs w:val="0"/>
                <w:i w:val="0"/>
                <w:iCs w:val="0"/>
                <w:color w:val="000000"/>
                <w:kern w:val="0"/>
                <w:sz w:val="22"/>
                <w:szCs w:val="22"/>
                <w:u w:val="none"/>
                <w:lang w:val="en-US" w:eastAsia="zh-CN" w:bidi="ar"/>
              </w:rPr>
            </w:pPr>
            <w:r>
              <w:rPr>
                <w:rFonts w:hint="default" w:ascii="方正仿宋_GB2312" w:hAnsi="方正仿宋_GB2312" w:eastAsia="方正仿宋_GB2312" w:cs="方正仿宋_GB2312"/>
                <w:b w:val="0"/>
                <w:bCs w:val="0"/>
                <w:i w:val="0"/>
                <w:iCs w:val="0"/>
                <w:color w:val="000000"/>
                <w:kern w:val="0"/>
                <w:sz w:val="22"/>
                <w:szCs w:val="22"/>
                <w:u w:val="none"/>
                <w:lang w:val="en-US" w:eastAsia="zh-CN" w:bidi="ar"/>
              </w:rPr>
              <w:t>《安全评价检测检验机构管理办法》第三条</w:t>
            </w:r>
            <w:r>
              <w:rPr>
                <w:rFonts w:hint="eastAsia" w:ascii="方正仿宋_GB2312" w:hAnsi="方正仿宋_GB2312" w:eastAsia="方正仿宋_GB2312" w:cs="方正仿宋_GB2312"/>
                <w:b w:val="0"/>
                <w:bCs w:val="0"/>
                <w:i w:val="0"/>
                <w:iCs w:val="0"/>
                <w:color w:val="000000"/>
                <w:kern w:val="0"/>
                <w:sz w:val="22"/>
                <w:szCs w:val="22"/>
                <w:u w:val="none"/>
                <w:lang w:val="en-US" w:eastAsia="zh-CN" w:bidi="ar"/>
              </w:rPr>
              <w:t>第三款：</w:t>
            </w:r>
            <w:r>
              <w:rPr>
                <w:rFonts w:hint="default" w:ascii="方正仿宋_GB2312" w:hAnsi="方正仿宋_GB2312" w:eastAsia="方正仿宋_GB2312" w:cs="方正仿宋_GB2312"/>
                <w:b w:val="0"/>
                <w:bCs w:val="0"/>
                <w:i w:val="0"/>
                <w:iCs w:val="0"/>
                <w:color w:val="000000"/>
                <w:kern w:val="0"/>
                <w:sz w:val="22"/>
                <w:szCs w:val="22"/>
                <w:u w:val="none"/>
                <w:lang w:val="en-US" w:eastAsia="zh-CN" w:bidi="ar"/>
              </w:rPr>
              <w:t xml:space="preserve"> 设区的市级人民政府、县级人民政府应急管理部门、煤矿安全生产监督管理部门按照各自的职责，对安全评价检测检验机构执业行为实施监督检查，并对发现的违法行为依法实施行政处罚。</w:t>
            </w:r>
          </w:p>
          <w:p w14:paraId="6B738D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40" w:firstLineChars="200"/>
              <w:jc w:val="left"/>
              <w:textAlignment w:val="auto"/>
              <w:rPr>
                <w:rFonts w:hint="default" w:ascii="方正仿宋_GB2312" w:hAnsi="方正仿宋_GB2312" w:eastAsia="方正仿宋_GB2312" w:cs="方正仿宋_GB2312"/>
                <w:b w:val="0"/>
                <w:bCs w:val="0"/>
                <w:i w:val="0"/>
                <w:iCs w:val="0"/>
                <w:color w:val="000000"/>
                <w:kern w:val="0"/>
                <w:sz w:val="22"/>
                <w:szCs w:val="22"/>
                <w:u w:val="none"/>
                <w:lang w:val="en-US" w:eastAsia="zh-CN" w:bidi="ar"/>
              </w:rPr>
            </w:pPr>
            <w:r>
              <w:rPr>
                <w:rFonts w:hint="eastAsia" w:ascii="方正仿宋_GB2312" w:hAnsi="方正仿宋_GB2312" w:eastAsia="方正仿宋_GB2312" w:cs="方正仿宋_GB2312"/>
                <w:b w:val="0"/>
                <w:bCs w:val="0"/>
                <w:i w:val="0"/>
                <w:iCs w:val="0"/>
                <w:color w:val="000000"/>
                <w:kern w:val="0"/>
                <w:sz w:val="22"/>
                <w:szCs w:val="22"/>
                <w:u w:val="none"/>
                <w:lang w:val="en-US" w:eastAsia="zh-CN" w:bidi="ar"/>
              </w:rPr>
              <w:t>第</w:t>
            </w:r>
            <w:r>
              <w:rPr>
                <w:rFonts w:hint="default" w:ascii="方正仿宋_GB2312" w:hAnsi="方正仿宋_GB2312" w:eastAsia="方正仿宋_GB2312" w:cs="方正仿宋_GB2312"/>
                <w:b w:val="0"/>
                <w:bCs w:val="0"/>
                <w:i w:val="0"/>
                <w:iCs w:val="0"/>
                <w:color w:val="000000"/>
                <w:kern w:val="0"/>
                <w:sz w:val="22"/>
                <w:szCs w:val="22"/>
                <w:u w:val="none"/>
                <w:lang w:val="en-US" w:eastAsia="zh-CN" w:bidi="ar"/>
              </w:rPr>
              <w:t>二十四条</w:t>
            </w:r>
            <w:r>
              <w:rPr>
                <w:rFonts w:hint="eastAsia" w:ascii="方正仿宋_GB2312" w:hAnsi="方正仿宋_GB2312" w:eastAsia="方正仿宋_GB2312" w:cs="方正仿宋_GB2312"/>
                <w:b w:val="0"/>
                <w:bCs w:val="0"/>
                <w:i w:val="0"/>
                <w:iCs w:val="0"/>
                <w:color w:val="000000"/>
                <w:kern w:val="0"/>
                <w:sz w:val="22"/>
                <w:szCs w:val="22"/>
                <w:u w:val="none"/>
                <w:lang w:val="en-US" w:eastAsia="zh-CN" w:bidi="ar"/>
              </w:rPr>
              <w:t>：</w:t>
            </w:r>
            <w:r>
              <w:rPr>
                <w:rFonts w:hint="default" w:ascii="方正仿宋_GB2312" w:hAnsi="方正仿宋_GB2312" w:eastAsia="方正仿宋_GB2312" w:cs="方正仿宋_GB2312"/>
                <w:b w:val="0"/>
                <w:bCs w:val="0"/>
                <w:i w:val="0"/>
                <w:iCs w:val="0"/>
                <w:color w:val="000000"/>
                <w:kern w:val="0"/>
                <w:sz w:val="22"/>
                <w:szCs w:val="22"/>
                <w:u w:val="none"/>
                <w:lang w:val="en-US" w:eastAsia="zh-CN" w:bidi="ar"/>
              </w:rPr>
              <w:t>质认可机关应当将其认可的安全评价检测检验机构纳入年度安全生产监督检查计划范围。按照国务院有关“双随机、一公开”的规定实施监督检查，并确保每三年至少覆盖一次。</w:t>
            </w:r>
          </w:p>
          <w:p w14:paraId="6FE0A0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40" w:firstLineChars="200"/>
              <w:jc w:val="left"/>
              <w:textAlignment w:val="auto"/>
              <w:rPr>
                <w:rFonts w:hint="default" w:ascii="方正仿宋_GB2312" w:hAnsi="方正仿宋_GB2312" w:eastAsia="方正仿宋_GB2312" w:cs="方正仿宋_GB2312"/>
                <w:b w:val="0"/>
                <w:bCs w:val="0"/>
                <w:i w:val="0"/>
                <w:iCs w:val="0"/>
                <w:color w:val="000000"/>
                <w:kern w:val="0"/>
                <w:sz w:val="22"/>
                <w:szCs w:val="22"/>
                <w:u w:val="none"/>
                <w:lang w:val="en-US" w:eastAsia="zh-CN" w:bidi="ar"/>
              </w:rPr>
            </w:pPr>
            <w:r>
              <w:rPr>
                <w:rFonts w:hint="default" w:ascii="方正仿宋_GB2312" w:hAnsi="方正仿宋_GB2312" w:eastAsia="方正仿宋_GB2312" w:cs="方正仿宋_GB2312"/>
                <w:b w:val="0"/>
                <w:bCs w:val="0"/>
                <w:i w:val="0"/>
                <w:iCs w:val="0"/>
                <w:color w:val="000000"/>
                <w:kern w:val="0"/>
                <w:sz w:val="22"/>
                <w:szCs w:val="22"/>
                <w:u w:val="none"/>
                <w:lang w:val="en-US" w:eastAsia="zh-CN" w:bidi="ar"/>
              </w:rPr>
              <w:t>安全评价检测检验机构从事跨区域技术服务的，项目实施地资质认可机关应当及时核查其资质有效性、认可范围等信息，并对其技术服务实施抽查。</w:t>
            </w:r>
          </w:p>
          <w:p w14:paraId="56F618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40" w:firstLineChars="200"/>
              <w:jc w:val="left"/>
              <w:textAlignment w:val="auto"/>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default" w:ascii="方正仿宋_GB2312" w:hAnsi="方正仿宋_GB2312" w:eastAsia="方正仿宋_GB2312" w:cs="方正仿宋_GB2312"/>
                <w:b w:val="0"/>
                <w:bCs w:val="0"/>
                <w:i w:val="0"/>
                <w:iCs w:val="0"/>
                <w:color w:val="000000"/>
                <w:kern w:val="0"/>
                <w:sz w:val="22"/>
                <w:szCs w:val="22"/>
                <w:u w:val="none"/>
                <w:lang w:val="en-US" w:eastAsia="zh-CN" w:bidi="ar"/>
              </w:rPr>
              <w:t>资质认可机关及其下级部门应当对本行政区域内登记注册的安全评价检测检验机构资质条件保持情况、接受行政处罚和投诉举报等情况进行重点监督检查。</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14:paraId="1E0985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息县应急管理局</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D6426E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p>
        </w:tc>
      </w:tr>
      <w:tr w14:paraId="181DB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0" w:hRule="atLeast"/>
        </w:trPr>
        <w:tc>
          <w:tcPr>
            <w:tcW w:w="900" w:type="dxa"/>
            <w:tcBorders>
              <w:top w:val="single" w:color="000000" w:sz="4" w:space="0"/>
              <w:left w:val="single" w:color="000000" w:sz="4" w:space="0"/>
              <w:bottom w:val="single" w:color="000000" w:sz="4" w:space="0"/>
              <w:right w:val="single" w:color="000000" w:sz="4" w:space="0"/>
            </w:tcBorders>
            <w:noWrap/>
            <w:vAlign w:val="center"/>
          </w:tcPr>
          <w:p w14:paraId="7D69DCF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7</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149B3E8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对重点生产经营单位的生产安全事故应急救援预案演练的抽查</w:t>
            </w:r>
          </w:p>
        </w:tc>
        <w:tc>
          <w:tcPr>
            <w:tcW w:w="2170" w:type="dxa"/>
            <w:tcBorders>
              <w:top w:val="single" w:color="000000" w:sz="4" w:space="0"/>
              <w:left w:val="single" w:color="000000" w:sz="4" w:space="0"/>
              <w:bottom w:val="single" w:color="000000" w:sz="4" w:space="0"/>
              <w:right w:val="single" w:color="000000" w:sz="4" w:space="0"/>
            </w:tcBorders>
            <w:noWrap w:val="0"/>
            <w:vAlign w:val="center"/>
          </w:tcPr>
          <w:p w14:paraId="729D51F2">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1"/>
                <w:szCs w:val="21"/>
                <w:u w:val="none"/>
                <w:lang w:val="en-US" w:eastAsia="zh-CN" w:bidi="ar"/>
              </w:rPr>
              <w:t>易燃易爆物品、危险化学品等危险物品的生产、经营、储存、运输单位、矿山</w:t>
            </w:r>
            <w:r>
              <w:rPr>
                <w:rFonts w:hint="default" w:ascii="方正仿宋_GB2312" w:hAnsi="方正仿宋_GB2312" w:eastAsia="方正仿宋_GB2312" w:cs="方正仿宋_GB2312"/>
                <w:b w:val="0"/>
                <w:bCs w:val="0"/>
                <w:i w:val="0"/>
                <w:iCs w:val="0"/>
                <w:color w:val="000000"/>
                <w:kern w:val="0"/>
                <w:sz w:val="21"/>
                <w:szCs w:val="21"/>
                <w:u w:val="none"/>
                <w:lang w:val="en-US" w:eastAsia="zh-CN" w:bidi="ar"/>
              </w:rPr>
              <w:t>、金属冶炼、城市轨道交通运营、建筑施工单位，以及宾馆、商场、娱乐场所、旅游景区等人员密集场所经营单位</w:t>
            </w:r>
          </w:p>
        </w:tc>
        <w:tc>
          <w:tcPr>
            <w:tcW w:w="6440" w:type="dxa"/>
            <w:tcBorders>
              <w:top w:val="single" w:color="000000" w:sz="4" w:space="0"/>
              <w:left w:val="single" w:color="000000" w:sz="4" w:space="0"/>
              <w:bottom w:val="single" w:color="000000" w:sz="4" w:space="0"/>
              <w:right w:val="single" w:color="000000" w:sz="4" w:space="0"/>
            </w:tcBorders>
            <w:noWrap w:val="0"/>
            <w:vAlign w:val="center"/>
          </w:tcPr>
          <w:p w14:paraId="43C6D9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left="0" w:right="0" w:firstLine="440" w:firstLineChars="200"/>
              <w:jc w:val="left"/>
              <w:textAlignment w:val="auto"/>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default" w:ascii="方正仿宋_GB2312" w:hAnsi="方正仿宋_GB2312" w:eastAsia="方正仿宋_GB2312" w:cs="方正仿宋_GB2312"/>
                <w:b w:val="0"/>
                <w:bCs w:val="0"/>
                <w:i w:val="0"/>
                <w:iCs w:val="0"/>
                <w:color w:val="000000"/>
                <w:kern w:val="0"/>
                <w:sz w:val="22"/>
                <w:szCs w:val="22"/>
                <w:u w:val="none"/>
                <w:lang w:val="en-US" w:eastAsia="zh-CN" w:bidi="ar"/>
              </w:rPr>
              <w:t>《生产安全事故应急条例》</w:t>
            </w:r>
            <w:r>
              <w:rPr>
                <w:rFonts w:hint="eastAsia" w:ascii="方正仿宋_GB2312" w:hAnsi="方正仿宋_GB2312" w:eastAsia="方正仿宋_GB2312" w:cs="方正仿宋_GB2312"/>
                <w:b w:val="0"/>
                <w:bCs w:val="0"/>
                <w:i w:val="0"/>
                <w:iCs w:val="0"/>
                <w:color w:val="000000"/>
                <w:kern w:val="0"/>
                <w:sz w:val="22"/>
                <w:szCs w:val="22"/>
                <w:u w:val="none"/>
                <w:lang w:val="en-US" w:eastAsia="zh-CN" w:bidi="ar"/>
              </w:rPr>
              <w:t>第八条第三款:</w:t>
            </w:r>
            <w:r>
              <w:rPr>
                <w:rFonts w:hint="default" w:ascii="方正仿宋_GB2312" w:hAnsi="方正仿宋_GB2312" w:eastAsia="方正仿宋_GB2312" w:cs="方正仿宋_GB2312"/>
                <w:b w:val="0"/>
                <w:bCs w:val="0"/>
                <w:i w:val="0"/>
                <w:iCs w:val="0"/>
                <w:color w:val="000000"/>
                <w:kern w:val="0"/>
                <w:sz w:val="22"/>
                <w:szCs w:val="22"/>
                <w:u w:val="none"/>
                <w:lang w:val="en-US" w:eastAsia="zh-CN" w:bidi="ar"/>
              </w:rPr>
              <w:t>县级以上地方人民政府负有安全生产监督管理职责的部门应当对本行政区域内前款规定的重点生产经营单位的生产安全事故应急救援预案演练进行抽查；发现演练不符合要求的，应当责令限期改正。</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14:paraId="4A832E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息县应急管理局</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C8E0BF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p>
        </w:tc>
      </w:tr>
      <w:tr w14:paraId="5EF29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6" w:hRule="atLeast"/>
        </w:trPr>
        <w:tc>
          <w:tcPr>
            <w:tcW w:w="900" w:type="dxa"/>
            <w:tcBorders>
              <w:top w:val="single" w:color="000000" w:sz="4" w:space="0"/>
              <w:left w:val="single" w:color="000000" w:sz="4" w:space="0"/>
              <w:bottom w:val="single" w:color="000000" w:sz="4" w:space="0"/>
              <w:right w:val="single" w:color="000000" w:sz="4" w:space="0"/>
            </w:tcBorders>
            <w:noWrap/>
            <w:vAlign w:val="center"/>
          </w:tcPr>
          <w:p w14:paraId="3308C9E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8</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6C704EE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对应急预案管理工作进行监督检查</w:t>
            </w:r>
          </w:p>
        </w:tc>
        <w:tc>
          <w:tcPr>
            <w:tcW w:w="2170" w:type="dxa"/>
            <w:tcBorders>
              <w:top w:val="single" w:color="000000" w:sz="4" w:space="0"/>
              <w:left w:val="single" w:color="000000" w:sz="4" w:space="0"/>
              <w:bottom w:val="single" w:color="000000" w:sz="4" w:space="0"/>
              <w:right w:val="single" w:color="000000" w:sz="4" w:space="0"/>
            </w:tcBorders>
            <w:noWrap w:val="0"/>
            <w:vAlign w:val="center"/>
          </w:tcPr>
          <w:p w14:paraId="5A7CD8A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生产经营单位</w:t>
            </w:r>
          </w:p>
        </w:tc>
        <w:tc>
          <w:tcPr>
            <w:tcW w:w="6440" w:type="dxa"/>
            <w:tcBorders>
              <w:top w:val="single" w:color="000000" w:sz="4" w:space="0"/>
              <w:left w:val="single" w:color="000000" w:sz="4" w:space="0"/>
              <w:bottom w:val="single" w:color="000000" w:sz="4" w:space="0"/>
              <w:right w:val="single" w:color="000000" w:sz="4" w:space="0"/>
            </w:tcBorders>
            <w:noWrap w:val="0"/>
            <w:vAlign w:val="center"/>
          </w:tcPr>
          <w:p w14:paraId="04A83C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240" w:lineRule="exact"/>
              <w:ind w:right="0" w:firstLine="440" w:firstLineChars="200"/>
              <w:jc w:val="both"/>
              <w:textAlignment w:val="auto"/>
              <w:rPr>
                <w:rFonts w:hint="default" w:ascii="方正仿宋_GB2312" w:hAnsi="方正仿宋_GB2312" w:eastAsia="方正仿宋_GB2312" w:cs="方正仿宋_GB2312"/>
                <w:b w:val="0"/>
                <w:bCs w:val="0"/>
                <w:i w:val="0"/>
                <w:iCs w:val="0"/>
                <w:color w:val="000000"/>
                <w:kern w:val="0"/>
                <w:sz w:val="24"/>
                <w:szCs w:val="24"/>
                <w:u w:val="none"/>
                <w:lang w:val="en-US" w:eastAsia="zh-CN" w:bidi="ar"/>
              </w:rPr>
            </w:pPr>
            <w:bookmarkStart w:id="0" w:name="_GoBack"/>
            <w:r>
              <w:rPr>
                <w:rFonts w:hint="default" w:ascii="方正仿宋_GB2312" w:hAnsi="方正仿宋_GB2312" w:eastAsia="方正仿宋_GB2312" w:cs="方正仿宋_GB2312"/>
                <w:b w:val="0"/>
                <w:bCs w:val="0"/>
                <w:i w:val="0"/>
                <w:iCs w:val="0"/>
                <w:color w:val="000000"/>
                <w:kern w:val="0"/>
                <w:sz w:val="22"/>
                <w:szCs w:val="22"/>
                <w:u w:val="none"/>
                <w:lang w:val="en-US" w:eastAsia="zh-CN" w:bidi="ar"/>
              </w:rPr>
              <w:t>《生产安全事故应急预案管理办法》第四十一条</w:t>
            </w:r>
            <w:r>
              <w:rPr>
                <w:rFonts w:hint="eastAsia" w:ascii="方正仿宋_GB2312" w:hAnsi="方正仿宋_GB2312" w:eastAsia="方正仿宋_GB2312" w:cs="方正仿宋_GB2312"/>
                <w:b w:val="0"/>
                <w:bCs w:val="0"/>
                <w:i w:val="0"/>
                <w:iCs w:val="0"/>
                <w:color w:val="000000"/>
                <w:kern w:val="0"/>
                <w:sz w:val="22"/>
                <w:szCs w:val="22"/>
                <w:u w:val="none"/>
                <w:lang w:val="en-US" w:eastAsia="zh-CN" w:bidi="ar"/>
              </w:rPr>
              <w:t>:</w:t>
            </w:r>
            <w:r>
              <w:rPr>
                <w:rFonts w:hint="default" w:ascii="方正仿宋_GB2312" w:hAnsi="方正仿宋_GB2312" w:eastAsia="方正仿宋_GB2312" w:cs="方正仿宋_GB2312"/>
                <w:b w:val="0"/>
                <w:bCs w:val="0"/>
                <w:i w:val="0"/>
                <w:iCs w:val="0"/>
                <w:color w:val="000000"/>
                <w:kern w:val="0"/>
                <w:sz w:val="22"/>
                <w:szCs w:val="22"/>
                <w:u w:val="none"/>
                <w:lang w:val="en-US" w:eastAsia="zh-CN" w:bidi="ar"/>
              </w:rPr>
              <w:t>各级人民政府应急管理部门和煤矿安全监察机构应当将生产经营单位应急预案工作纳入年度监督检查计划，明确检查的重点内容和标准，并严格按照计划开展执法检查。</w:t>
            </w:r>
            <w:bookmarkEnd w:id="0"/>
          </w:p>
        </w:tc>
        <w:tc>
          <w:tcPr>
            <w:tcW w:w="2100" w:type="dxa"/>
            <w:tcBorders>
              <w:top w:val="single" w:color="000000" w:sz="4" w:space="0"/>
              <w:left w:val="single" w:color="000000" w:sz="4" w:space="0"/>
              <w:bottom w:val="single" w:color="000000" w:sz="4" w:space="0"/>
              <w:right w:val="single" w:color="000000" w:sz="4" w:space="0"/>
            </w:tcBorders>
            <w:noWrap w:val="0"/>
            <w:vAlign w:val="center"/>
          </w:tcPr>
          <w:p w14:paraId="3F2387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t>息县应急管理局</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A1F566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2312" w:hAnsi="方正仿宋_GB2312" w:eastAsia="方正仿宋_GB2312" w:cs="方正仿宋_GB2312"/>
                <w:b w:val="0"/>
                <w:bCs w:val="0"/>
                <w:i w:val="0"/>
                <w:iCs w:val="0"/>
                <w:color w:val="000000"/>
                <w:kern w:val="0"/>
                <w:sz w:val="24"/>
                <w:szCs w:val="24"/>
                <w:u w:val="none"/>
                <w:lang w:val="en-US" w:eastAsia="zh-CN" w:bidi="ar"/>
              </w:rPr>
            </w:pPr>
          </w:p>
        </w:tc>
      </w:tr>
    </w:tbl>
    <w:p w14:paraId="11316786"/>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494B7F2-05CD-4ABB-9CBD-E153DEB68C6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9C13D34-B6BD-42B5-9334-E60840784073}"/>
  </w:font>
  <w:font w:name="方正仿宋_GB2312">
    <w:panose1 w:val="02000000000000000000"/>
    <w:charset w:val="86"/>
    <w:family w:val="auto"/>
    <w:pitch w:val="default"/>
    <w:sig w:usb0="A00002BF" w:usb1="184F6CFA" w:usb2="00000012" w:usb3="00000000" w:csb0="00040001" w:csb1="00000000"/>
    <w:embedRegular r:id="rId3" w:fontKey="{D0057DB0-B1AE-4450-ACF3-0AC1408A6CA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27178F"/>
    <w:rsid w:val="0327178F"/>
    <w:rsid w:val="3B2E39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uiPriority w:val="99"/>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2025-07-31T09:22:00Z</dcterms:created>
  <dc:creator>静无止尽</dc:creator>
  <cp:lastModifiedBy>静无止尽</cp:lastModifiedBy>
  <dcterms:modified xsi:type="dcterms:W3CDTF">2025-07-31T09:24:51Z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410FF95DBEF149DB8639679494729973_11</vt:lpwstr>
  </property>
  <property fmtid="{D5CDD505-2E9C-101B-9397-08002B2CF9AE}" pid="4" name="KSOTemplateDocerSaveRecord">
    <vt:lpwstr>eyJoZGlkIjoiOGVhZTVmYjVjOTlhN2MxNTQyN2ZkNGFlODBlMjBhODMiLCJ1c2VySWQiOiI0MzI5NjM3ODIifQ==</vt:lpwstr>
  </property>
</Properties>
</file>