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jc w:val="center"/>
        <w:textAlignment w:val="auto"/>
        <w:rPr>
          <w:rFonts w:hint="eastAsia" w:ascii="黑体" w:hAnsi="黑体" w:eastAsia="黑体" w:cs="黑体"/>
          <w:snapToGrid/>
          <w:kern w:val="2"/>
          <w:sz w:val="40"/>
          <w:szCs w:val="40"/>
          <w:lang w:eastAsia="zh-CN"/>
        </w:rPr>
      </w:pPr>
      <w:r>
        <w:rPr>
          <w:rFonts w:hint="eastAsia" w:ascii="黑体" w:hAnsi="黑体" w:eastAsia="黑体" w:cs="黑体"/>
          <w:snapToGrid/>
          <w:kern w:val="2"/>
          <w:sz w:val="40"/>
          <w:szCs w:val="40"/>
          <w:lang w:eastAsia="zh-CN"/>
        </w:rPr>
        <w:t>平桥区发改委涉企行政检查公示专栏</w:t>
      </w:r>
    </w:p>
    <w:p>
      <w:pPr>
        <w:widowControl w:val="0"/>
        <w:kinsoku/>
        <w:autoSpaceDE/>
        <w:autoSpaceDN/>
        <w:adjustRightInd/>
        <w:snapToGrid/>
        <w:spacing w:line="240" w:lineRule="auto"/>
        <w:jc w:val="center"/>
        <w:textAlignment w:val="auto"/>
        <w:rPr>
          <w:rFonts w:hint="eastAsia" w:ascii="宋体" w:hAnsi="宋体" w:eastAsia="宋体" w:cs="宋体"/>
          <w:snapToGrid/>
          <w:kern w:val="2"/>
          <w:sz w:val="28"/>
          <w:szCs w:val="28"/>
          <w:lang w:eastAsia="zh-CN"/>
        </w:rPr>
      </w:pPr>
      <w:r>
        <w:rPr>
          <w:rFonts w:hint="eastAsia" w:ascii="宋体" w:hAnsi="宋体" w:eastAsia="宋体" w:cs="宋体"/>
          <w:snapToGrid/>
          <w:kern w:val="2"/>
          <w:sz w:val="28"/>
          <w:szCs w:val="28"/>
          <w:lang w:eastAsia="zh-CN"/>
        </w:rPr>
        <w:t>检查标准</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2720"/>
        <w:gridCol w:w="10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4" w:hRule="atLeast"/>
          <w:tblHeader/>
        </w:trPr>
        <w:tc>
          <w:tcPr>
            <w:tcW w:w="701"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snapToGrid/>
                <w:color w:val="000000"/>
                <w:kern w:val="2"/>
                <w:sz w:val="20"/>
                <w:szCs w:val="20"/>
                <w:u w:val="none"/>
                <w:lang w:eastAsia="zh-CN"/>
              </w:rPr>
            </w:pPr>
            <w:r>
              <w:rPr>
                <w:rFonts w:hint="eastAsia" w:ascii="宋体" w:hAnsi="宋体" w:eastAsia="宋体" w:cs="宋体"/>
                <w:b/>
                <w:bCs/>
                <w:i w:val="0"/>
                <w:iCs w:val="0"/>
                <w:snapToGrid/>
                <w:color w:val="000000"/>
                <w:kern w:val="0"/>
                <w:sz w:val="20"/>
                <w:szCs w:val="20"/>
                <w:u w:val="none"/>
                <w:lang w:val="en-US" w:eastAsia="zh-CN" w:bidi="ar"/>
              </w:rPr>
              <w:t>序号</w:t>
            </w:r>
          </w:p>
        </w:tc>
        <w:tc>
          <w:tcPr>
            <w:tcW w:w="272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snapToGrid/>
                <w:color w:val="000000"/>
                <w:kern w:val="2"/>
                <w:sz w:val="20"/>
                <w:szCs w:val="20"/>
                <w:u w:val="none"/>
                <w:lang w:eastAsia="zh-CN"/>
              </w:rPr>
            </w:pPr>
            <w:r>
              <w:rPr>
                <w:rFonts w:hint="eastAsia" w:asciiTheme="minorEastAsia" w:hAnsiTheme="minorEastAsia" w:eastAsiaTheme="minorEastAsia" w:cstheme="minorEastAsia"/>
                <w:b/>
                <w:bCs/>
                <w:i w:val="0"/>
                <w:iCs w:val="0"/>
                <w:snapToGrid/>
                <w:color w:val="000000"/>
                <w:kern w:val="0"/>
                <w:sz w:val="20"/>
                <w:szCs w:val="20"/>
                <w:u w:val="none"/>
                <w:lang w:val="en-US" w:eastAsia="zh-CN" w:bidi="ar"/>
              </w:rPr>
              <w:t>行政检查事项名称</w:t>
            </w:r>
          </w:p>
        </w:tc>
        <w:tc>
          <w:tcPr>
            <w:tcW w:w="10728"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snapToGrid/>
                <w:color w:val="000000"/>
                <w:kern w:val="2"/>
                <w:sz w:val="20"/>
                <w:szCs w:val="20"/>
                <w:u w:val="none"/>
                <w:lang w:eastAsia="zh-CN"/>
              </w:rPr>
            </w:pPr>
            <w:r>
              <w:rPr>
                <w:rFonts w:hint="eastAsia" w:asciiTheme="minorEastAsia" w:hAnsiTheme="minorEastAsia" w:eastAsiaTheme="minorEastAsia" w:cstheme="minorEastAsia"/>
                <w:b/>
                <w:bCs/>
                <w:i w:val="0"/>
                <w:iCs w:val="0"/>
                <w:snapToGrid/>
                <w:color w:val="000000"/>
                <w:kern w:val="0"/>
                <w:sz w:val="20"/>
                <w:szCs w:val="20"/>
                <w:u w:val="none"/>
                <w:lang w:val="en-US" w:eastAsia="zh-CN" w:bidi="ar"/>
              </w:rPr>
              <w:t>检查标准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对重点用能单位节能工作情况的行政检查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《中华人民共和国节约能法(2018)》 能源生产经营单位是否无偿向本单位职工提供能源、是否对能源消费实行包费制；重点用能单位是否报送能源利用状况报告、报告内容是否真实；是否生产、进口、销售国家明令淘汰的用能产品设备，是否使用伪造的节能产品认证标志，是否冒用节能产品认证标志；生产、进口、销售的用能产品、设备是否符合强制性能源效率标准；重点用能单位是否拒不落实整改要求、整改是否达到要求；生产单位用能是否超过单位产品能耗限额标准；重点用能单位是否按照规定设立能源管理岗位，聘任能源管理负责人是否报管理节能工作的部门和有关部门备案；是否使用国家明令淘汰的用能设备或者生产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2</w:t>
            </w:r>
          </w:p>
        </w:tc>
        <w:tc>
          <w:tcPr>
            <w:tcW w:w="27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对企业投资建设固定资产投资项目相关行为的行政检查</w:t>
            </w:r>
          </w:p>
        </w:tc>
        <w:tc>
          <w:tcPr>
            <w:tcW w:w="1072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《企业投资项目核准和备案管理条例(2017)》对企业投资建设固定资产投资项目相关行为的行政检查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3</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对重点用能单位节能工作情况的行政检查</w:t>
            </w:r>
          </w:p>
        </w:tc>
        <w:tc>
          <w:tcPr>
            <w:tcW w:w="10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《重点用能单位节能管理办法(2018)》  重点用能单位是否超过单位产品能耗限额标准用能；重点用能单位是否按照《重点用能单位节能管理办法》规定设立能源管理岗位，是否指定相应的能源管理负责人；重点用能单位是否按规定配备、使用能源计量器具；重点用能单位是否按要求开展能耗在线监测系统建设和能耗在线监测工作；重点用能单位是否按照《重点用能单位节能管理力法》规定报送能源利用状况报告，报告内容是否真实；重点用能单位是否拒不落实整改要求、整改是否达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4</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对粮油仓储单位安全生产的行政检查</w:t>
            </w:r>
          </w:p>
        </w:tc>
        <w:tc>
          <w:tcPr>
            <w:tcW w:w="10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《粮油仓储管理办法(2009)》  粮油仓储单位是否建立安全生产检查制度，是否定期对生产状况进行检查评估，是否及时消除安全隐患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5</w:t>
            </w:r>
          </w:p>
        </w:tc>
        <w:tc>
          <w:tcPr>
            <w:tcW w:w="27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对粮油仓储单位的粮油仓储活动规范性的行政检查</w:t>
            </w:r>
          </w:p>
        </w:tc>
        <w:tc>
          <w:tcPr>
            <w:tcW w:w="107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《粮油仓储管理办法(2009)》  粮油仓储单位是否及时对入库粮油进行整理，是否按照不同品种、性质、生产年份、等级、安全水分、食用和非食用等进行分类存放。粮油入库(仓)是否准确计量，是否制作计量凭证；粮油仓储单位是否按货位及时制作"库存粮油货位卡"、是否将卡片置于货位的明显位置；粮油保管员、粮油质量检验员是否掌握必要的专业知识和职业技能，是否具备相应的职业资格；粮油储存区是否保持清洁，是否与办公区、生活区进行有效隔离，在粮油储存区内是否开展的活动和存放的物品对粮油造成污染或者对粮油储存安全构成威胁；粮油仓储单位是否设立粮油保管账、统计账、会计账，是否真实、完整地反映库存粮油和资金占用情况，是否按有关规定妥善保管，库存粮油情况发生变化粮油仓储单位是否在5个工作日内更新库存粮油货位卡和有关帐目确保账账相符、账实相符；储粮化学药剂是否存放在专用的药品库内，是否实行双人双锁管理并对药剂和包装物领用及回收进行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对粮食收购、储存、运输活动和政策性粮食的购销活动，执行国家粮食流通统计制度情况的行政检查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《粮食流通管理条例(2021)》  粮食收购、储存、运输活动和政策性粮食的购销活动，执行国家粮食流通统计制度的情况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7</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对粮食经营者应当严格遵守国家有关规定从事政策性粮食经营活动的行政检查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《粮食流通管理条例(2021)》  从事政策性粮食经营活动是否虚报粮食收储数量；从事政策性粮食经营活动是否通过以陈顶新、以次充好、低收高转、虚假购销、虚假轮换、违规倒卖等方式套取粮食价差和财政补贴骗取信贷资金；从事政策性粮食经营活动是否挤占、挪用、克扣财政补贴、信贷资金；从事政策性粮食经营活动是否以政策性粮食为债务作担保或者清偿债务；从事政策性粮食经营活动是否利用政策性粮食进行除政府委托的政策性任务以外的其他商业经营；在政策性粮食出库时掺杂使假、以次充好、调换标的物，拒不执行出库指令或者阻挠出库；购买国家限定用途的政策性粮食，违规倒卖或者不按照规定用途处置；擅自动用政策性粮食；其他违反国家政策性粮食经营管理规定的行为；进行熏蒸作业是否制订熏蒸方案，是否报当地粮食行政管理部门备案。熏蒸作业中粮油仓储单位是否在作业场地周围设立警示牌和警戒线，是否禁止无关人员进入熏蒸作业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8</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对粮食收购者、粮食储存企业运输粮食未严格执行国家粮食运输的技术规范减少粮食运输损耗，使用被污染的运输工具或者包装材料运输粮食，粮食与有毒有害物质混装运输的行政检查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《粮食流通管理条例(2021)》  粮食收购者、粮食储存企业运输粮食是否严格执行国家粮食运输的技术规范减少粮食运输损耗，是否使用被污染的运输工具或者包装材料运输粮食，粮食是否与有毒有害物质混装运输。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9</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对粮食收购者、粮食储存企业将粮食与可能对粮食产生污染的有毒有害物质混存，储存粮食是否使用国家禁止使用的化学药剂或者超量使用化学药剂的行政检查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《粮食流通管理条例(2021)》  粮食收购者、粮食储存企业是否将粮食与可能对粮食产生污染的有毒有害物质混存，储存粮食是否使用国家禁止使用的化学药剂或者超量使用化学药剂。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10</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对粮食收购接受任何组织或者个人的委托代扣、代缴任何税、费和其他款项的行政检查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《粮食流通管理条例(2021)》  粮食收购者收购粮食，不得接受任何组织或者个人的委托代扣、代缴任何税、费和其他款项。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11</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2"/>
                <w:sz w:val="20"/>
                <w:szCs w:val="20"/>
                <w:u w:val="none"/>
                <w:lang w:val="en-US" w:eastAsia="zh-CN" w:bidi="ar-SA"/>
              </w:rPr>
              <w:t>粮食收购者未及时向售粮者支付售粮款的情况</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2"/>
                <w:sz w:val="20"/>
                <w:szCs w:val="20"/>
                <w:u w:val="none"/>
                <w:lang w:val="en-US" w:eastAsia="zh-CN" w:bidi="ar-SA"/>
              </w:rPr>
              <w:t>《粮食流通管理条例(2021)》  粮食收购者收购粮食，应当及时向售粮者支付售粮款，不得拖欠。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12</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对粮食收购者执行国家粮食质量标准的行政检查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0"/>
                <w:sz w:val="18"/>
                <w:szCs w:val="18"/>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《粮食流通管理条例(2021)》  粮食储存企业是否按照规定进行粮食销售出库质量安全检验；销售粮食应当严格执行国家粮食质量等有关标准，不得短斤少两、掺杂使假、以次充好；粮食收购者收购粮食是否按照国家有关规定进行质量安全检验，对不符合食品安全标准的粮食是否作为非食用用途单独储存；粮食收购者是否执行国家粮食质量标准；粮食仓储设施、设备是否符合有关标准，技术规范和安全生产要求；粮食经营活动中与质量安全有关的合同、票据、账簿、检验报告以及其他资料、凭证；粮食质量安全情况，检验仪器设备和扦样、检验的规范性；粮油仓储单位是否按照国家粮油质量标准对入库根油进行检验、是否建立粮油质量档案；粮油仓储单位是否在粮油出库前按规定检验出库粮油质量、是否制作计星凭证、是否做好出库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13</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对从事粮食收购企业备案情况的监督检查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《粮食流通管理条例(2021)》 粮食收购企业是否按照规定备案；粮油仓储单位是否自设立或者开始从事粮油仓储活动之日起30个工作日内依法将粮油仓储物流设施等情况向所在地粮食行政管理部门备案。粮油仓储物流设施规模、用途发生变化是否及时备案；粮油仓储单位是否自拆迁、改变用途行为发生之日起30个工作日内向所在地粮食行政管理部门备案；粮油仓储物流设施被征收、征用是否自征收、征用之日起30个工作日内向粮油仓储物流设施所在地粮食行政管理部门备案；粮油仓储单位出租、出借粮油仓储物流设施是否与承租方签订合同之日起30个工作日内向粮油仓储物流设施所在地粮食行政管理部门备案；粮油仓储单位是否在规定时间向粮食行政管理部门备案，备案内容是否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14</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对政府粮食储备的收购、销售、轮换、动用等应当严格按照国家有关规定执行的行政检查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《中华人民共和国粮食安全保障法(2023)》  承储政府粮食储备的企业或者其他组织应当执行储备粮食质量安全检验监测制度，保证政府粮食储备符合规定的质量安全标准、达到规定的质量等级；承储地方政府粮食储备的企业或者其他组织应当保证地方政府粮食储备账实相符、账账相符，实行专仓储存专人保管、专账记载，不得虚报、瞒报政府粮食储备数量、质量、品种。地方政府粮食储备的收购、销售、轮换、动用等应当进行全过程记录，实现地方政府粮食储备信息实时采集处理、传输、共享，确保可查询、可追溯。承储省级地方政府粮食储备的企业应当剥离商业性经营业务；承储政府粮食储备的企业或者其他组织应当遵守法律、法规和国家有关规定，实行储备与商业性经营业务分开，建立健全内部管理制度，落实安全生产责任和消防安全责任，对承储粮食数量、质量负责，实施粮食安全风险事项报告制度，确保政府粮食储备安全；政府粮食储备的收购、销售、轮换、动用等应当严格按照国家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15</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对从事粮食收购、销售、储存、加工的粮食经营者以及饲料、工业用粮企业建立粮食经营台账的行政检查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《中华人民共和国粮食安全保障法(2023)》  从事粮食收购、储存、加工、销售的经营者以及饲料、工业用粮企业，应当按照规定建立粮食经营台账，并向所在地的县级人民政府粮食和储备主管部门报送粮食购进、储存、销售等基本数据和有关情况；从事粮食收购、销售、储存、加工的粮食经营者以及饲料、工业用粮企业是否建立粮食经营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snapToGrid/>
                <w:color w:val="000000"/>
                <w:kern w:val="2"/>
                <w:sz w:val="20"/>
                <w:szCs w:val="20"/>
                <w:u w:val="none"/>
                <w:lang w:val="en-US" w:eastAsia="zh-CN"/>
              </w:rPr>
            </w:pPr>
            <w:r>
              <w:rPr>
                <w:rFonts w:hint="eastAsia" w:ascii="宋体" w:hAnsi="宋体" w:eastAsia="宋体" w:cs="宋体"/>
                <w:i w:val="0"/>
                <w:iCs w:val="0"/>
                <w:snapToGrid/>
                <w:color w:val="000000"/>
                <w:kern w:val="2"/>
                <w:sz w:val="20"/>
                <w:szCs w:val="20"/>
                <w:u w:val="none"/>
                <w:lang w:val="en-US" w:eastAsia="zh-CN"/>
              </w:rPr>
              <w:t>16</w:t>
            </w:r>
          </w:p>
        </w:tc>
        <w:tc>
          <w:tcPr>
            <w:tcW w:w="2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对粮食收购者、粮食储存企业使用的仓储设施应当遵守粮食储存有关标准和技术规范以及安全生产法律、法规的行政检查</w:t>
            </w:r>
          </w:p>
        </w:tc>
        <w:tc>
          <w:tcPr>
            <w:tcW w:w="10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《中华人民共和国粮食安全保障法(2023)》  任何单位和个人不得侵占、损毁、擅自拆除或者迁移政府投资建设的粮食流通基础设施，不得擅自改变政府投资建设的粮食流通基础设施的用途；粮食收购者、粮食储存企业使用的仓储设施是否符合粮食储存有关标准和技术规范以及安全生产法律、法规的要求，是否具有与储存品种、规模、周期等相适应的仓储条件；是否非法侵占、损坏粮油仓储物流设施或者擅自改变其用途；粮油仓储单位是否按照仓房(油)的设计容量和要求储存粮油，是否执行《粮油储藏技术规范》等技术标准，是否建立粮油仓储管理过程记录文件；粮油仓储单位是否对仓房(油)编排号码，是否配备必要的仓储设备，是否建立健全设备使用、保养、维修、报废等制度；粮油仓储单位是否及时清除仓房、工作塔等仓储设施内的粉尘，是否按规定配置防粉尘设备防</w:t>
            </w:r>
            <w:bookmarkStart w:id="0" w:name="_GoBack"/>
            <w:bookmarkEnd w:id="0"/>
            <w:r>
              <w:rPr>
                <w:rFonts w:hint="eastAsia" w:ascii="宋体" w:hAnsi="宋体" w:eastAsia="宋体" w:cs="宋体"/>
                <w:i w:val="0"/>
                <w:iCs w:val="0"/>
                <w:snapToGrid/>
                <w:color w:val="000000"/>
                <w:kern w:val="0"/>
                <w:sz w:val="20"/>
                <w:szCs w:val="20"/>
                <w:u w:val="none"/>
                <w:lang w:val="en-US" w:eastAsia="zh-CN" w:bidi="ar"/>
              </w:rPr>
              <w:t>止发生粉尘爆炸事故，人员是否进入正在作业的烘干塔、立筒仓、浅园仓等设施</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D0E4C"/>
    <w:rsid w:val="06DE5D84"/>
    <w:rsid w:val="12584B2E"/>
    <w:rsid w:val="18671C16"/>
    <w:rsid w:val="1E64416A"/>
    <w:rsid w:val="2F94151F"/>
    <w:rsid w:val="47D73A22"/>
    <w:rsid w:val="49390B6F"/>
    <w:rsid w:val="54712998"/>
    <w:rsid w:val="55145A25"/>
    <w:rsid w:val="5DF74A60"/>
    <w:rsid w:val="61AB4F37"/>
    <w:rsid w:val="629B0F45"/>
    <w:rsid w:val="652006F9"/>
    <w:rsid w:val="67FE2434"/>
    <w:rsid w:val="69167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59</Characters>
  <Lines>0</Lines>
  <Paragraphs>0</Paragraphs>
  <TotalTime>2</TotalTime>
  <ScaleCrop>false</ScaleCrop>
  <LinksUpToDate>false</LinksUpToDate>
  <CharactersWithSpaces>59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Administrator</cp:lastModifiedBy>
  <dcterms:modified xsi:type="dcterms:W3CDTF">2025-09-28T01:27:25Z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KSOTemplateDocerSaveRecord">
    <vt:lpwstr>eyJoZGlkIjoiNjNmZDczY2NiZTc2Y2YyYjEwN2E5YTg3Mjc5ZjdmNjcifQ==</vt:lpwstr>
  </property>
  <property fmtid="{D5CDD505-2E9C-101B-9397-08002B2CF9AE}" pid="4" name="ICV">
    <vt:lpwstr>1D5602A42005489E8133D8A4838C8F55_13</vt:lpwstr>
  </property>
</Properties>
</file>