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0"/>
          <w:szCs w:val="40"/>
        </w:rPr>
      </w:pPr>
      <w:r>
        <w:rPr>
          <w:rFonts w:hint="eastAsia" w:ascii="黑体" w:hAnsi="黑体" w:eastAsia="黑体" w:cs="黑体"/>
          <w:sz w:val="40"/>
          <w:szCs w:val="40"/>
          <w:lang w:eastAsia="zh-CN"/>
        </w:rPr>
        <w:t>平桥区发改委</w:t>
      </w:r>
      <w:r>
        <w:rPr>
          <w:rFonts w:hint="eastAsia" w:ascii="黑体" w:hAnsi="黑体" w:eastAsia="黑体" w:cs="黑体"/>
          <w:sz w:val="40"/>
          <w:szCs w:val="40"/>
        </w:rPr>
        <w:t>涉企行政检查公示专栏</w:t>
      </w:r>
    </w:p>
    <w:p>
      <w:pPr>
        <w:jc w:val="center"/>
        <w:rPr>
          <w:rFonts w:hint="eastAsia" w:ascii="宋体" w:hAnsi="宋体" w:eastAsia="宋体" w:cs="宋体"/>
          <w:sz w:val="28"/>
          <w:szCs w:val="28"/>
        </w:rPr>
      </w:pPr>
      <w:r>
        <w:rPr>
          <w:rFonts w:hint="eastAsia" w:ascii="宋体" w:hAnsi="宋体" w:eastAsia="宋体" w:cs="宋体"/>
          <w:sz w:val="28"/>
          <w:szCs w:val="28"/>
        </w:rPr>
        <w:t>检查事项和依据</w:t>
      </w:r>
    </w:p>
    <w:tbl>
      <w:tblPr>
        <w:tblStyle w:val="2"/>
        <w:tblW w:w="132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4"/>
        <w:gridCol w:w="2321"/>
        <w:gridCol w:w="10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blHeader/>
        </w:trPr>
        <w:tc>
          <w:tcPr>
            <w:tcW w:w="724" w:type="dxa"/>
            <w:tcBorders>
              <w:top w:val="single" w:color="auto" w:sz="4" w:space="0"/>
              <w:left w:val="single" w:color="auto"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序号</w:t>
            </w:r>
          </w:p>
        </w:tc>
        <w:tc>
          <w:tcPr>
            <w:tcW w:w="2321"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事项目录名称</w:t>
            </w:r>
          </w:p>
        </w:tc>
        <w:tc>
          <w:tcPr>
            <w:tcW w:w="102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0"/>
                <w:szCs w:val="20"/>
                <w:u w:val="none"/>
                <w:lang w:val="en-US" w:eastAsia="zh-CN"/>
              </w:rPr>
              <w:t>1</w:t>
            </w: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对重点用能单位节能工作情况的行政检查</w:t>
            </w:r>
          </w:p>
        </w:tc>
        <w:tc>
          <w:tcPr>
            <w:tcW w:w="10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《中华人民共和国节约能原法(2018)》第二十八条  能源生产经营单位不得向本单位职工无偿提供能源。任何单位不得对能源消费实行包费制。《中华人民共和国节约能源法(2018)》第五十三条  重点用能单位应当每年向管理节能工作的部门报送上年度的能源利用状况报告。能源利用状况包括能源消费情况、能源利用效率、节能目标完成情况和节能效益分析、节能措施等内容。《中华人民共和国节约能源法(2018)》第十七条  禁止生产、进口、销售国家明令淘汰或者不符合强制性能源效率标准的用能产品、设备；禁止使用国家明令淘汰的用能设备、生产工艺。《中华人民共和国节约能源法(2018)》第十七条  禁止生产、进口、销售国家明令淘汰或者不符合强制性能源效率标准的用能产品、设备；禁止使用国家明令淘汰的用能设备、生产工艺。《中华人民共和国节约能源法(2018)》第五十四条  管理节能工作的部门应当对重点用能单位报送的能源利用状况报告进行审查。对节能管理制度不健全、节能措施不落实、能源利用效率低的重点用能单位，管理节能工作的部门应当开展现场调查，组织实施用能设备能源效率检测，责令实施能源审计，并提出书面整改要求，限期整改。《中华人民共和国节约能源法(2018)》第十六条第二款  生产过程中耗能高的产品的生产单位，应当执行单位产品能耗限额标准。对超过单位产品能耗限额标准用能的生产单位，由管理节能工作的部门按照国务院规定的权限表令限期治理。(中华人民共和国节约能源法(2018)》第五十五条第一款  重点用能单位应当设立能源管理岗位，在具有节能专业知识、实际经验以及中级以上技术职称的人员中聘任能源管理负表人，并报管理节能工作的部门和有关部门备案。《中华人民共和国节约能原法(2018)》第十七条  禁止生产、进口、销售国家明令淘汰或者不符合强制性能源效率标准的用能产品、设备；禁止使用国家明令淘汰的用能设备、生产工艺。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232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对企业投资建设固定资产投资项目相关行为的行政检查</w:t>
            </w:r>
          </w:p>
        </w:tc>
        <w:tc>
          <w:tcPr>
            <w:tcW w:w="10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《企业投资项目核准和备案管理条例(2017)》第十六条第一款  核准机关、备案机关以及依法对项目负有监督管理职责的其他有关部门应当加强事中事后监管，按照谁审批谁监管、谁主管谁监管的原则，落实监管责任，采取在线监测、现场核查等方式，加强对项目实施的监督检查。《企业投资项目核准和备案管理条例(2017)》第十三条第一款  实行备案管理的项目，企业应当在开工建设前通过在线平台将下列信息告知备案机关。《企业投资项目核准和备案管理条例(2017)》第十四条  已备案项目信息发生较大变更的，企业应当及时告知备案机关。《企业投资项目核准和备案管理条例(2017)》第十五条  备案机关发现已备案项目属于产业政策禁止投资建设或者实行核准管理的应当及时告知企业予以纠正或者依法办理核准手续，并通知有关部门。《企业投资项目核准和备案管理办法(2023)》第四十六条第一款  项目核准和备案机关，行业管理、城乡规划(建设)、国家安全、国土(海洋)资源、环境保护、节能审查、金融监管、安全生产监管、审计等部门，应当按照谁审批谁监管、谁主管谁监管的原则，采取在线监测、现场核查等。</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《企业投资项目核准和备案管理条例(2017)》第十三条第一款  实行备案管理的项目，企业应当在开工建设前通过在线平台将下列信息告知备案机关。《企业投资项目核准和备案管理条例(2017)》第十四条  已备案项目信息发生较大变更的，企业应当及时告知备案机关。《企业投资项目核准和备案管理条例(2017)》第十五条  备案机关发现已备案项目属于产业政策禁止投资建设或者实行核准管理的，应当及时告知企业予以纠正或者依法办理核准手续，并通知有关部门。《企业投资项目核准和备案管理办法(2023)》第四十六条第一款  项目核准和备案机关、行业管理、城乡规划(建设)、国家安全、国土(海洋)资源、环境保护、节能审查、金融监管、安全生产监管、审计等部门，应当按照谁审批谁监管、谁主管谁监管的原则，采取在线监测、现场核查等方式，依法法加强对项目的事中事后监管。《企业投资项目核准和备案管理办法(2023)》第四十六条第二款  总量控制目项目核准、备案机关应当根据法律法规和发展规划、产业政策，标、技术政策、准入标准及相关环保要求等，对项目进行监管，《企业投资项目核准和备案管理办法(2023)》第五十条第一款  项目单位应当通过在线平台如实报送项目开工建设、建设进度、竣工的基本信息。《企业投资项目核准和备案管理办法(2023)》第五十条第二款  项目开工前，项目单位应当登录在线平台报备项目开工基本信息。项目开工后，项目单位应当按年度在线报备项目建设动态进度基本信息。项目竣工验收后，项目单位应当在线报备项目竣工基本信息。《企业投资项目核准和备案管理办法(2023)》第五十一条  项目单位有下列行为之一的，相关信息列入项目异常信用记录，并纳入全国信用信息共享平台。《企业投资项目事中事后监管办法(2023)》第三条第一款  项目事中事后监管是指各级发展改革部门对项目开工前是否依法取得核准批复文件或者办理备案手续，并在开工后是否按照核准批复文件或者备案内容进行建设的监督管理。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6" w:hRule="atLeast"/>
        </w:trPr>
        <w:tc>
          <w:tcPr>
            <w:tcW w:w="72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232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对重点用能单位节能工作情况的行政检查</w:t>
            </w:r>
          </w:p>
        </w:tc>
        <w:tc>
          <w:tcPr>
            <w:tcW w:w="1022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《重点用能单位节能管理办法(2018)》第十七条第一款  重点用能单位应当执行单位产品能耗限额强制性国家标准和能源效率强制性国家标准。鼓励重点用能单位制定严于国家标准、行业标准、地方标准的企业节能标准。《重点用能单位节能管理办法(2018)》第十条第三款  重点用能单位应当明确能源管理部门，设立能源管理岗位，聘任能够满足节能工作需要的能源管理人员。能源管理人员负表贯彻执行国家有关节约能源工作的法律、法规、规章、政策和标准，加强日常节能管理，组织实施本单位内部能源审计、节能技术改造，开展能源计量和统计分析等。《重点用能单位节能管理办法(2018)》第十一条  重点用能单位应当按照《用能单位能源计量器具配备和管理通则》《重点用能单位能源计量审查规范》等有关规定，配备和使用经依法检定或校准的能计量器具，加强能源计量数据的管理和使用，建立健全能源计量管理制度，完善能源计量体系，并接受质量技术监督部门开展的能源计量审查等监督检查。《重点用能单位节能管理办法(2018)》第十五条  重点用能单位应当结合现有能源管理信息化平台，加强能源计量基础能力建设按照政府管理节能工作的部门、质量技术监督部门要求建设能耗在线监测系统提升能源管理信息化水平。《重点用能单位节能管理办法(2018)》第十三条第一款  重点用能单位应当由能源管理负责人负责组织能源利用状况报告填报工作，并每年向县级以上人民政府管理节能工作的部门报送上年度的能源利用状况报告。能源利用状况报告应当包括能源消费情况、能源利用效率、能耗总量控制和节能目标完成情况、节能效益分析、节能措施等内容。《重点用能单位节能管理办法(2018)》第二十六条第一款  对节能管理制度不健全、节能措施不落实、能原利用效率低的重点用能单位，管理节能工作的部门应当开展现场调查，组织实施用能设备能效率检测，责令实施能源审计，并提出书面整改要求，限期整改。重点用能单位无正当理由拒不落实整改要求或者整改没有达到要求的，由管理节能工作的部门处十万元以上三十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4"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232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对粮油仓储单位安全生产的行政检查</w:t>
            </w:r>
          </w:p>
        </w:tc>
        <w:tc>
          <w:tcPr>
            <w:tcW w:w="10224"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《粮油仓储管理办法(2009)》第二十四条  粮油仓储单位应当建立安全生产检查制度，定期对生产状况进行检查评估，及时消除安全隐患。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0"/>
                <w:szCs w:val="20"/>
                <w:u w:val="none"/>
                <w:lang w:val="en-US" w:eastAsia="zh-CN"/>
              </w:rPr>
              <w:t>5</w:t>
            </w:r>
          </w:p>
        </w:tc>
        <w:tc>
          <w:tcPr>
            <w:tcW w:w="232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对粮油仓储单位的粮油仓储活动规范性的行政检查</w:t>
            </w:r>
          </w:p>
        </w:tc>
        <w:tc>
          <w:tcPr>
            <w:tcW w:w="1022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《粮油仓储管理办法(2009)》第十条  粮油仓储单位应当及时对入库粮油进行整理，使其达到储存安全的要求，并按照不同品种、性质、生产年份、等级、安全水分、食用和非食用等进行分类存放。粮油入库(仓)应当准确计量，并制作计量凭证。</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《粮油仓储管理办法(2009)》第十一条  粮油仓储单位应当按货位及时制作“库存粮油货位卡”，准确记录粮油的品种、数量、产地、生产年份、粮权所有人、粮食商品属性、等级、水分、杂质等信息,并将卡片置于货位的明显位置。《粮油仓储管理办法(2009)》第十五条  粮油仓储单位负责人对全部库存粮油的数量真实、质量良好、储存安全负责。粮油保管员、粮油质量检验员应当掌握必要的专业知识和职业技能，具备相应的职业资格。</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《粮油仓储管理办法(2009)》第十六条  粮油储存区应当保持清洁，并与办公区、生活区进行有效隔离。在粮油储存区内开展的活动和存放的物品不得对粮油造成污染或者对粮油储存安全构成威胁。</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《粮油仓储管理办法(2009)》第二十三条  粮油仓储单位应当设立粮油保管账、统计账、会计账，真实、完整地反映库存粮油和资金占用情况，并按有关规定妥善保管。库存粮油情况发生变化的，粮油仓储单位应当在5个工作日内更新库存粮油货位卡和有关帐目，确保账账相符、账实相符。</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《粮油仓储管理办法(2009)》第二十五条第一款  储粮化学药剂应当存放在专用的药品库内，实行双人双锁管理，并对药剂和包装物领用及回收进行登记。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w:t>
            </w: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对粮食收购、储存、运输活动和政策性粮食的购销活动，执行国家粮食流通统计制度情况的行政检查</w:t>
            </w:r>
          </w:p>
        </w:tc>
        <w:tc>
          <w:tcPr>
            <w:tcW w:w="10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《粮食流通管理条例(2021)》第三十八条第一款  粮食和储备行政管理部门依照本条例对粮食经营者从事粮食收购、储存、运输活动和政策性粮食的购销活动，以及执行国家粮食流通统计制度的情况进行监督检查。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0"/>
                <w:szCs w:val="20"/>
                <w:u w:val="none"/>
                <w:lang w:val="en-US" w:eastAsia="zh-CN"/>
              </w:rPr>
              <w:t>7</w:t>
            </w: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对粮食经营者应当严格遵守国家有关规定从事政策性粮食经营活动的行政检查</w:t>
            </w:r>
          </w:p>
        </w:tc>
        <w:tc>
          <w:tcPr>
            <w:tcW w:w="10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《粮食流通管理条例(2021)》第二十条 粮食经营者从事政策性粮食经营活动，应当严格遵守国家有关规定，不得有下列行为:</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(一)虚报粮食收储数量；(二)通过以陈顶新、以次充好、低收高转、虚假购销、虚假轮换、违规倒卖等方式，套取粮食价差和财政补贴，骗取信贷资金；(三)挤占、挪用、克扣财政补贴、信贷资金；</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bookmarkStart w:id="0" w:name="_GoBack"/>
            <w:bookmarkEnd w:id="0"/>
            <w:r>
              <w:rPr>
                <w:rFonts w:hint="eastAsia" w:asciiTheme="minorEastAsia" w:hAnsiTheme="minorEastAsia" w:eastAsiaTheme="minorEastAsia" w:cstheme="minorEastAsia"/>
                <w:i w:val="0"/>
                <w:iCs w:val="0"/>
                <w:color w:val="000000"/>
                <w:kern w:val="0"/>
                <w:sz w:val="20"/>
                <w:szCs w:val="20"/>
                <w:u w:val="none"/>
                <w:lang w:val="en-US" w:eastAsia="zh-CN" w:bidi="ar"/>
              </w:rPr>
              <w:t>(四)以政策性粮食为债务作担保或者清偿债务；(五)利用政策性粮食进行除政府委托的政策性任务以外的其他商业经营；(六)在政策性粮食出库时掺杂使假、以次充好、调换标的物，拒不执行出库指令或者阻挠出库；(七)购买国家限定用途的政策性粮食，违规倒卖或者不按照规定用途处置；(八)擅自动用政策性粮食；(九)其他违反国家政策性粮食经营管理规定的行为。</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《粮油仓储管理办法(2009)》第二十五条第二款  进行熏蒸作业的，应当制订熏蒸方案，并报当地粮食行政管理部门备案。熏蒸作业中，粮油仓储单位应当在作业场地周围设立警示牌和警戒线，禁止无关人员进入熏蒸作业区。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对粮食收购者、粮食储存企业运输粮食未严格执行国家粮食运输的技术规范减少粮食运输损耗，使用被污染的运输工具或者包装材料运输粮食，粮食与有毒有害物质混装运输的行政检查</w:t>
            </w:r>
          </w:p>
        </w:tc>
        <w:tc>
          <w:tcPr>
            <w:tcW w:w="10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粮食流通管理条例(2021) 粮食收购者、粮食储存企业运输粮食是否严格执行国家粮食运输的技术规范减少粮食运输损耗，是否使用被污染的运输工具或者包装材料运输粮食，粮食是否与有毒有害物质混装运输。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0"/>
                <w:szCs w:val="20"/>
                <w:u w:val="none"/>
                <w:lang w:val="en-US" w:eastAsia="zh-CN"/>
              </w:rPr>
              <w:t>9</w:t>
            </w: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对粮食收购者、粮食储存企业将粮食与可能对粮食产生污染的有毒有害物质混存，储存粮食是否使用国家禁止使用的化学药剂或者超量使用化学药剂的行政检查</w:t>
            </w:r>
          </w:p>
        </w:tc>
        <w:tc>
          <w:tcPr>
            <w:tcW w:w="10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粮食流通管理条例(2021) 粮食收购者、粮食储存企业是否将粮食与可能对粮食产生污染的有毒有害物质混存，储存粮食是否使用国家禁止使用的化学药剂或者超量使用化学药剂。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对粮食收购接受任何组织或者个人的委托代扣、代缴任何税、费和其他款项的行政检查</w:t>
            </w:r>
          </w:p>
        </w:tc>
        <w:tc>
          <w:tcPr>
            <w:tcW w:w="10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粮食流通管理条例(2021) 粮食收购者收购粮食，不得接受任何组织或者个人的委托代扣、代缴任何税、费和其他款项。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w:t>
            </w: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粮食收购者未及时向售粮者支付售粮款的情况</w:t>
            </w:r>
          </w:p>
        </w:tc>
        <w:tc>
          <w:tcPr>
            <w:tcW w:w="10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粮食流通管理条例(2021) 粮食收购者收购粮食，应当及时向售粮者支付售粮款，不得拖欠。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w:t>
            </w: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对粮食收购者执行国家粮食质量标准的行政检查</w:t>
            </w:r>
          </w:p>
        </w:tc>
        <w:tc>
          <w:tcPr>
            <w:tcW w:w="10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粮食流通管理条例(2021)  粮食储存企业是否按照规定进行粮食销售出库质量安全检验；</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粮食流通管理条例(2021)  销售粮食应当严格执行国家粮食质量等有关标准，不得短斤少两、掺杂使假、以次充好；</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粮食流通管理条例(2021)  粮食收购者收购粮食是否按照国家有关规定进行质量安全检验，对不符合食品安全标准的粮食是否作为非食用用途单独储存；</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粮食流通管理条例(2021)  粮食收购者是否执行国家粮食质量标准；</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粮食质量安全监管办法(2023)  粮食仓储设施、设备是否符合有关标准，技术规范和安全生产要求；</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粮食质量安全监管办法(2023)  粮食经营活动中与质量安全有关的合同、票据、账簿、检验报告以及其他资料、凭证；</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粮食质量安全监管办法(2023)  粮食质量安全情况，检验仪器设备和扦样、检验的规范性；</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粮油仓储管理办法(2009)  粮油仓储单位是否按照国家粮油质量标准对入库粮油进行检验、是否建立粮油质量档案；</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粮油仓储管理办法(2009)  粮油仓储单位是否在粮油出库前按规定检验出库粮油质量、是否制作计量凭证、是否做好出库记录；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13</w:t>
            </w: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对从事粮食收购企业备案情况的监督检查</w:t>
            </w:r>
          </w:p>
        </w:tc>
        <w:tc>
          <w:tcPr>
            <w:tcW w:w="10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粮食流通管理条例(2021)  粮食收购企业是否按照规定备案；</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国有粮油仓储物流设施保护办法(2016)  粮油仓储单位是否自设立或者开始从事粮油仓储活动之日起30个工作日内依法将粮油仓储物流设施等情况向所在地粮食行政管理部门备案。粮油仓储物流设施规模、用途发生变化是否及时备案；</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国有粮油仓储物流设施保护办法(2016)  粮油仓储单位是否自拆迁、改变用途行为发生之日起30个工作日内向所在地粮食行政管理部门备案；</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国有粮油仓储物流设施保护办法(2016)  粮油仓储物流设施被征收、征用是否自征收、征用之日起30个工作日内向粮油仓储物流设施所在地粮食行政管理部门备案；</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国有粮油仓储物流设施保护办法(2016)  粮油仓储单位出租、出借粮油仓储物流设施是否与承租方签订合同之日起30个工作日内向粮油仓储物流设施所在地粮食行政管理部门备案；</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粮油仓储管理办法(2009)  粮油仓储单位是否在规定时间向粮食行政管理部门备案，备案内容是否真实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14</w:t>
            </w: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对政府粮食储备的收购、销售、轮换、动用等应当严格按照国家有关规定执行的行政检查</w:t>
            </w:r>
          </w:p>
        </w:tc>
        <w:tc>
          <w:tcPr>
            <w:tcW w:w="10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中华人民共和国粮食安全保障法(2023)  承储政府粮食储备的企业或者其他组织应当执行储备粮食质量安全检验监测制度，保证政府粮食储备符合规定的质量安全标准、达到规定的质量等级。</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中华人民共和国粮食安全保障法(2023)  承储地方政府粮食储备的企业或者其他组织应当保证地方政府粮食储备账实相符、账账相符，实行专仓储存专人保管、专账记载，不得虚报、瞒报政府粮食储备数量、质量、品种。</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中华人民共和国粮食安全保障法(2023)  地方政府粮食储备的收购、销售、轮换、动用等应当进行全过程记录，实现地方政府粮食储备信息实时采集处理、传输、共享，确保可查询、可追溯。</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中华人民共和国粮食安全保障法(2023)  承储省级地方政府粮食储备的企业应当剥离商业性经营业务；</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中华人民共和国粮食安全保障法(2023)  承储政府粮食储备的企业或者其他组织应当遵守法律、法规和国家有关规定，实行储备与商业性经营业务分开，建立健全内部管理制度，落实安全生产责任和消防安全责任，对承储粮食数量、质量负责，实施粮食安全风险事项报告制度，确保政府粮食储备安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中华人民共和国粮食安全保障法(2023)  政府粮食储备的收购、销售、轮换、动用等应当严格按照国家有关规定执行。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15</w:t>
            </w: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对从事粮食收购、销售、储存、加工的粮食经营者以及饲料、工业用粮企业建立粮食经营台账的行政检查</w:t>
            </w:r>
          </w:p>
        </w:tc>
        <w:tc>
          <w:tcPr>
            <w:tcW w:w="10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中华人民共和国粮食安全保障法(2023)  从事粮食收购、储存、加工、销售的经营者以及饲料、工业用粮企业，应当按照规定建立粮食经营台账，并向所在地的县级人民政府粮食和储备主管部门报送粮食购进、储存、销售等基本数据和有关情况。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粮食流通管理条例(2021)  从事粮食收购、销售、储存、加工的粮食经营者以及饲料、工业用粮企业是否建立粮食经营台账。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16</w:t>
            </w: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对粮食收购者、粮食储存企业使用的仓储设施应当遵守粮食储存有关标准和技术规范以及安全生产法律、法规的行政检查</w:t>
            </w:r>
          </w:p>
        </w:tc>
        <w:tc>
          <w:tcPr>
            <w:tcW w:w="10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中华人民共和国粮食安全保障法(2023)  任何单位和个人不得侵占、损毁、擅自拆除或者迁移政府投资建设的粮食流通基础设施，不得擅自改变政府投资建设的粮食流通基础设施的用途。</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粮食流通管理条例(2021)  粮食收购者、粮食储存企业使用的仓储设施是否符合粮食储存有关标准和技术规范以及安全生产法律、法规的要求，是否具有与储存品种、规模、周期等相适应的仓储条件；</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国有粮油仓储物流设施保护办法(2016)  是否非法侵占、损坏粮油仓储物流设施或者擅自改变其用途；</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粮油仓储管理办法(2009)  粮油仓储单位是否按照仓房(油)的设计容量和要求储存粮油，是否执行《粮油储藏技术规范》等技术标准，是否建立粮油仓储管理过程记录文件；</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粮油仓储管理办法(2009)  粮油仓储单位是否对仓房(油)编排号码，是否配备必要的仓储设备，是否建立健全设备使用、保养、维修、报废等制度；</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粮油仓储管理办法(2009)  粮油仓储单位是否及时清除仓房、工作塔等仓储设施内的粉尘，是否按规定配置防粉尘设备防止发生粉尘爆炸事故，人员是否进入正在作业的烘干塔、立筒仓、浅园仓等设施；</w:t>
            </w:r>
          </w:p>
        </w:tc>
      </w:tr>
    </w:tbl>
    <w:p>
      <w:pPr>
        <w:jc w:val="both"/>
        <w:rPr>
          <w:rFonts w:hint="eastAsia"/>
        </w:rPr>
      </w:pPr>
    </w:p>
    <w:sectPr>
      <w:pgSz w:w="16838" w:h="11906" w:orient="landscape"/>
      <w:pgMar w:top="1077" w:right="2041" w:bottom="1077" w:left="1984" w:header="851" w:footer="992" w:gutter="0"/>
      <w:cols w:space="0" w:num="1"/>
      <w:rtlGutter w:val="0"/>
      <w:docGrid w:type="linesAndChars" w:linePitch="582"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97B36"/>
    <w:rsid w:val="07C879D4"/>
    <w:rsid w:val="0F1E328F"/>
    <w:rsid w:val="103C6039"/>
    <w:rsid w:val="15333E9B"/>
    <w:rsid w:val="1B0C1115"/>
    <w:rsid w:val="21A543C0"/>
    <w:rsid w:val="24537EF1"/>
    <w:rsid w:val="26B70BC4"/>
    <w:rsid w:val="2931544F"/>
    <w:rsid w:val="2A0A1509"/>
    <w:rsid w:val="2C27057D"/>
    <w:rsid w:val="2E462300"/>
    <w:rsid w:val="31733D6D"/>
    <w:rsid w:val="3AD501AC"/>
    <w:rsid w:val="445A0AE0"/>
    <w:rsid w:val="44AA4BB6"/>
    <w:rsid w:val="5BE84759"/>
    <w:rsid w:val="5EEE3F19"/>
    <w:rsid w:val="68745F0C"/>
    <w:rsid w:val="7665694D"/>
    <w:rsid w:val="7A997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2025-07-29T09:52:00Z</dcterms:created>
  <dc:creator>Administrator</dc:creator>
  <cp:lastModifiedBy>Administrator</cp:lastModifiedBy>
  <dcterms:modified xsi:type="dcterms:W3CDTF">2025-09-28T01:33:19Z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64CD6D9769544FD8A5869A58BA0FCF15</vt:lpwstr>
  </property>
</Properties>
</file>