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60"/>
        <w:spacing w:before="82" w:line="219" w:lineRule="auto"/>
        <w:outlineLvl w:val="0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7"/>
        </w:rPr>
        <w:t>《信阳市房屋建筑和市政基础设施工程招标投</w:t>
      </w:r>
    </w:p>
    <w:p>
      <w:pPr>
        <w:ind w:left="1085"/>
        <w:spacing w:before="44" w:line="220" w:lineRule="auto"/>
        <w:outlineLvl w:val="0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21"/>
        </w:rPr>
        <w:t>标“评定分离”实施细则(试行)》</w:t>
      </w:r>
    </w:p>
    <w:p>
      <w:pPr>
        <w:ind w:left="3545"/>
        <w:spacing w:before="40" w:line="219" w:lineRule="auto"/>
        <w:rPr>
          <w:rFonts w:ascii="SimSun" w:hAnsi="SimSun" w:eastAsia="SimSun" w:cs="SimSun"/>
          <w:sz w:val="41"/>
          <w:szCs w:val="41"/>
        </w:rPr>
      </w:pPr>
      <w:r>
        <w:rPr>
          <w:rFonts w:ascii="SimSun" w:hAnsi="SimSun" w:eastAsia="SimSun" w:cs="SimSun"/>
          <w:sz w:val="41"/>
          <w:szCs w:val="41"/>
          <w:b/>
          <w:bCs/>
          <w:spacing w:val="-4"/>
        </w:rPr>
        <w:t>编制说明</w:t>
      </w:r>
    </w:p>
    <w:p>
      <w:pPr>
        <w:spacing w:line="452" w:lineRule="auto"/>
        <w:rPr>
          <w:rFonts w:ascii="Arial"/>
          <w:sz w:val="21"/>
        </w:rPr>
      </w:pPr>
      <w:r/>
    </w:p>
    <w:p>
      <w:pPr>
        <w:pStyle w:val="BodyText"/>
        <w:ind w:right="1169" w:firstLine="659"/>
        <w:spacing w:before="98" w:line="312" w:lineRule="auto"/>
        <w:tabs>
          <w:tab w:val="left" w:pos="160"/>
        </w:tabs>
        <w:jc w:val="both"/>
        <w:rPr/>
      </w:pPr>
      <w:r>
        <w:rPr>
          <w:spacing w:val="19"/>
        </w:rPr>
        <w:t>为进一步深化建设工程招投标制度改革，优化营商环境，</w:t>
      </w:r>
      <w:r>
        <w:rPr>
          <w:spacing w:val="7"/>
        </w:rPr>
        <w:t xml:space="preserve">  </w:t>
      </w:r>
      <w:r>
        <w:rPr>
          <w:spacing w:val="22"/>
        </w:rPr>
        <w:t>落实招标人主体责任，提升招标质量和效率，防范招投标活动</w:t>
      </w:r>
      <w:r>
        <w:rPr>
          <w:spacing w:val="2"/>
        </w:rPr>
        <w:t xml:space="preserve">  </w:t>
      </w:r>
      <w:r>
        <w:rPr>
          <w:spacing w:val="11"/>
        </w:rPr>
        <w:t>过程中的廉政风险，结合我市实际情况，特制定《信阳市房屋建</w:t>
      </w:r>
      <w:r>
        <w:rPr>
          <w:spacing w:val="12"/>
        </w:rPr>
        <w:t xml:space="preserve"> </w:t>
      </w:r>
      <w:r>
        <w:rPr>
          <w:spacing w:val="15"/>
        </w:rPr>
        <w:t>筑和市政基础设施工程招标投标“评定分离”实施细则(试行)》</w:t>
      </w:r>
      <w:r>
        <w:rPr>
          <w:spacing w:val="13"/>
        </w:rPr>
        <w:t xml:space="preserve"> </w:t>
      </w:r>
      <w:r>
        <w:rPr/>
        <w:tab/>
      </w:r>
      <w:r>
        <w:rPr>
          <w:spacing w:val="16"/>
        </w:rPr>
        <w:t>(以下简称实施细则)。</w:t>
      </w:r>
    </w:p>
    <w:p>
      <w:pPr>
        <w:ind w:left="664"/>
        <w:spacing w:before="1" w:line="220" w:lineRule="auto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4"/>
        </w:rPr>
        <w:t>一</w:t>
      </w:r>
      <w:r>
        <w:rPr>
          <w:rFonts w:ascii="SimHei" w:hAnsi="SimHei" w:eastAsia="SimHei" w:cs="SimHei"/>
          <w:sz w:val="30"/>
          <w:szCs w:val="30"/>
          <w:spacing w:val="-66"/>
        </w:rPr>
        <w:t xml:space="preserve"> </w:t>
      </w:r>
      <w:r>
        <w:rPr>
          <w:rFonts w:ascii="SimHei" w:hAnsi="SimHei" w:eastAsia="SimHei" w:cs="SimHei"/>
          <w:sz w:val="30"/>
          <w:szCs w:val="30"/>
          <w:b/>
          <w:bCs/>
          <w:spacing w:val="4"/>
        </w:rPr>
        <w:t>、编制背景</w:t>
      </w:r>
    </w:p>
    <w:p>
      <w:pPr>
        <w:pStyle w:val="BodyText"/>
        <w:ind w:right="1199" w:firstLine="659"/>
        <w:spacing w:before="105" w:line="307" w:lineRule="auto"/>
        <w:rPr/>
      </w:pPr>
      <w:r>
        <w:rPr>
          <w:spacing w:val="10"/>
        </w:rPr>
        <w:t>招标投标制度是社会主义市场经济体制的重要组成部分，对</w:t>
      </w:r>
      <w:r>
        <w:rPr/>
        <w:t xml:space="preserve"> </w:t>
      </w:r>
      <w:r>
        <w:rPr>
          <w:spacing w:val="4"/>
        </w:rPr>
        <w:t>于充分发挥市场在资源配置中的决定性作用，更好发挥政府作用，</w:t>
      </w:r>
      <w:r>
        <w:rPr>
          <w:spacing w:val="2"/>
        </w:rPr>
        <w:t xml:space="preserve"> </w:t>
      </w:r>
      <w:r>
        <w:rPr>
          <w:spacing w:val="9"/>
        </w:rPr>
        <w:t>深化投融资体制改革，提高国有资金使用效益，预防惩治腐败具</w:t>
      </w:r>
      <w:r>
        <w:rPr>
          <w:spacing w:val="8"/>
        </w:rPr>
        <w:t xml:space="preserve">  </w:t>
      </w:r>
      <w:r>
        <w:rPr>
          <w:spacing w:val="11"/>
        </w:rPr>
        <w:t>有重要意义。但当前招标投标市场还存在不少突出问题：招标人</w:t>
      </w:r>
      <w:r>
        <w:rPr>
          <w:spacing w:val="9"/>
        </w:rPr>
        <w:t xml:space="preserve"> </w:t>
      </w:r>
      <w:r>
        <w:rPr>
          <w:spacing w:val="9"/>
        </w:rPr>
        <w:t>主体责任落实不到位，各类隐性壁垒尚未完全消除，评标专家倾</w:t>
      </w:r>
      <w:r>
        <w:rPr>
          <w:spacing w:val="5"/>
        </w:rPr>
        <w:t xml:space="preserve">  </w:t>
      </w:r>
      <w:r>
        <w:rPr>
          <w:spacing w:val="1"/>
        </w:rPr>
        <w:t>向性打分，虚假招标、围标串标高发等。</w:t>
      </w:r>
    </w:p>
    <w:p>
      <w:pPr>
        <w:pStyle w:val="BodyText"/>
        <w:ind w:right="975" w:firstLine="700"/>
        <w:spacing w:before="57" w:line="301" w:lineRule="auto"/>
        <w:rPr/>
      </w:pPr>
      <w:r>
        <w:rPr>
          <w:spacing w:val="-3"/>
        </w:rPr>
        <w:t>为健全招标投标机制，推动市场健康发展，《河南省住房</w:t>
      </w:r>
      <w:r>
        <w:rPr>
          <w:spacing w:val="-4"/>
        </w:rPr>
        <w:t>和城</w:t>
      </w:r>
      <w:r>
        <w:rPr/>
        <w:t xml:space="preserve">   </w:t>
      </w:r>
      <w:r>
        <w:rPr>
          <w:spacing w:val="10"/>
        </w:rPr>
        <w:t>乡建设厅关于房屋建筑和市政基础设施工程实施招标投标“评定</w:t>
      </w:r>
      <w:r>
        <w:rPr>
          <w:spacing w:val="3"/>
        </w:rPr>
        <w:t xml:space="preserve">   </w:t>
      </w:r>
      <w:r>
        <w:rPr>
          <w:spacing w:val="15"/>
        </w:rPr>
        <w:t>分离”的通知》(豫建市〔2025〕146号</w:t>
      </w:r>
      <w:r>
        <w:rPr>
          <w:spacing w:val="14"/>
        </w:rPr>
        <w:t>)提出“各级住房城乡建</w:t>
      </w:r>
      <w:r>
        <w:rPr/>
        <w:t xml:space="preserve">   </w:t>
      </w:r>
      <w:r>
        <w:rPr>
          <w:spacing w:val="12"/>
        </w:rPr>
        <w:t>设主管部门要高度重视房屋建筑和市政基础设施工程</w:t>
      </w:r>
      <w:r>
        <w:rPr>
          <w:spacing w:val="11"/>
        </w:rPr>
        <w:t>“评定分离”</w:t>
      </w:r>
    </w:p>
    <w:p>
      <w:pPr>
        <w:pStyle w:val="BodyText"/>
        <w:ind w:right="1264"/>
        <w:spacing w:before="4" w:line="307" w:lineRule="auto"/>
        <w:jc w:val="right"/>
        <w:rPr>
          <w:rFonts w:ascii="SimSun" w:hAnsi="SimSun" w:eastAsia="SimSun" w:cs="SimSun"/>
          <w:sz w:val="19"/>
          <w:szCs w:val="19"/>
        </w:rPr>
      </w:pPr>
      <w:r>
        <w:rPr/>
        <w:t>实施，依法履行监管责任，健全工作落实机制”。同时，为整治和</w:t>
      </w:r>
      <w:r>
        <w:rPr>
          <w:spacing w:val="1"/>
        </w:rPr>
        <w:t xml:space="preserve"> </w:t>
      </w:r>
      <w:r>
        <w:rPr>
          <w:spacing w:val="11"/>
        </w:rPr>
        <w:t>净化招投标市场环境，2024年，省纪委监委、省公安厅《关于印</w:t>
      </w:r>
      <w:r>
        <w:rPr>
          <w:spacing w:val="6"/>
        </w:rPr>
        <w:t xml:space="preserve"> </w:t>
      </w:r>
      <w:r>
        <w:rPr>
          <w:spacing w:val="10"/>
        </w:rPr>
        <w:t>发〈严厉打击工程项目招标投标领域腐败和违法犯罪专项行动工</w:t>
      </w:r>
      <w:r>
        <w:rPr>
          <w:spacing w:val="8"/>
        </w:rPr>
        <w:t xml:space="preserve"> </w:t>
      </w:r>
      <w:r>
        <w:rPr>
          <w:spacing w:val="14"/>
        </w:rPr>
        <w:t>作方案〉的通知》(豫纪发〔2024〕5号)和市纪委监委、市公安</w:t>
      </w:r>
      <w:r>
        <w:rPr>
          <w:spacing w:val="4"/>
        </w:rPr>
        <w:t xml:space="preserve"> </w:t>
      </w:r>
      <w:r>
        <w:rPr>
          <w:spacing w:val="10"/>
        </w:rPr>
        <w:t>局《关于开展严厉打击工程项目招标投标领域腐败和违法犯罪专</w:t>
      </w:r>
      <w:r>
        <w:rPr>
          <w:spacing w:val="12"/>
        </w:rPr>
        <w:t xml:space="preserve"> </w:t>
      </w:r>
      <w:r>
        <w:rPr>
          <w:spacing w:val="14"/>
        </w:rPr>
        <w:t>项行动的通知》(信纪发〔2024〕2号)在全省、全市开展为期一</w:t>
      </w:r>
      <w:r>
        <w:rPr>
          <w:spacing w:val="9"/>
        </w:rPr>
        <w:t xml:space="preserve"> </w:t>
      </w:r>
      <w:r>
        <w:rPr>
          <w:rFonts w:ascii="SimSun" w:hAnsi="SimSun" w:eastAsia="SimSun" w:cs="SimSun"/>
          <w:sz w:val="19"/>
          <w:szCs w:val="19"/>
          <w:spacing w:val="-9"/>
        </w:rPr>
        <w:t>—1—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5048270</wp:posOffset>
            </wp:positionH>
            <wp:positionV relativeFrom="paragraph">
              <wp:posOffset>167747</wp:posOffset>
            </wp:positionV>
            <wp:extent cx="393693" cy="393624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3693" cy="393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before="63"/>
        <w:jc w:val="right"/>
        <w:rPr>
          <w:rFonts w:ascii="SimHei" w:hAnsi="SimHei" w:eastAsia="SimHei" w:cs="SimHei"/>
          <w:sz w:val="19"/>
          <w:szCs w:val="19"/>
        </w:rPr>
      </w:pPr>
      <w:r>
        <w:rPr>
          <w:rFonts w:ascii="SimHei" w:hAnsi="SimHei" w:eastAsia="SimHei" w:cs="SimHei"/>
          <w:sz w:val="19"/>
          <w:szCs w:val="19"/>
          <w:position w:val="-5"/>
        </w:rPr>
        <w:drawing>
          <wp:inline distT="0" distB="0" distL="0" distR="0">
            <wp:extent cx="228584" cy="222315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8584" cy="22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Hei" w:hAnsi="SimHei" w:eastAsia="SimHei" w:cs="SimHei"/>
          <w:sz w:val="19"/>
          <w:szCs w:val="19"/>
          <w:b/>
          <w:bCs/>
          <w:spacing w:val="13"/>
        </w:rPr>
        <w:t>扫描全能王</w:t>
      </w:r>
    </w:p>
    <w:p>
      <w:pPr>
        <w:ind w:left="8649"/>
        <w:spacing w:before="36" w:line="217" w:lineRule="auto"/>
        <w:rPr>
          <w:rFonts w:ascii="SimSun" w:hAnsi="SimSun" w:eastAsia="SimSun" w:cs="SimSun"/>
          <w:sz w:val="13"/>
          <w:szCs w:val="13"/>
        </w:rPr>
      </w:pPr>
      <w:r>
        <w:rPr>
          <w:rFonts w:ascii="SimHei" w:hAnsi="SimHei" w:eastAsia="SimHei" w:cs="SimHei"/>
          <w:sz w:val="13"/>
          <w:szCs w:val="13"/>
          <w:spacing w:val="2"/>
        </w:rPr>
        <w:t>3亿人都在用的扫描</w:t>
      </w:r>
      <w:r>
        <w:rPr>
          <w:rFonts w:ascii="SimSun" w:hAnsi="SimSun" w:eastAsia="SimSun" w:cs="SimSun"/>
          <w:sz w:val="13"/>
          <w:szCs w:val="13"/>
        </w:rPr>
        <w:t>App</w:t>
      </w:r>
    </w:p>
    <w:p>
      <w:pPr>
        <w:spacing w:line="217" w:lineRule="auto"/>
        <w:sectPr>
          <w:pgSz w:w="11900" w:h="16840"/>
          <w:pgMar w:top="1288" w:right="330" w:bottom="0" w:left="1549" w:header="0" w:footer="0" w:gutter="0"/>
        </w:sectPr>
        <w:rPr>
          <w:rFonts w:ascii="SimSun" w:hAnsi="SimSun" w:eastAsia="SimSun" w:cs="SimSun"/>
          <w:sz w:val="13"/>
          <w:szCs w:val="13"/>
        </w:rPr>
      </w:pPr>
    </w:p>
    <w:p>
      <w:pPr>
        <w:pStyle w:val="BodyText"/>
        <w:ind w:right="1299"/>
        <w:spacing w:before="91" w:line="307" w:lineRule="auto"/>
        <w:jc w:val="both"/>
        <w:rPr/>
      </w:pPr>
      <w:r>
        <w:rPr>
          <w:spacing w:val="5"/>
        </w:rPr>
        <w:t>年的工程项目招投标领域腐败和违法犯罪问题专项整治，要求各</w:t>
      </w:r>
      <w:r>
        <w:rPr/>
        <w:t xml:space="preserve"> </w:t>
      </w:r>
      <w:r>
        <w:rPr>
          <w:spacing w:val="2"/>
        </w:rPr>
        <w:t>地探索创新招投标模式，抓紧出台“评定分离”相关政策。5月，</w:t>
      </w:r>
      <w:r>
        <w:rPr>
          <w:spacing w:val="10"/>
        </w:rPr>
        <w:t xml:space="preserve"> </w:t>
      </w:r>
      <w:r>
        <w:rPr>
          <w:spacing w:val="5"/>
        </w:rPr>
        <w:t>市发改委牵头出台了《信阳市发改委等部门关于印发信阳市政府</w:t>
      </w:r>
      <w:r>
        <w:rPr>
          <w:spacing w:val="4"/>
        </w:rPr>
        <w:t xml:space="preserve"> </w:t>
      </w:r>
      <w:r>
        <w:rPr>
          <w:spacing w:val="16"/>
        </w:rPr>
        <w:t>投资工程建设项目招标投标“评定分离”规范指引(试行)的通</w:t>
      </w:r>
      <w:r>
        <w:rPr>
          <w:spacing w:val="14"/>
        </w:rPr>
        <w:t xml:space="preserve"> </w:t>
      </w:r>
      <w:r>
        <w:rPr>
          <w:spacing w:val="16"/>
        </w:rPr>
        <w:t>知》(信发改公管〔2025〕116号);8月21</w:t>
      </w:r>
      <w:r>
        <w:rPr>
          <w:spacing w:val="-52"/>
        </w:rPr>
        <w:t xml:space="preserve"> </w:t>
      </w:r>
      <w:r>
        <w:rPr>
          <w:spacing w:val="16"/>
        </w:rPr>
        <w:t>日，市公共资源交易</w:t>
      </w:r>
      <w:r>
        <w:rPr/>
        <w:t xml:space="preserve"> </w:t>
      </w:r>
      <w:r>
        <w:rPr>
          <w:spacing w:val="6"/>
        </w:rPr>
        <w:t>中心通知“即日起，全市政府投资工程建设项目招标</w:t>
      </w:r>
      <w:r>
        <w:rPr>
          <w:spacing w:val="5"/>
        </w:rPr>
        <w:t>投标活动一</w:t>
      </w:r>
      <w:r>
        <w:rPr/>
        <w:t xml:space="preserve"> </w:t>
      </w:r>
      <w:r>
        <w:rPr>
          <w:spacing w:val="-4"/>
        </w:rPr>
        <w:t>律采用‘评定分离方式’方式”。实行“评定分离”招标模式是招</w:t>
      </w:r>
      <w:r>
        <w:rPr>
          <w:spacing w:val="15"/>
        </w:rPr>
        <w:t xml:space="preserve"> </w:t>
      </w:r>
      <w:r>
        <w:rPr>
          <w:spacing w:val="6"/>
        </w:rPr>
        <w:t>投标领域深化改革的大势所趋，是行业专项整治的</w:t>
      </w:r>
      <w:r>
        <w:rPr>
          <w:spacing w:val="5"/>
        </w:rPr>
        <w:t>任务要求，出</w:t>
      </w:r>
      <w:r>
        <w:rPr/>
        <w:t xml:space="preserve"> </w:t>
      </w:r>
      <w:r>
        <w:rPr>
          <w:spacing w:val="-1"/>
        </w:rPr>
        <w:t>台实施细则势在必行。</w:t>
      </w:r>
    </w:p>
    <w:p>
      <w:pPr>
        <w:ind w:left="624"/>
        <w:spacing w:before="35" w:line="222" w:lineRule="auto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6"/>
        </w:rPr>
        <w:t>二、重要意义</w:t>
      </w:r>
    </w:p>
    <w:p>
      <w:pPr>
        <w:pStyle w:val="BodyText"/>
        <w:ind w:right="1359" w:firstLine="619"/>
        <w:spacing w:before="131" w:line="305" w:lineRule="auto"/>
        <w:jc w:val="both"/>
        <w:rPr/>
      </w:pPr>
      <w:r>
        <w:rPr>
          <w:spacing w:val="4"/>
        </w:rPr>
        <w:t>推行“评定分离”是招标投标领域一项重要的机制创新，对</w:t>
      </w:r>
      <w:r>
        <w:rPr>
          <w:spacing w:val="15"/>
        </w:rPr>
        <w:t xml:space="preserve"> </w:t>
      </w:r>
      <w:r>
        <w:rPr>
          <w:spacing w:val="4"/>
        </w:rPr>
        <w:t>于优化营商环境，构建权责统一、竞争有序、优质优价的工程建</w:t>
      </w:r>
      <w:r>
        <w:rPr>
          <w:spacing w:val="7"/>
        </w:rPr>
        <w:t xml:space="preserve"> </w:t>
      </w:r>
      <w:r>
        <w:rPr>
          <w:spacing w:val="5"/>
        </w:rPr>
        <w:t>设市场体系具有深远意义。通过评标权与定标权分离，推动落实</w:t>
      </w:r>
      <w:r>
        <w:rPr>
          <w:spacing w:val="5"/>
        </w:rPr>
        <w:t xml:space="preserve"> </w:t>
      </w:r>
      <w:r>
        <w:rPr>
          <w:spacing w:val="5"/>
        </w:rPr>
        <w:t>招标人主体责任，改变传统模式下评标专家“权责不对等”的困</w:t>
      </w:r>
      <w:r>
        <w:rPr>
          <w:spacing w:val="18"/>
        </w:rPr>
        <w:t xml:space="preserve"> </w:t>
      </w:r>
      <w:r>
        <w:rPr>
          <w:spacing w:val="5"/>
        </w:rPr>
        <w:t>局，督促招标人建立健全科学、民主、透明的决策机制和内控制</w:t>
      </w:r>
      <w:r>
        <w:rPr>
          <w:spacing w:val="16"/>
        </w:rPr>
        <w:t xml:space="preserve"> </w:t>
      </w:r>
      <w:r>
        <w:rPr>
          <w:spacing w:val="5"/>
        </w:rPr>
        <w:t>度，推动投标人从价格竞争向技术、信用、服务等综合实力竞争</w:t>
      </w:r>
      <w:r>
        <w:rPr>
          <w:spacing w:val="6"/>
        </w:rPr>
        <w:t xml:space="preserve"> </w:t>
      </w:r>
      <w:r>
        <w:rPr>
          <w:spacing w:val="5"/>
        </w:rPr>
        <w:t>转型，有效防范廉政风险，抑制招标活动利益输送，压缩权力寻</w:t>
      </w:r>
      <w:r>
        <w:rPr>
          <w:spacing w:val="1"/>
        </w:rPr>
        <w:t xml:space="preserve"> </w:t>
      </w:r>
      <w:r>
        <w:rPr>
          <w:spacing w:val="-1"/>
        </w:rPr>
        <w:t>租空间，构建阳光交易生态。</w:t>
      </w:r>
    </w:p>
    <w:p>
      <w:pPr>
        <w:ind w:left="624"/>
        <w:spacing w:before="1" w:line="220" w:lineRule="auto"/>
        <w:outlineLvl w:val="2"/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b/>
          <w:bCs/>
          <w:spacing w:val="1"/>
        </w:rPr>
        <w:t>三、编制依据</w:t>
      </w:r>
    </w:p>
    <w:p>
      <w:pPr>
        <w:ind w:left="819"/>
        <w:spacing w:before="121" w:line="224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spacing w:val="22"/>
        </w:rPr>
        <w:t>(一)法律法规</w:t>
      </w:r>
    </w:p>
    <w:p>
      <w:pPr>
        <w:pStyle w:val="BodyText"/>
        <w:ind w:left="99" w:right="1307" w:firstLine="559"/>
        <w:spacing w:before="131" w:line="307" w:lineRule="auto"/>
        <w:jc w:val="both"/>
        <w:rPr/>
      </w:pPr>
      <w:r>
        <w:rPr>
          <w:spacing w:val="-7"/>
        </w:rPr>
        <w:t>《中华人民共和国招标投标法》《中华人民共和国招标投标法</w:t>
      </w:r>
      <w:r>
        <w:rPr>
          <w:spacing w:val="18"/>
        </w:rPr>
        <w:t xml:space="preserve"> </w:t>
      </w:r>
      <w:r>
        <w:rPr>
          <w:spacing w:val="4"/>
        </w:rPr>
        <w:t>实施条例》等国家法律法规，为实施细则提供法律依据和原</w:t>
      </w:r>
      <w:r>
        <w:rPr>
          <w:spacing w:val="3"/>
        </w:rPr>
        <w:t>则框</w:t>
      </w:r>
      <w:r>
        <w:rPr/>
        <w:t xml:space="preserve"> </w:t>
      </w:r>
      <w:r>
        <w:rPr>
          <w:spacing w:val="-11"/>
        </w:rPr>
        <w:t>架。</w:t>
      </w:r>
    </w:p>
    <w:p>
      <w:pPr>
        <w:ind w:left="870"/>
        <w:spacing w:line="224" w:lineRule="auto"/>
        <w:rPr>
          <w:rFonts w:ascii="KaiTi" w:hAnsi="KaiTi" w:eastAsia="KaiTi" w:cs="KaiTi"/>
          <w:sz w:val="30"/>
          <w:szCs w:val="30"/>
        </w:rPr>
      </w:pPr>
      <w:r>
        <w:rPr>
          <w:rFonts w:ascii="KaiTi" w:hAnsi="KaiTi" w:eastAsia="KaiTi" w:cs="KaiTi"/>
          <w:sz w:val="30"/>
          <w:szCs w:val="30"/>
          <w:spacing w:val="10"/>
        </w:rPr>
        <w:t>(二)部门和地方规定</w:t>
      </w:r>
    </w:p>
    <w:p>
      <w:pPr>
        <w:pStyle w:val="BodyText"/>
        <w:ind w:left="99" w:right="1270" w:firstLine="620"/>
        <w:spacing w:before="118" w:line="308" w:lineRule="auto"/>
        <w:jc w:val="both"/>
        <w:rPr>
          <w:rFonts w:ascii="Times New Roman" w:hAnsi="Times New Roman" w:eastAsia="Times New Roman" w:cs="Times New Roman"/>
          <w:sz w:val="19"/>
          <w:szCs w:val="19"/>
        </w:rPr>
      </w:pPr>
      <w:r>
        <w:rPr>
          <w:spacing w:val="16"/>
        </w:rPr>
        <w:t>《住房和城乡建设部关于进一步加强房屋建</w:t>
      </w:r>
      <w:r>
        <w:rPr>
          <w:spacing w:val="15"/>
        </w:rPr>
        <w:t>筑和市政基础</w:t>
      </w:r>
      <w:r>
        <w:rPr/>
        <w:t xml:space="preserve"> </w:t>
      </w:r>
      <w:r>
        <w:rPr>
          <w:spacing w:val="5"/>
        </w:rPr>
        <w:t>设施工程招标投标监管的指导意见》(建市</w:t>
      </w:r>
      <w:r>
        <w:rPr>
          <w:spacing w:val="4"/>
        </w:rPr>
        <w:t>规〔2019〕11号)“探</w:t>
      </w:r>
      <w:r>
        <w:rPr/>
        <w:t xml:space="preserve"> </w:t>
      </w:r>
      <w:r>
        <w:rPr>
          <w:rFonts w:ascii="SimSun" w:hAnsi="SimSun" w:eastAsia="SimSun" w:cs="SimSun"/>
          <w:sz w:val="19"/>
          <w:szCs w:val="19"/>
          <w:spacing w:val="-5"/>
          <w:w w:val="51"/>
        </w:rPr>
        <w:t>—</w:t>
      </w:r>
      <w:r>
        <w:rPr>
          <w:rFonts w:ascii="SimSun" w:hAnsi="SimSun" w:eastAsia="SimSun" w:cs="SimSun"/>
          <w:sz w:val="19"/>
          <w:szCs w:val="19"/>
          <w:spacing w:val="-27"/>
        </w:rPr>
        <w:t xml:space="preserve"> </w:t>
      </w:r>
      <w:r>
        <w:rPr>
          <w:rFonts w:ascii="Times New Roman" w:hAnsi="Times New Roman" w:eastAsia="Times New Roman" w:cs="Times New Roman"/>
          <w:sz w:val="19"/>
          <w:szCs w:val="19"/>
          <w:spacing w:val="-2"/>
        </w:rPr>
        <w:t>2—</w:t>
      </w:r>
    </w:p>
    <w:p>
      <w:pPr>
        <w:spacing w:line="308" w:lineRule="auto"/>
        <w:sectPr>
          <w:footerReference w:type="default" r:id="rId3"/>
          <w:pgSz w:w="11900" w:h="16840"/>
          <w:pgMar w:top="1431" w:right="310" w:bottom="789" w:left="1670" w:header="0" w:footer="225" w:gutter="0"/>
        </w:sectPr>
        <w:rPr>
          <w:rFonts w:ascii="Times New Roman" w:hAnsi="Times New Roman" w:eastAsia="Times New Roman" w:cs="Times New Roman"/>
          <w:sz w:val="19"/>
          <w:szCs w:val="19"/>
        </w:rPr>
      </w:pPr>
    </w:p>
    <w:p>
      <w:pPr>
        <w:pStyle w:val="BodyText"/>
        <w:ind w:right="1464"/>
        <w:spacing w:before="66" w:line="306" w:lineRule="auto"/>
        <w:rPr>
          <w:sz w:val="29"/>
          <w:szCs w:val="29"/>
        </w:rPr>
      </w:pPr>
      <w:r>
        <w:rPr>
          <w:sz w:val="29"/>
          <w:szCs w:val="29"/>
          <w:spacing w:val="23"/>
        </w:rPr>
        <w:t>索推进评定分离方法。由招标人……根据报价情况和技术咨询</w:t>
      </w:r>
      <w:r>
        <w:rPr>
          <w:sz w:val="29"/>
          <w:szCs w:val="29"/>
          <w:spacing w:val="12"/>
        </w:rPr>
        <w:t xml:space="preserve"> </w:t>
      </w:r>
      <w:r>
        <w:rPr>
          <w:sz w:val="29"/>
          <w:szCs w:val="29"/>
          <w:spacing w:val="6"/>
        </w:rPr>
        <w:t>建议，择优确定中标人”。</w:t>
      </w:r>
    </w:p>
    <w:p>
      <w:pPr>
        <w:pStyle w:val="BodyText"/>
        <w:ind w:right="1404" w:firstLine="604"/>
        <w:spacing w:line="321" w:lineRule="auto"/>
        <w:rPr>
          <w:sz w:val="29"/>
          <w:szCs w:val="29"/>
        </w:rPr>
      </w:pPr>
      <w:r>
        <w:rPr>
          <w:sz w:val="29"/>
          <w:szCs w:val="29"/>
          <w:spacing w:val="13"/>
        </w:rPr>
        <w:t>《河南省政府投资工程建设项目招标投标“评定分离”管理</w:t>
      </w:r>
      <w:r>
        <w:rPr>
          <w:sz w:val="29"/>
          <w:szCs w:val="29"/>
          <w:spacing w:val="6"/>
        </w:rPr>
        <w:t xml:space="preserve"> </w:t>
      </w:r>
      <w:r>
        <w:rPr>
          <w:sz w:val="29"/>
          <w:szCs w:val="29"/>
          <w:spacing w:val="25"/>
        </w:rPr>
        <w:t>办法(试行)》(豫发改公管规〔2025〕55</w:t>
      </w:r>
      <w:r>
        <w:rPr>
          <w:sz w:val="29"/>
          <w:szCs w:val="29"/>
          <w:spacing w:val="24"/>
        </w:rPr>
        <w:t>9号),7月16日施行。</w:t>
      </w:r>
    </w:p>
    <w:p>
      <w:pPr>
        <w:pStyle w:val="BodyText"/>
        <w:ind w:right="1421" w:firstLine="624"/>
        <w:spacing w:before="3" w:line="311" w:lineRule="auto"/>
        <w:rPr>
          <w:sz w:val="29"/>
          <w:szCs w:val="29"/>
        </w:rPr>
      </w:pPr>
      <w:r>
        <w:rPr>
          <w:sz w:val="29"/>
          <w:szCs w:val="29"/>
          <w:spacing w:val="12"/>
        </w:rPr>
        <w:t>《河南省住房和城乡建设厅关于房屋建筑和市政基础设施工</w:t>
      </w:r>
      <w:r>
        <w:rPr>
          <w:sz w:val="29"/>
          <w:szCs w:val="29"/>
          <w:spacing w:val="11"/>
        </w:rPr>
        <w:t xml:space="preserve"> </w:t>
      </w:r>
      <w:r>
        <w:rPr>
          <w:sz w:val="29"/>
          <w:szCs w:val="29"/>
          <w:spacing w:val="12"/>
        </w:rPr>
        <w:t>程实施招标投标“评定分离”的通知》(豫建市〔2</w:t>
      </w:r>
      <w:r>
        <w:rPr>
          <w:sz w:val="29"/>
          <w:szCs w:val="29"/>
          <w:spacing w:val="11"/>
        </w:rPr>
        <w:t>025〕146号),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38"/>
        </w:rPr>
        <w:t>8月10日施行。</w:t>
      </w:r>
    </w:p>
    <w:p>
      <w:pPr>
        <w:ind w:left="824"/>
        <w:spacing w:before="38" w:line="227" w:lineRule="auto"/>
        <w:outlineLvl w:val="2"/>
        <w:rPr>
          <w:rFonts w:ascii="KaiTi" w:hAnsi="KaiTi" w:eastAsia="KaiTi" w:cs="KaiTi"/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b/>
          <w:bCs/>
          <w:spacing w:val="19"/>
        </w:rPr>
        <w:t>(三)市级规范性文件</w:t>
      </w:r>
    </w:p>
    <w:p>
      <w:pPr>
        <w:pStyle w:val="BodyText"/>
        <w:ind w:left="49" w:right="1370" w:firstLine="624"/>
        <w:spacing w:before="124" w:line="312" w:lineRule="auto"/>
        <w:jc w:val="both"/>
        <w:rPr>
          <w:sz w:val="29"/>
          <w:szCs w:val="29"/>
        </w:rPr>
      </w:pPr>
      <w:r>
        <w:rPr>
          <w:sz w:val="29"/>
          <w:szCs w:val="29"/>
          <w:spacing w:val="24"/>
        </w:rPr>
        <w:t>《信阳市发改委等部门关于印发信阳市政府投资工程建设</w:t>
      </w:r>
      <w:r>
        <w:rPr>
          <w:sz w:val="29"/>
          <w:szCs w:val="29"/>
          <w:spacing w:val="14"/>
        </w:rPr>
        <w:t xml:space="preserve"> </w:t>
      </w:r>
      <w:r>
        <w:rPr>
          <w:sz w:val="29"/>
          <w:szCs w:val="29"/>
          <w:spacing w:val="29"/>
        </w:rPr>
        <w:t>项目招标投标“评定分离”规范指引(试行)的通知》(信发改</w:t>
      </w:r>
      <w:r>
        <w:rPr>
          <w:sz w:val="29"/>
          <w:szCs w:val="29"/>
          <w:spacing w:val="10"/>
        </w:rPr>
        <w:t xml:space="preserve"> </w:t>
      </w:r>
      <w:r>
        <w:rPr>
          <w:sz w:val="29"/>
          <w:szCs w:val="29"/>
          <w:spacing w:val="32"/>
        </w:rPr>
        <w:t>公管〔2025〕116号),5月16日施行。</w:t>
      </w:r>
    </w:p>
    <w:p>
      <w:pPr>
        <w:ind w:left="694"/>
        <w:spacing w:before="11" w:line="222" w:lineRule="auto"/>
        <w:outlineLvl w:val="2"/>
        <w:rPr>
          <w:rFonts w:ascii="SimHei" w:hAnsi="SimHei" w:eastAsia="SimHei" w:cs="SimHei"/>
          <w:sz w:val="29"/>
          <w:szCs w:val="29"/>
        </w:rPr>
      </w:pPr>
      <w:r>
        <w:rPr>
          <w:rFonts w:ascii="SimHei" w:hAnsi="SimHei" w:eastAsia="SimHei" w:cs="SimHei"/>
          <w:sz w:val="29"/>
          <w:szCs w:val="29"/>
          <w:b/>
          <w:bCs/>
          <w:spacing w:val="7"/>
        </w:rPr>
        <w:t>四、主要内容</w:t>
      </w:r>
    </w:p>
    <w:p>
      <w:pPr>
        <w:pStyle w:val="BodyText"/>
        <w:ind w:left="49" w:right="1407" w:firstLine="769"/>
        <w:spacing w:before="139" w:line="287" w:lineRule="auto"/>
        <w:rPr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4"/>
        </w:rPr>
        <w:t>(</w:t>
      </w:r>
      <w:r>
        <w:rPr>
          <w:rFonts w:ascii="KaiTi" w:hAnsi="KaiTi" w:eastAsia="KaiTi" w:cs="KaiTi"/>
          <w:sz w:val="29"/>
          <w:szCs w:val="29"/>
          <w:spacing w:val="-49"/>
        </w:rPr>
        <w:t xml:space="preserve"> </w:t>
      </w:r>
      <w:r>
        <w:rPr>
          <w:rFonts w:ascii="KaiTi" w:hAnsi="KaiTi" w:eastAsia="KaiTi" w:cs="KaiTi"/>
          <w:sz w:val="29"/>
          <w:szCs w:val="29"/>
          <w:spacing w:val="4"/>
        </w:rPr>
        <w:t>一</w:t>
      </w:r>
      <w:r>
        <w:rPr>
          <w:rFonts w:ascii="KaiTi" w:hAnsi="KaiTi" w:eastAsia="KaiTi" w:cs="KaiTi"/>
          <w:sz w:val="29"/>
          <w:szCs w:val="29"/>
          <w:spacing w:val="-68"/>
        </w:rPr>
        <w:t xml:space="preserve"> </w:t>
      </w:r>
      <w:r>
        <w:rPr>
          <w:rFonts w:ascii="KaiTi" w:hAnsi="KaiTi" w:eastAsia="KaiTi" w:cs="KaiTi"/>
          <w:sz w:val="29"/>
          <w:szCs w:val="29"/>
          <w:spacing w:val="4"/>
        </w:rPr>
        <w:t>)</w:t>
      </w:r>
      <w:r>
        <w:rPr>
          <w:rFonts w:ascii="KaiTi" w:hAnsi="KaiTi" w:eastAsia="KaiTi" w:cs="KaiTi"/>
          <w:sz w:val="29"/>
          <w:szCs w:val="29"/>
          <w:spacing w:val="-60"/>
        </w:rPr>
        <w:t xml:space="preserve"> </w:t>
      </w:r>
      <w:r>
        <w:rPr>
          <w:rFonts w:ascii="KaiTi" w:hAnsi="KaiTi" w:eastAsia="KaiTi" w:cs="KaiTi"/>
          <w:sz w:val="29"/>
          <w:szCs w:val="29"/>
          <w:spacing w:val="4"/>
        </w:rPr>
        <w:t>适</w:t>
      </w:r>
      <w:r>
        <w:rPr>
          <w:rFonts w:ascii="KaiTi" w:hAnsi="KaiTi" w:eastAsia="KaiTi" w:cs="KaiTi"/>
          <w:sz w:val="29"/>
          <w:szCs w:val="29"/>
          <w:spacing w:val="-42"/>
        </w:rPr>
        <w:t xml:space="preserve"> </w:t>
      </w:r>
      <w:r>
        <w:rPr>
          <w:rFonts w:ascii="KaiTi" w:hAnsi="KaiTi" w:eastAsia="KaiTi" w:cs="KaiTi"/>
          <w:sz w:val="29"/>
          <w:szCs w:val="29"/>
          <w:spacing w:val="4"/>
        </w:rPr>
        <w:t>用</w:t>
      </w:r>
      <w:r>
        <w:rPr>
          <w:rFonts w:ascii="KaiTi" w:hAnsi="KaiTi" w:eastAsia="KaiTi" w:cs="KaiTi"/>
          <w:sz w:val="29"/>
          <w:szCs w:val="29"/>
          <w:spacing w:val="-46"/>
        </w:rPr>
        <w:t xml:space="preserve"> </w:t>
      </w:r>
      <w:r>
        <w:rPr>
          <w:rFonts w:ascii="KaiTi" w:hAnsi="KaiTi" w:eastAsia="KaiTi" w:cs="KaiTi"/>
          <w:sz w:val="29"/>
          <w:szCs w:val="29"/>
          <w:spacing w:val="4"/>
        </w:rPr>
        <w:t>范</w:t>
      </w:r>
      <w:r>
        <w:rPr>
          <w:rFonts w:ascii="KaiTi" w:hAnsi="KaiTi" w:eastAsia="KaiTi" w:cs="KaiTi"/>
          <w:sz w:val="29"/>
          <w:szCs w:val="29"/>
          <w:spacing w:val="-26"/>
        </w:rPr>
        <w:t xml:space="preserve"> </w:t>
      </w:r>
      <w:r>
        <w:rPr>
          <w:rFonts w:ascii="KaiTi" w:hAnsi="KaiTi" w:eastAsia="KaiTi" w:cs="KaiTi"/>
          <w:sz w:val="29"/>
          <w:szCs w:val="29"/>
          <w:spacing w:val="4"/>
        </w:rPr>
        <w:t>围</w:t>
      </w:r>
      <w:r>
        <w:rPr>
          <w:sz w:val="29"/>
          <w:szCs w:val="29"/>
          <w:spacing w:val="4"/>
        </w:rPr>
        <w:t>：</w:t>
      </w:r>
      <w:r>
        <w:rPr>
          <w:sz w:val="29"/>
          <w:szCs w:val="29"/>
          <w:spacing w:val="-84"/>
        </w:rPr>
        <w:t xml:space="preserve"> </w:t>
      </w:r>
      <w:r>
        <w:rPr>
          <w:sz w:val="29"/>
          <w:szCs w:val="29"/>
          <w:spacing w:val="4"/>
        </w:rPr>
        <w:t>在我市行政区域内政府投资房屋建筑和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23"/>
        </w:rPr>
        <w:t>市政基础设施工程建设项目，原则上应采用“评定分离”模式</w:t>
      </w:r>
      <w:r>
        <w:rPr>
          <w:sz w:val="29"/>
          <w:szCs w:val="29"/>
          <w:spacing w:val="17"/>
        </w:rPr>
        <w:t xml:space="preserve"> </w:t>
      </w:r>
      <w:r>
        <w:rPr>
          <w:sz w:val="29"/>
          <w:szCs w:val="29"/>
          <w:spacing w:val="18"/>
        </w:rPr>
        <w:t>组织招标。</w:t>
      </w:r>
    </w:p>
    <w:p>
      <w:pPr>
        <w:pStyle w:val="BodyText"/>
        <w:ind w:left="49" w:right="1370" w:firstLine="769"/>
        <w:spacing w:before="107" w:line="290" w:lineRule="auto"/>
        <w:rPr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19"/>
        </w:rPr>
        <w:t>(二)评标程序</w:t>
      </w:r>
      <w:r>
        <w:rPr>
          <w:sz w:val="29"/>
          <w:szCs w:val="29"/>
          <w:spacing w:val="19"/>
        </w:rPr>
        <w:t>：评标委员会否决不合格投</w:t>
      </w:r>
      <w:r>
        <w:rPr>
          <w:sz w:val="29"/>
          <w:szCs w:val="29"/>
          <w:spacing w:val="18"/>
        </w:rPr>
        <w:t>标后，确定有效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14"/>
        </w:rPr>
        <w:t>投标人，对有效投标人的投标文件进行评标，出具评</w:t>
      </w:r>
      <w:r>
        <w:rPr>
          <w:sz w:val="29"/>
          <w:szCs w:val="29"/>
          <w:spacing w:val="13"/>
        </w:rPr>
        <w:t>标报告。评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6"/>
        </w:rPr>
        <w:t>标采用定性评审方式，不对投标文件打分。</w:t>
      </w:r>
    </w:p>
    <w:p>
      <w:pPr>
        <w:pStyle w:val="BodyText"/>
        <w:ind w:left="49" w:right="1368" w:firstLine="769"/>
        <w:spacing w:before="143" w:line="291" w:lineRule="auto"/>
        <w:rPr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19"/>
        </w:rPr>
        <w:t>(三)定标程序</w:t>
      </w:r>
      <w:r>
        <w:rPr>
          <w:sz w:val="29"/>
          <w:szCs w:val="29"/>
          <w:spacing w:val="19"/>
        </w:rPr>
        <w:t>：定标委员会对中标候选人进行</w:t>
      </w:r>
      <w:r>
        <w:rPr>
          <w:sz w:val="29"/>
          <w:szCs w:val="29"/>
          <w:spacing w:val="18"/>
        </w:rPr>
        <w:t>核查后，组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14"/>
        </w:rPr>
        <w:t>织召开定标会议，可采用票决法、集体议事法、核查随机</w:t>
      </w:r>
      <w:r>
        <w:rPr>
          <w:sz w:val="29"/>
          <w:szCs w:val="29"/>
          <w:spacing w:val="13"/>
        </w:rPr>
        <w:t>法或其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7"/>
        </w:rPr>
        <w:t>他方法定标。</w:t>
      </w:r>
    </w:p>
    <w:p>
      <w:pPr>
        <w:pStyle w:val="BodyText"/>
        <w:ind w:left="129" w:right="1334" w:firstLine="560"/>
        <w:spacing w:before="87" w:line="323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3"/>
        </w:rPr>
        <w:t>1.</w:t>
      </w:r>
      <w:r>
        <w:rPr>
          <w:sz w:val="29"/>
          <w:szCs w:val="29"/>
          <w:spacing w:val="13"/>
        </w:rPr>
        <w:t>票决法。定标委员会在通过核查的中标候选人中，以投票</w:t>
      </w:r>
      <w:r>
        <w:rPr>
          <w:sz w:val="29"/>
          <w:szCs w:val="29"/>
          <w:spacing w:val="12"/>
        </w:rPr>
        <w:t xml:space="preserve"> </w:t>
      </w:r>
      <w:r>
        <w:rPr>
          <w:sz w:val="29"/>
          <w:szCs w:val="29"/>
          <w:spacing w:val="4"/>
        </w:rPr>
        <w:t>方式确定中标人。</w:t>
      </w:r>
    </w:p>
    <w:p>
      <w:pPr>
        <w:pStyle w:val="BodyText"/>
        <w:ind w:left="129" w:right="1293" w:firstLine="560"/>
        <w:spacing w:before="4" w:line="315" w:lineRule="auto"/>
        <w:jc w:val="both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5"/>
        </w:rPr>
        <w:t>2.</w:t>
      </w:r>
      <w:r>
        <w:rPr>
          <w:sz w:val="29"/>
          <w:szCs w:val="29"/>
          <w:spacing w:val="15"/>
        </w:rPr>
        <w:t>集体议事法。定标委员会成员集体商议</w:t>
      </w:r>
      <w:r>
        <w:rPr>
          <w:sz w:val="29"/>
          <w:szCs w:val="29"/>
          <w:spacing w:val="14"/>
        </w:rPr>
        <w:t>，各自对通过核查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14"/>
        </w:rPr>
        <w:t>的中标候选人发表意见，最终由定标委员会组长</w:t>
      </w:r>
      <w:r>
        <w:rPr>
          <w:sz w:val="29"/>
          <w:szCs w:val="29"/>
          <w:spacing w:val="13"/>
        </w:rPr>
        <w:t>综合各成员意见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2"/>
        </w:rPr>
        <w:t>确定中标人。</w:t>
      </w:r>
    </w:p>
    <w:p>
      <w:pPr>
        <w:ind w:left="8229"/>
        <w:spacing w:before="1" w:line="239" w:lineRule="auto"/>
        <w:rPr>
          <w:rFonts w:ascii="SimSun" w:hAnsi="SimSun" w:eastAsia="SimSun" w:cs="SimSun"/>
          <w:sz w:val="19"/>
          <w:szCs w:val="19"/>
        </w:rPr>
      </w:pPr>
      <w:r>
        <w:rPr>
          <w:rFonts w:ascii="SimSun" w:hAnsi="SimSun" w:eastAsia="SimSun" w:cs="SimSun"/>
          <w:sz w:val="19"/>
          <w:szCs w:val="19"/>
          <w:spacing w:val="-9"/>
        </w:rPr>
        <w:t>—3—</w:t>
      </w:r>
    </w:p>
    <w:p>
      <w:pPr>
        <w:spacing w:line="239" w:lineRule="auto"/>
        <w:sectPr>
          <w:footerReference w:type="default" r:id="rId4"/>
          <w:pgSz w:w="11900" w:h="16840"/>
          <w:pgMar w:top="1431" w:right="310" w:bottom="789" w:left="1660" w:header="0" w:footer="225" w:gutter="0"/>
        </w:sectPr>
        <w:rPr>
          <w:rFonts w:ascii="SimSun" w:hAnsi="SimSun" w:eastAsia="SimSun" w:cs="SimSun"/>
          <w:sz w:val="19"/>
          <w:szCs w:val="19"/>
        </w:rPr>
      </w:pPr>
    </w:p>
    <w:p>
      <w:pPr>
        <w:pStyle w:val="BodyText"/>
        <w:ind w:left="35" w:right="1387" w:firstLine="580"/>
        <w:spacing w:before="58" w:line="269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5"/>
        </w:rPr>
        <w:t>3.</w:t>
      </w:r>
      <w:r>
        <w:rPr>
          <w:sz w:val="29"/>
          <w:szCs w:val="29"/>
          <w:spacing w:val="15"/>
        </w:rPr>
        <w:t>核查随机法。定标委员会在通过核查的中标候选人中按照</w:t>
      </w:r>
      <w:r>
        <w:rPr>
          <w:sz w:val="29"/>
          <w:szCs w:val="29"/>
          <w:spacing w:val="2"/>
        </w:rPr>
        <w:t xml:space="preserve"> </w:t>
      </w:r>
      <w:r>
        <w:rPr>
          <w:sz w:val="29"/>
          <w:szCs w:val="29"/>
          <w:spacing w:val="6"/>
        </w:rPr>
        <w:t>随机选取方式确定中标人。</w:t>
      </w:r>
    </w:p>
    <w:p>
      <w:pPr>
        <w:pStyle w:val="BodyText"/>
        <w:ind w:left="35" w:right="1396" w:firstLine="599"/>
        <w:spacing w:before="138" w:line="268" w:lineRule="auto"/>
        <w:rPr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spacing w:val="14"/>
        </w:rPr>
        <w:t>4.</w:t>
      </w:r>
      <w:r>
        <w:rPr>
          <w:sz w:val="29"/>
          <w:szCs w:val="29"/>
          <w:spacing w:val="14"/>
        </w:rPr>
        <w:t>其他方法。招标人可结合项目特点和自身实际，本着公平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9"/>
        </w:rPr>
        <w:t>公正的原则，确定其他定标方法，并在招标文件中明</w:t>
      </w:r>
      <w:r>
        <w:rPr>
          <w:sz w:val="29"/>
          <w:szCs w:val="29"/>
          <w:spacing w:val="8"/>
        </w:rPr>
        <w:t>确。</w:t>
      </w:r>
    </w:p>
    <w:p>
      <w:pPr>
        <w:pStyle w:val="BodyText"/>
        <w:ind w:right="1354" w:firstLine="804"/>
        <w:spacing w:before="136" w:line="316" w:lineRule="auto"/>
        <w:jc w:val="both"/>
        <w:rPr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20"/>
        </w:rPr>
        <w:t>(四)组织保障</w:t>
      </w:r>
      <w:r>
        <w:rPr>
          <w:sz w:val="29"/>
          <w:szCs w:val="29"/>
          <w:spacing w:val="20"/>
        </w:rPr>
        <w:t>：明确招标人、定标委员会成员、相关工作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17"/>
        </w:rPr>
        <w:t>人员及相关部门在评定分离招投标活动中要履行职能职责，保障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11"/>
        </w:rPr>
        <w:t>“评定分离”工作实施。</w:t>
      </w:r>
    </w:p>
    <w:p>
      <w:pPr>
        <w:pStyle w:val="BodyText"/>
        <w:ind w:left="35" w:right="1312" w:firstLine="759"/>
        <w:spacing w:before="3" w:line="326" w:lineRule="auto"/>
        <w:jc w:val="both"/>
        <w:rPr>
          <w:sz w:val="29"/>
          <w:szCs w:val="29"/>
        </w:rPr>
      </w:pPr>
      <w:r>
        <w:rPr>
          <w:rFonts w:ascii="KaiTi" w:hAnsi="KaiTi" w:eastAsia="KaiTi" w:cs="KaiTi"/>
          <w:sz w:val="29"/>
          <w:szCs w:val="29"/>
          <w:spacing w:val="21"/>
        </w:rPr>
        <w:t>(五)监督和管理</w:t>
      </w:r>
      <w:r>
        <w:rPr>
          <w:sz w:val="29"/>
          <w:szCs w:val="29"/>
          <w:spacing w:val="21"/>
        </w:rPr>
        <w:t>：强调各级住房和城乡建设行政主管部门</w:t>
      </w:r>
      <w:r>
        <w:rPr>
          <w:sz w:val="29"/>
          <w:szCs w:val="29"/>
          <w:spacing w:val="3"/>
        </w:rPr>
        <w:t xml:space="preserve"> </w:t>
      </w:r>
      <w:r>
        <w:rPr>
          <w:sz w:val="29"/>
          <w:szCs w:val="29"/>
          <w:spacing w:val="17"/>
        </w:rPr>
        <w:t>应当加强对建设工程招标投标活动的监督管理，对违法违规行为</w:t>
      </w:r>
      <w:r>
        <w:rPr>
          <w:sz w:val="29"/>
          <w:szCs w:val="29"/>
          <w:spacing w:val="6"/>
        </w:rPr>
        <w:t xml:space="preserve"> </w:t>
      </w:r>
      <w:r>
        <w:rPr>
          <w:sz w:val="29"/>
          <w:szCs w:val="29"/>
          <w:spacing w:val="4"/>
        </w:rPr>
        <w:t>依法处理。</w:t>
      </w:r>
    </w:p>
    <w:p>
      <w:pPr>
        <w:spacing w:line="443" w:lineRule="auto"/>
        <w:rPr>
          <w:rFonts w:ascii="Arial"/>
          <w:sz w:val="21"/>
        </w:rPr>
      </w:pPr>
      <w:r/>
    </w:p>
    <w:p>
      <w:pPr>
        <w:pStyle w:val="BodyText"/>
        <w:ind w:left="665"/>
        <w:spacing w:before="78" w:line="222" w:lineRule="auto"/>
        <w:rPr>
          <w:sz w:val="24"/>
          <w:szCs w:val="24"/>
        </w:rPr>
      </w:pPr>
      <w:r>
        <w:rPr>
          <w:sz w:val="24"/>
          <w:szCs w:val="24"/>
          <w:spacing w:val="-14"/>
        </w:rPr>
        <w:t>附</w:t>
      </w:r>
      <w:r>
        <w:rPr>
          <w:sz w:val="24"/>
          <w:szCs w:val="24"/>
          <w:spacing w:val="-15"/>
        </w:rPr>
        <w:t xml:space="preserve"> </w:t>
      </w:r>
      <w:r>
        <w:rPr>
          <w:sz w:val="24"/>
          <w:szCs w:val="24"/>
          <w:spacing w:val="-14"/>
        </w:rPr>
        <w:t>件</w:t>
      </w:r>
      <w:r>
        <w:rPr>
          <w:sz w:val="24"/>
          <w:szCs w:val="24"/>
          <w:spacing w:val="-31"/>
        </w:rPr>
        <w:t xml:space="preserve"> </w:t>
      </w:r>
      <w:r>
        <w:rPr>
          <w:sz w:val="24"/>
          <w:szCs w:val="24"/>
          <w:spacing w:val="-14"/>
        </w:rPr>
        <w:t>：</w:t>
      </w:r>
    </w:p>
    <w:p>
      <w:pPr>
        <w:pStyle w:val="BodyText"/>
        <w:ind w:left="35" w:right="1333" w:firstLine="629"/>
        <w:spacing w:before="120" w:line="309" w:lineRule="auto"/>
        <w:rPr>
          <w:sz w:val="24"/>
          <w:szCs w:val="24"/>
        </w:rPr>
      </w:pPr>
      <w:r>
        <w:rPr>
          <w:sz w:val="29"/>
          <w:szCs w:val="29"/>
          <w:spacing w:val="9"/>
        </w:rPr>
        <w:t>1.</w:t>
      </w:r>
      <w:r>
        <w:rPr>
          <w:sz w:val="29"/>
          <w:szCs w:val="29"/>
          <w:spacing w:val="9"/>
        </w:rPr>
        <w:t xml:space="preserve"> </w:t>
      </w:r>
      <w:r>
        <w:rPr>
          <w:sz w:val="29"/>
          <w:szCs w:val="29"/>
          <w:spacing w:val="9"/>
        </w:rPr>
        <w:t>《信阳市住房和城乡建设局关于印发</w:t>
      </w:r>
      <w:r>
        <w:rPr>
          <w:sz w:val="29"/>
          <w:szCs w:val="29"/>
          <w:spacing w:val="8"/>
        </w:rPr>
        <w:t>〈信阳市房屋建筑和</w:t>
      </w:r>
      <w:r>
        <w:rPr>
          <w:sz w:val="29"/>
          <w:szCs w:val="29"/>
        </w:rPr>
        <w:t xml:space="preserve"> </w:t>
      </w:r>
      <w:r>
        <w:rPr>
          <w:sz w:val="29"/>
          <w:szCs w:val="29"/>
          <w:spacing w:val="16"/>
        </w:rPr>
        <w:t>市政基础设施工程招标投标“评定分离”实施细则(试行)</w:t>
      </w:r>
      <w:r>
        <w:rPr>
          <w:sz w:val="29"/>
          <w:szCs w:val="29"/>
          <w:spacing w:val="15"/>
        </w:rPr>
        <w:t>〉的通</w:t>
      </w:r>
      <w:r>
        <w:rPr>
          <w:sz w:val="29"/>
          <w:szCs w:val="29"/>
        </w:rPr>
        <w:t xml:space="preserve"> </w:t>
      </w:r>
      <w:r>
        <w:rPr>
          <w:sz w:val="24"/>
          <w:szCs w:val="24"/>
          <w:spacing w:val="-9"/>
        </w:rPr>
        <w:t>知</w:t>
      </w:r>
      <w:r>
        <w:rPr>
          <w:sz w:val="24"/>
          <w:szCs w:val="24"/>
          <w:spacing w:val="29"/>
        </w:rPr>
        <w:t xml:space="preserve"> </w:t>
      </w:r>
      <w:r>
        <w:rPr>
          <w:sz w:val="24"/>
          <w:szCs w:val="24"/>
          <w:spacing w:val="-9"/>
        </w:rPr>
        <w:t>》</w:t>
      </w:r>
    </w:p>
    <w:p>
      <w:pPr>
        <w:pStyle w:val="BodyText"/>
        <w:ind w:left="35" w:right="1336" w:firstLine="629"/>
        <w:spacing w:before="109" w:line="269" w:lineRule="auto"/>
        <w:rPr>
          <w:sz w:val="29"/>
          <w:szCs w:val="29"/>
        </w:rPr>
      </w:pPr>
      <w:r>
        <w:rPr>
          <w:sz w:val="29"/>
          <w:szCs w:val="29"/>
          <w:spacing w:val="4"/>
        </w:rPr>
        <w:t>2.</w:t>
      </w:r>
      <w:r>
        <w:rPr>
          <w:sz w:val="29"/>
          <w:szCs w:val="29"/>
          <w:spacing w:val="4"/>
        </w:rPr>
        <w:t xml:space="preserve"> </w:t>
      </w:r>
      <w:r>
        <w:rPr>
          <w:sz w:val="29"/>
          <w:szCs w:val="29"/>
          <w:spacing w:val="4"/>
        </w:rPr>
        <w:t>《&lt;信阳市房屋建筑和市政基础设施工程招标投标“评定分</w:t>
      </w:r>
      <w:r>
        <w:rPr>
          <w:sz w:val="29"/>
          <w:szCs w:val="29"/>
          <w:spacing w:val="2"/>
        </w:rPr>
        <w:t xml:space="preserve"> </w:t>
      </w:r>
      <w:r>
        <w:rPr>
          <w:sz w:val="29"/>
          <w:szCs w:val="29"/>
          <w:spacing w:val="16"/>
        </w:rPr>
        <w:t>离”实施细则(试行)〉征求意见情况表》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4" w:lineRule="auto"/>
        <w:rPr>
          <w:rFonts w:ascii="Arial"/>
          <w:sz w:val="21"/>
        </w:rPr>
      </w:pPr>
      <w:r/>
    </w:p>
    <w:p>
      <w:pPr>
        <w:pStyle w:val="BodyText"/>
        <w:ind w:left="4744"/>
        <w:spacing w:before="94" w:line="222" w:lineRule="auto"/>
        <w:rPr>
          <w:sz w:val="29"/>
          <w:szCs w:val="29"/>
        </w:rPr>
      </w:pPr>
      <w:r>
        <w:rPr>
          <w:sz w:val="29"/>
          <w:szCs w:val="29"/>
          <w:spacing w:val="41"/>
          <w:w w:val="103"/>
        </w:rPr>
        <w:t>2025年8月26日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left="35"/>
        <w:spacing w:before="56" w:line="241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spacing w:val="-2"/>
        </w:rPr>
        <w:t>—4—</w:t>
      </w:r>
    </w:p>
    <w:sectPr>
      <w:footerReference w:type="default" r:id="rId5"/>
      <w:pgSz w:w="11900" w:h="16840"/>
      <w:pgMar w:top="1385" w:right="324" w:bottom="819" w:left="1625" w:header="0" w:footer="20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39" w:after="28" w:line="333" w:lineRule="exact"/>
      <w:jc w:val="right"/>
      <w:rPr>
        <w:rFonts w:ascii="SimHei" w:hAnsi="SimHei" w:eastAsia="SimHei" w:cs="SimHei"/>
        <w:sz w:val="19"/>
        <w:szCs w:val="19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6051547</wp:posOffset>
          </wp:positionH>
          <wp:positionV relativeFrom="page">
            <wp:posOffset>10191772</wp:posOffset>
          </wp:positionV>
          <wp:extent cx="355608" cy="355555"/>
          <wp:effectExtent l="0" t="0" r="0" b="0"/>
          <wp:wrapNone/>
          <wp:docPr id="6" name="IM 6"/>
          <wp:cNvGraphicFramePr/>
          <a:graphic>
            <a:graphicData uri="http://schemas.openxmlformats.org/drawingml/2006/picture">
              <pic:pic>
                <pic:nvPicPr>
                  <pic:cNvPr id="6" name="IM 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55608" cy="355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hAnsi="SimHei" w:eastAsia="SimHei" w:cs="SimHei"/>
        <w:sz w:val="19"/>
        <w:szCs w:val="19"/>
        <w:position w:val="-5"/>
      </w:rPr>
      <w:drawing>
        <wp:inline distT="0" distB="0" distL="0" distR="0">
          <wp:extent cx="184152" cy="184140"/>
          <wp:effectExtent l="0" t="0" r="0" b="0"/>
          <wp:docPr id="8" name="IM 8"/>
          <wp:cNvGraphicFramePr/>
          <a:graphic>
            <a:graphicData uri="http://schemas.openxmlformats.org/drawingml/2006/picture">
              <pic:pic>
                <pic:nvPicPr>
                  <pic:cNvPr id="8" name="IM 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184152" cy="184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Hei" w:hAnsi="SimHei" w:eastAsia="SimHei" w:cs="SimHei"/>
        <w:sz w:val="19"/>
        <w:szCs w:val="19"/>
        <w:spacing w:val="-12"/>
        <w:position w:val="-3"/>
      </w:rPr>
      <w:t xml:space="preserve"> </w:t>
    </w:r>
    <w:r>
      <w:rPr>
        <w:rFonts w:ascii="SimHei" w:hAnsi="SimHei" w:eastAsia="SimHei" w:cs="SimHei"/>
        <w:sz w:val="19"/>
        <w:szCs w:val="19"/>
        <w:b/>
        <w:bCs/>
        <w:spacing w:val="7"/>
        <w:position w:val="-3"/>
      </w:rPr>
      <w:t>扫描全能王</w:t>
    </w:r>
  </w:p>
  <w:p>
    <w:pPr>
      <w:ind w:left="8529"/>
      <w:spacing w:line="217" w:lineRule="auto"/>
      <w:rPr>
        <w:rFonts w:ascii="SimSun" w:hAnsi="SimSun" w:eastAsia="SimSun" w:cs="SimSun"/>
        <w:sz w:val="13"/>
        <w:szCs w:val="13"/>
      </w:rPr>
    </w:pPr>
    <w:r>
      <w:rPr>
        <w:rFonts w:ascii="SimHei" w:hAnsi="SimHei" w:eastAsia="SimHei" w:cs="SimHei"/>
        <w:sz w:val="13"/>
        <w:szCs w:val="13"/>
        <w:spacing w:val="2"/>
      </w:rPr>
      <w:t>3亿人都在用的扫描</w:t>
    </w:r>
    <w:r>
      <w:rPr>
        <w:rFonts w:ascii="SimSun" w:hAnsi="SimSun" w:eastAsia="SimSun" w:cs="SimSun"/>
        <w:sz w:val="13"/>
        <w:szCs w:val="13"/>
      </w:rPr>
      <w:t>App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39" w:after="28" w:line="333" w:lineRule="exact"/>
      <w:jc w:val="right"/>
      <w:rPr>
        <w:rFonts w:ascii="SimHei" w:hAnsi="SimHei" w:eastAsia="SimHei" w:cs="SimHei"/>
        <w:sz w:val="19"/>
        <w:szCs w:val="19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6051547</wp:posOffset>
          </wp:positionH>
          <wp:positionV relativeFrom="page">
            <wp:posOffset>10191772</wp:posOffset>
          </wp:positionV>
          <wp:extent cx="355608" cy="355555"/>
          <wp:effectExtent l="0" t="0" r="0" b="0"/>
          <wp:wrapNone/>
          <wp:docPr id="10" name="IM 10"/>
          <wp:cNvGraphicFramePr/>
          <a:graphic>
            <a:graphicData uri="http://schemas.openxmlformats.org/drawingml/2006/picture">
              <pic:pic>
                <pic:nvPicPr>
                  <pic:cNvPr id="10" name="IM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55608" cy="3555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hAnsi="SimHei" w:eastAsia="SimHei" w:cs="SimHei"/>
        <w:sz w:val="19"/>
        <w:szCs w:val="19"/>
        <w:position w:val="-5"/>
      </w:rPr>
      <w:drawing>
        <wp:inline distT="0" distB="0" distL="0" distR="0">
          <wp:extent cx="184152" cy="184140"/>
          <wp:effectExtent l="0" t="0" r="0" b="0"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184152" cy="1841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Hei" w:hAnsi="SimHei" w:eastAsia="SimHei" w:cs="SimHei"/>
        <w:sz w:val="19"/>
        <w:szCs w:val="19"/>
        <w:spacing w:val="-12"/>
        <w:position w:val="-3"/>
      </w:rPr>
      <w:t xml:space="preserve"> </w:t>
    </w:r>
    <w:r>
      <w:rPr>
        <w:rFonts w:ascii="SimHei" w:hAnsi="SimHei" w:eastAsia="SimHei" w:cs="SimHei"/>
        <w:sz w:val="19"/>
        <w:szCs w:val="19"/>
        <w:b/>
        <w:bCs/>
        <w:spacing w:val="7"/>
        <w:position w:val="-3"/>
      </w:rPr>
      <w:t>扫描全能王</w:t>
    </w:r>
  </w:p>
  <w:p>
    <w:pPr>
      <w:ind w:left="8539"/>
      <w:spacing w:line="217" w:lineRule="auto"/>
      <w:rPr>
        <w:rFonts w:ascii="SimSun" w:hAnsi="SimSun" w:eastAsia="SimSun" w:cs="SimSun"/>
        <w:sz w:val="13"/>
        <w:szCs w:val="13"/>
      </w:rPr>
    </w:pPr>
    <w:r>
      <w:rPr>
        <w:rFonts w:ascii="SimHei" w:hAnsi="SimHei" w:eastAsia="SimHei" w:cs="SimHei"/>
        <w:sz w:val="13"/>
        <w:szCs w:val="13"/>
        <w:spacing w:val="2"/>
      </w:rPr>
      <w:t>3亿人都在用的扫描</w:t>
    </w:r>
    <w:r>
      <w:rPr>
        <w:rFonts w:ascii="SimSun" w:hAnsi="SimSun" w:eastAsia="SimSun" w:cs="SimSun"/>
        <w:sz w:val="13"/>
        <w:szCs w:val="13"/>
      </w:rPr>
      <w:t>App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39" w:after="33"/>
      <w:jc w:val="right"/>
      <w:rPr>
        <w:rFonts w:ascii="SimHei" w:hAnsi="SimHei" w:eastAsia="SimHei" w:cs="SimHei"/>
        <w:sz w:val="20"/>
        <w:szCs w:val="20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6032505</wp:posOffset>
          </wp:positionH>
          <wp:positionV relativeFrom="page">
            <wp:posOffset>10172738</wp:posOffset>
          </wp:positionV>
          <wp:extent cx="393693" cy="393624"/>
          <wp:effectExtent l="0" t="0" r="0" b="0"/>
          <wp:wrapNone/>
          <wp:docPr id="14" name="IM 14"/>
          <wp:cNvGraphicFramePr/>
          <a:graphic>
            <a:graphicData uri="http://schemas.openxmlformats.org/drawingml/2006/picture">
              <pic:pic>
                <pic:nvPicPr>
                  <pic:cNvPr id="14" name="IM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393693" cy="39362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hAnsi="SimHei" w:eastAsia="SimHei" w:cs="SimHei"/>
        <w:sz w:val="20"/>
        <w:szCs w:val="20"/>
        <w:position w:val="-5"/>
      </w:rPr>
      <w:drawing>
        <wp:inline distT="0" distB="0" distL="0" distR="0">
          <wp:extent cx="222236" cy="222315"/>
          <wp:effectExtent l="0" t="0" r="0" b="0"/>
          <wp:docPr id="16" name="IM 16"/>
          <wp:cNvGraphicFramePr/>
          <a:graphic>
            <a:graphicData uri="http://schemas.openxmlformats.org/drawingml/2006/picture">
              <pic:pic>
                <pic:nvPicPr>
                  <pic:cNvPr id="16" name="IM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222236" cy="2223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SimHei" w:hAnsi="SimHei" w:eastAsia="SimHei" w:cs="SimHei"/>
        <w:sz w:val="20"/>
        <w:szCs w:val="20"/>
        <w:b/>
        <w:bCs/>
        <w:spacing w:val="5"/>
      </w:rPr>
      <w:t>扫描全能王</w:t>
    </w:r>
  </w:p>
  <w:p>
    <w:pPr>
      <w:ind w:left="8574"/>
      <w:spacing w:after="25" w:line="217" w:lineRule="auto"/>
      <w:rPr>
        <w:rFonts w:ascii="SimSun" w:hAnsi="SimSun" w:eastAsia="SimSun" w:cs="SimSun"/>
        <w:sz w:val="13"/>
        <w:szCs w:val="13"/>
      </w:rPr>
    </w:pPr>
    <w:r>
      <w:rPr>
        <w:rFonts w:ascii="SimHei" w:hAnsi="SimHei" w:eastAsia="SimHei" w:cs="SimHei"/>
        <w:sz w:val="13"/>
        <w:szCs w:val="13"/>
        <w:spacing w:val="2"/>
      </w:rPr>
      <w:t>3亿人都在用的扫描</w:t>
    </w:r>
    <w:r>
      <w:rPr>
        <w:rFonts w:ascii="SimSun" w:hAnsi="SimSun" w:eastAsia="SimSun" w:cs="SimSun"/>
        <w:sz w:val="13"/>
        <w:szCs w:val="13"/>
      </w:rPr>
      <w:t>App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FangSong" w:hAnsi="FangSong" w:eastAsia="FangSong" w:cs="FangSong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styles" Target="styles.xml"/><Relationship Id="rId6" Type="http://schemas.openxmlformats.org/officeDocument/2006/relationships/settings" Target="settings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eg"/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6.jpeg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2025-09-29T10:59:30Z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2025-09-29T10:59:30</vt:filetime>
  </property>
  <property fmtid="{D5CDD505-2E9C-101B-9397-08002B2CF9AE}" pid="4" name="UsrData">
    <vt:lpwstr>68d9f60f10e070001f43b409wl</vt:lpwstr>
  </property>
</Properties>
</file>