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方正仿宋_GBK" w:cs="Times New Roman"/>
          <w:sz w:val="32"/>
          <w:szCs w:val="32"/>
        </w:rPr>
      </w:pPr>
    </w:p>
    <w:p>
      <w:pPr>
        <w:pStyle w:val="2"/>
        <w:rPr>
          <w:rFonts w:hint="default"/>
        </w:rPr>
      </w:pPr>
    </w:p>
    <w:p>
      <w:pPr>
        <w:pStyle w:val="13"/>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600" w:lineRule="exact"/>
        <w:ind w:firstLine="320" w:firstLineChars="1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信商</w:t>
      </w:r>
      <w:r>
        <w:rPr>
          <w:rFonts w:hint="default"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lang w:eastAsia="zh-CN"/>
        </w:rPr>
        <w:t>〔</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eastAsia" w:ascii="仿宋_GB2312" w:hAnsi="仿宋_GB2312" w:eastAsia="仿宋_GB2312" w:cs="仿宋_GB2312"/>
          <w:sz w:val="32"/>
          <w:szCs w:val="32"/>
          <w:lang w:val="en-US" w:eastAsia="zh-CN"/>
        </w:rPr>
        <w:t>〕</w:t>
      </w:r>
      <w:r>
        <w:rPr>
          <w:rFonts w:hint="eastAsia" w:eastAsia="仿宋_GB2312" w:cs="Times New Roman"/>
          <w:sz w:val="32"/>
          <w:szCs w:val="32"/>
          <w:lang w:val="en-US" w:eastAsia="zh-CN"/>
        </w:rPr>
        <w:t>96</w:t>
      </w:r>
      <w:r>
        <w:rPr>
          <w:rFonts w:hint="default" w:ascii="Times New Roman" w:hAnsi="Times New Roman" w:eastAsia="仿宋_GB2312" w:cs="Times New Roman"/>
          <w:sz w:val="32"/>
          <w:szCs w:val="32"/>
        </w:rPr>
        <w:t>号</w:t>
      </w:r>
      <w:r>
        <w:rPr>
          <w:rFonts w:hint="default" w:ascii="Times New Roman" w:hAnsi="Times New Roman" w:eastAsia="仿宋_GB2312" w:cs="Times New Roman"/>
          <w:sz w:val="32"/>
          <w:szCs w:val="32"/>
          <w:lang w:val="en-US"/>
        </w:rPr>
        <w:t xml:space="preserve">                  </w:t>
      </w:r>
      <w:bookmarkStart w:id="0" w:name="_GoBack"/>
      <w:bookmarkEnd w:id="0"/>
      <w:r>
        <w:rPr>
          <w:rFonts w:hint="default" w:ascii="Times New Roman" w:hAnsi="Times New Roman" w:eastAsia="仿宋_GB2312" w:cs="Times New Roman"/>
          <w:sz w:val="32"/>
          <w:szCs w:val="32"/>
          <w:lang w:val="en-US" w:eastAsia="zh-CN"/>
        </w:rPr>
        <w:t>签发人：</w:t>
      </w:r>
      <w:r>
        <w:rPr>
          <w:rFonts w:hint="default" w:ascii="Times New Roman" w:hAnsi="Times New Roman" w:eastAsia="楷体" w:cs="Times New Roman"/>
          <w:sz w:val="32"/>
          <w:szCs w:val="32"/>
          <w:lang w:val="en-US" w:eastAsia="zh-CN"/>
        </w:rPr>
        <w:t>刘 伟</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仿宋_GB2312" w:cs="Times New Roman"/>
          <w:sz w:val="44"/>
          <w:szCs w:val="44"/>
        </w:rPr>
      </w:pPr>
    </w:p>
    <w:p>
      <w:pPr>
        <w:ind w:firstLine="640" w:firstLineChars="200"/>
        <w:jc w:val="center"/>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lang w:eastAsia="zh-CN"/>
        </w:rPr>
        <w:t>办理结果：</w:t>
      </w:r>
      <w:r>
        <w:rPr>
          <w:rFonts w:hint="default" w:ascii="Times New Roman" w:hAnsi="Times New Roman" w:eastAsia="仿宋_GB2312" w:cs="Times New Roman"/>
          <w:sz w:val="32"/>
          <w:szCs w:val="32"/>
          <w:lang w:val="en-US" w:eastAsia="zh-CN"/>
        </w:rPr>
        <w:t>A</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关于对市政协六届三次会议</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第63021号提案的答复</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尊敬的段珊珊委员：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您提出的关于“促进产业发展、优化营商环境”的提案收悉，</w:t>
      </w:r>
      <w:r>
        <w:rPr>
          <w:rFonts w:hint="eastAsia" w:ascii="Times New Roman" w:hAnsi="Times New Roman" w:eastAsia="仿宋" w:cs="仿宋_GB2312"/>
          <w:sz w:val="32"/>
          <w:szCs w:val="32"/>
          <w:lang w:val="en-US" w:eastAsia="zh-CN"/>
        </w:rPr>
        <w:t>市商务局</w:t>
      </w:r>
      <w:r>
        <w:rPr>
          <w:rFonts w:hint="default" w:ascii="Times New Roman" w:hAnsi="Times New Roman" w:eastAsia="仿宋" w:cs="仿宋_GB2312"/>
          <w:sz w:val="32"/>
          <w:szCs w:val="32"/>
          <w:lang w:val="en-US" w:eastAsia="zh-CN"/>
        </w:rPr>
        <w:t>与</w:t>
      </w:r>
      <w:r>
        <w:rPr>
          <w:rFonts w:hint="eastAsia" w:ascii="Times New Roman" w:hAnsi="Times New Roman" w:eastAsia="仿宋" w:cs="仿宋_GB2312"/>
          <w:sz w:val="32"/>
          <w:szCs w:val="32"/>
          <w:lang w:val="en-US" w:eastAsia="zh-CN"/>
        </w:rPr>
        <w:t>市投资促进中心高度重视，会同市营商环境中心、市农业农村局、市工业和信息化局共同</w:t>
      </w:r>
      <w:r>
        <w:rPr>
          <w:rFonts w:hint="default" w:ascii="Times New Roman" w:hAnsi="Times New Roman" w:eastAsia="仿宋" w:cs="仿宋_GB2312"/>
          <w:sz w:val="32"/>
          <w:szCs w:val="32"/>
          <w:lang w:val="en-US" w:eastAsia="zh-CN"/>
        </w:rPr>
        <w:t>研究办理，现答复如下</w:t>
      </w:r>
      <w:r>
        <w:rPr>
          <w:rFonts w:hint="eastAsia" w:ascii="Times New Roman" w:hAnsi="Times New Roman" w:eastAsia="仿宋"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首先十分感谢您对我市产业发展和招商引资工作的关注支持和建言献策。您的提案通过深入调研和精准把脉，与我市当前在推动产业升级、区域协同、绿色转型及招商引资中的重点工作和关键环节高度契合，所提关于“优化产业规划布局、推动生态产业化、创新招商模式”等方面的建议，为我们进一步厘清发展思路、提升工作成效提供了重要参考和指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近年来，在社会各界的大力支持下，我市不断加大开放合作力度，加强与京津冀、长三角、粤港澳大湾区产业对接，深化苏信对口合作，承接产业转移；践行绿色发展理念，以工业化思维推进农业现代化，以生态优势推进新型工业化，因地制宜发展新质生产力；大力开展产业链招商、以商招商、资本招商，招商方式更加精准多元，引进了一批投资体量大、带动能力强的优质项目。但也存在着开放平台能级不高、区域协作深度不够、招商引资专业性不强等问题。下一步，我们将结合您的意见建议，积极应对、创新思路、多措并举，主要做好以下几方面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一、主动融入国家区域战略，深化区域经济合作</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（一）强化区域协同，壮大提升产业集群。</w:t>
      </w:r>
      <w:r>
        <w:rPr>
          <w:rFonts w:hint="eastAsia" w:ascii="仿宋" w:hAnsi="仿宋" w:eastAsia="仿宋" w:cs="仿宋"/>
          <w:sz w:val="32"/>
          <w:szCs w:val="32"/>
          <w:lang w:val="en-US" w:eastAsia="zh-CN"/>
        </w:rPr>
        <w:t>紧扣合肥都市圈、长三角一体化发展战略，重点对接合肥新能源汽车产业链，主动承接汽车配件、精密仪器加工、新型显示等新能源汽车配套产业，加快建设舜宇光学、鼎润科技、中亿丰绿色制造、苏息精密制造等产业集群项目，深度融入长三角产业链、供应链。</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（二）聚焦主导产业，精准补链强链。</w:t>
      </w:r>
      <w:r>
        <w:rPr>
          <w:rFonts w:hint="eastAsia" w:ascii="仿宋" w:hAnsi="仿宋" w:eastAsia="仿宋" w:cs="仿宋"/>
          <w:sz w:val="32"/>
          <w:szCs w:val="32"/>
          <w:lang w:val="en-US" w:eastAsia="zh-CN"/>
        </w:rPr>
        <w:t>围绕我市“6+11+N”产业体系，绘制产业链“四图谱”“六清单”，重点突破新能源装备、电子信息等领域，支持谷麦光电、铂睿特、驭波科技、明阳风电等一批行业领先企业在我市深入布局、增资扩股。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（三）依托豫东南高新区，打造协同发展平台。</w:t>
      </w:r>
      <w:r>
        <w:rPr>
          <w:rFonts w:hint="eastAsia" w:ascii="仿宋" w:hAnsi="仿宋" w:eastAsia="仿宋" w:cs="仿宋"/>
          <w:sz w:val="32"/>
          <w:szCs w:val="32"/>
          <w:lang w:val="en-US" w:eastAsia="zh-CN"/>
        </w:rPr>
        <w:t>以豫东南高新区为载体，对接苏州工业园区、合肥高新区等创新资源，重点发展新能源、新材料等产业，打造融入“合六圈”等长三角区域产业协同发展新优势。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二、聚焦绿色食品产业，发展特色农业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信阳一直以来立足生态资源禀赋，聚焦优质稻米、弱筋小麦、茶叶、油茶、畜禽、水产六大产业，推动绿色食品产业升级，依托正大集团等龙头企业，打造从种养、加工到销售的全产业链条。您在提案中提到发展野菊花种植和产品加工，目前我市相关县区结合当地地理资源和气候优势，大力推广中药材、食用菌、有机茶叶等特色种植，虽暂未普及推广规模化种植野菊花，但也已有平桥区查山乡、光山县凉亭乡等地的农村合作社通过“基地+合作社+农户”模式，探索“生态+产业”融合路径，开展野菊花种植加工带动周边群众增收致富。下一步，我们将结合您的建议，对野菊花等特色农产品开展市场调研，若条件成熟，将纳入我市农业产业规划，推动野菊花“三边一院”种植模式与产品加工联动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三、提升招商专业化水平，加强招商队伍建设</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（一）创新招商方式，提升招引工作质效。</w:t>
      </w:r>
      <w:r>
        <w:rPr>
          <w:rFonts w:hint="eastAsia" w:ascii="仿宋" w:hAnsi="仿宋" w:eastAsia="仿宋" w:cs="仿宋"/>
          <w:sz w:val="32"/>
          <w:szCs w:val="32"/>
          <w:lang w:val="en-US" w:eastAsia="zh-CN"/>
        </w:rPr>
        <w:t>主动适应招商新常态，转变招商思路，不再单纯依赖税收、土地优惠等传统招商手段，利用资本招商、股权招商等新型招商手段，有效发挥豫东南战新基金、信阳产业引导基金的引导作用，积极引进社会资本跟投，放大资金杠杆效应，通过产业基金服务推动明阳源网荷储、万华生态板业、丰原聚乳酸、慧博云通、云知声等科技含量高、发展前景好、带动效应强的新质生产力项目。</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（二）强化数字赋能，构建精准招商体系。</w:t>
      </w:r>
      <w:r>
        <w:rPr>
          <w:rFonts w:hint="eastAsia" w:ascii="仿宋" w:hAnsi="仿宋" w:eastAsia="仿宋" w:cs="仿宋"/>
          <w:sz w:val="32"/>
          <w:szCs w:val="32"/>
          <w:lang w:val="en-US" w:eastAsia="zh-CN"/>
        </w:rPr>
        <w:t>建立“推介项目库、客商资源库、项目线索库、签约项目库”四库联动机制，整合产业和客商信息资源，应用招商引资AI智能手段和线上管理平台，实现项目从签约到投产全周期智能化管理。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 w:hAnsi="仿宋" w:eastAsia="仿宋" w:cs="仿宋"/>
          <w:sz w:val="32"/>
          <w:szCs w:val="32"/>
          <w:lang w:val="en-US" w:eastAsia="zh-CN"/>
        </w:rPr>
      </w:pPr>
      <w:r>
        <w:rPr>
          <w:rFonts w:hint="eastAsia" w:ascii="楷体" w:hAnsi="楷体" w:eastAsia="楷体" w:cs="楷体"/>
          <w:b/>
          <w:bCs/>
          <w:sz w:val="32"/>
          <w:szCs w:val="32"/>
          <w:lang w:val="en-US" w:eastAsia="zh-CN"/>
        </w:rPr>
        <w:t>（三）培育专业队伍，提升招商能力。</w:t>
      </w:r>
      <w:r>
        <w:rPr>
          <w:rFonts w:hint="eastAsia" w:ascii="仿宋" w:hAnsi="仿宋" w:eastAsia="仿宋" w:cs="仿宋"/>
          <w:sz w:val="32"/>
          <w:szCs w:val="32"/>
          <w:lang w:val="en-US" w:eastAsia="zh-CN"/>
        </w:rPr>
        <w:t>加强业务培训，组织招商人员赴先进地区学习招商引资政策新规、新形势下招商引资实务等内容，通过线上与线下、理论与实践相结合的培训方式，提升招商一线人员专业能力。开展实战练兵，聚焦产业生态研究、产业链培育、招商技能提升，开展招商引资业务技能“大比武、大练兵”活动，围绕我市六大主导产业、战略性新兴产业、未来产业开展细分领域研究，打造一支懂产业、懂资本的复合型团队。</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再次衷心感谢您对信阳产业发展和招商引资工作的支持，欢迎您继续对我们的工作给予监督和指导。</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主办单位：市商务局、市投资促进中心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联系人：明俊18236287762、齐家栋13006183753</w:t>
      </w: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5"/>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right"/>
        <w:textAlignment w:val="auto"/>
        <w:outlineLvl w:val="9"/>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rPr>
        <w:t>202</w:t>
      </w:r>
      <w:r>
        <w:rPr>
          <w:rFonts w:hint="default" w:ascii="Times New Roman" w:hAnsi="Times New Roman" w:eastAsia="仿宋_GB2312" w:cs="Times New Roman"/>
          <w:sz w:val="32"/>
          <w:szCs w:val="32"/>
          <w:lang w:val="en-US" w:eastAsia="zh-CN"/>
        </w:rPr>
        <w:t>5年7月</w:t>
      </w:r>
      <w:r>
        <w:rPr>
          <w:rFonts w:hint="eastAsia" w:eastAsia="仿宋_GB2312" w:cs="Times New Roman"/>
          <w:sz w:val="32"/>
          <w:szCs w:val="32"/>
          <w:lang w:val="en-US" w:eastAsia="zh-CN"/>
        </w:rPr>
        <w:t>31</w:t>
      </w:r>
      <w:r>
        <w:rPr>
          <w:rFonts w:hint="default" w:ascii="Times New Roman" w:hAnsi="Times New Roman" w:eastAsia="仿宋_GB2312" w:cs="Times New Roman"/>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cs="Times New Roman"/>
        </w:rPr>
      </w:pPr>
    </w:p>
    <w:p>
      <w:pPr>
        <w:rPr>
          <w:rFonts w:hint="default" w:ascii="Times New Roman" w:hAnsi="Times New Roman" w:cs="Times New Roman"/>
          <w:lang w:val="en-US" w:eastAsia="zh-CN"/>
        </w:rPr>
      </w:pPr>
    </w:p>
    <w:p>
      <w:pPr>
        <w:widowControl w:val="0"/>
        <w:pBdr>
          <w:top w:val="single" w:color="auto" w:sz="18" w:space="1"/>
          <w:left w:val="none" w:color="auto" w:sz="0" w:space="4"/>
          <w:bottom w:val="single" w:color="auto" w:sz="18" w:space="1"/>
          <w:right w:val="none" w:color="auto" w:sz="0" w:space="4"/>
          <w:between w:val="none" w:color="auto" w:sz="0" w:space="0"/>
        </w:pBdr>
        <w:ind w:firstLine="280" w:firstLineChars="100"/>
        <w:jc w:val="both"/>
        <w:rPr>
          <w:rFonts w:hint="default" w:ascii="Times New Roman" w:hAnsi="Times New Roman" w:cs="Times New Roman"/>
        </w:rPr>
      </w:pPr>
      <w:r>
        <w:rPr>
          <w:rFonts w:hint="default" w:ascii="Times New Roman" w:hAnsi="Times New Roman" w:eastAsia="仿宋" w:cs="Times New Roman"/>
          <w:sz w:val="28"/>
          <w:szCs w:val="28"/>
          <w:lang w:val="en-US" w:eastAsia="zh-CN"/>
        </w:rPr>
        <w:t>信阳市商务局办公室                      202</w:t>
      </w:r>
      <w:r>
        <w:rPr>
          <w:rFonts w:hint="eastAsia" w:eastAsia="仿宋" w:cs="Times New Roman"/>
          <w:sz w:val="28"/>
          <w:szCs w:val="28"/>
          <w:lang w:val="en-US" w:eastAsia="zh-CN"/>
        </w:rPr>
        <w:t>5</w:t>
      </w:r>
      <w:r>
        <w:rPr>
          <w:rFonts w:hint="default" w:ascii="Times New Roman" w:hAnsi="Times New Roman" w:eastAsia="仿宋" w:cs="Times New Roman"/>
          <w:sz w:val="28"/>
          <w:szCs w:val="28"/>
          <w:lang w:val="en-US" w:eastAsia="zh-CN"/>
        </w:rPr>
        <w:t>年7月</w:t>
      </w:r>
      <w:r>
        <w:rPr>
          <w:rFonts w:hint="eastAsia" w:eastAsia="仿宋" w:cs="Times New Roman"/>
          <w:sz w:val="28"/>
          <w:szCs w:val="28"/>
          <w:lang w:val="en-US" w:eastAsia="zh-CN"/>
        </w:rPr>
        <w:t>31</w:t>
      </w:r>
      <w:r>
        <w:rPr>
          <w:rFonts w:hint="default" w:ascii="Times New Roman" w:hAnsi="Times New Roman" w:eastAsia="仿宋" w:cs="Times New Roman"/>
          <w:sz w:val="28"/>
          <w:szCs w:val="28"/>
          <w:lang w:val="en-US" w:eastAsia="zh-CN"/>
        </w:rPr>
        <w:t>日印发</w:t>
      </w:r>
    </w:p>
    <w:sectPr>
      <w:footerReference r:id="rId3"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6"/>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ED5029"/>
    <w:rsid w:val="01DF2153"/>
    <w:rsid w:val="046C7905"/>
    <w:rsid w:val="0ABA7E71"/>
    <w:rsid w:val="104632FA"/>
    <w:rsid w:val="11EC4876"/>
    <w:rsid w:val="121E6934"/>
    <w:rsid w:val="168B1A72"/>
    <w:rsid w:val="179471CB"/>
    <w:rsid w:val="1B7CE167"/>
    <w:rsid w:val="1E7A3039"/>
    <w:rsid w:val="20D67D8D"/>
    <w:rsid w:val="22AF071B"/>
    <w:rsid w:val="29EA2084"/>
    <w:rsid w:val="2AD32129"/>
    <w:rsid w:val="2AF15F83"/>
    <w:rsid w:val="30046A1D"/>
    <w:rsid w:val="31325B1E"/>
    <w:rsid w:val="36963DEF"/>
    <w:rsid w:val="39A21CFB"/>
    <w:rsid w:val="39C179EC"/>
    <w:rsid w:val="3DFA74AA"/>
    <w:rsid w:val="3EB968CD"/>
    <w:rsid w:val="3F977046"/>
    <w:rsid w:val="4764787B"/>
    <w:rsid w:val="487D6BBD"/>
    <w:rsid w:val="4E07740D"/>
    <w:rsid w:val="4E6B5AFB"/>
    <w:rsid w:val="4F547732"/>
    <w:rsid w:val="518660C3"/>
    <w:rsid w:val="55823004"/>
    <w:rsid w:val="5886571D"/>
    <w:rsid w:val="5B2E56C1"/>
    <w:rsid w:val="5CF876F7"/>
    <w:rsid w:val="5D0D53ED"/>
    <w:rsid w:val="5E797EB5"/>
    <w:rsid w:val="5F164E84"/>
    <w:rsid w:val="68A557F5"/>
    <w:rsid w:val="69ED5029"/>
    <w:rsid w:val="6A8F0FF6"/>
    <w:rsid w:val="6FF5D4B7"/>
    <w:rsid w:val="70AF0750"/>
    <w:rsid w:val="764A5AC5"/>
    <w:rsid w:val="7FFFDA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unhideWhenUsed="0" w:uiPriority="0" w:semiHidden="0" w:name="endnote text"/>
    <w:lsdException w:qFormat="1" w:unhideWhenUsed="0"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7"/>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99"/>
    <w:pPr>
      <w:widowControl w:val="0"/>
      <w:ind w:left="420" w:leftChars="200"/>
      <w:jc w:val="both"/>
    </w:pPr>
    <w:rPr>
      <w:rFonts w:ascii="Calibri" w:hAnsi="Calibri" w:eastAsia="仿宋" w:cs="Times New Roman"/>
      <w:kern w:val="2"/>
      <w:sz w:val="32"/>
      <w:szCs w:val="24"/>
      <w:lang w:val="en-US" w:eastAsia="zh-CN" w:bidi="ar-SA"/>
    </w:rPr>
  </w:style>
  <w:style w:type="paragraph" w:styleId="5">
    <w:name w:val="Plain Text"/>
    <w:basedOn w:val="1"/>
    <w:qFormat/>
    <w:uiPriority w:val="0"/>
    <w:rPr>
      <w:rFonts w:ascii="宋体" w:hAnsi="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endnote reference"/>
    <w:basedOn w:val="10"/>
    <w:qFormat/>
    <w:uiPriority w:val="0"/>
    <w:rPr>
      <w:vertAlign w:val="superscript"/>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4">
    <w:name w:val="BodyText"/>
    <w:basedOn w:val="1"/>
    <w:next w:val="15"/>
    <w:qFormat/>
    <w:uiPriority w:val="0"/>
    <w:rPr>
      <w:rFonts w:eastAsia="仿宋_GB2312"/>
      <w:sz w:val="32"/>
    </w:rPr>
  </w:style>
  <w:style w:type="paragraph" w:customStyle="1" w:styleId="15">
    <w:name w:val="UserStyle_2"/>
    <w:basedOn w:val="1"/>
    <w:qFormat/>
    <w:uiPriority w:val="0"/>
    <w:pPr>
      <w:spacing w:line="480" w:lineRule="auto"/>
    </w:pPr>
  </w:style>
  <w:style w:type="character" w:customStyle="1" w:styleId="16">
    <w:name w:val="样式1"/>
    <w:basedOn w:val="12"/>
    <w:qFormat/>
    <w:uiPriority w:val="0"/>
    <w:rPr>
      <w:rFonts w:asciiTheme="minorAscii" w:hAnsiTheme="minorAscii" w:eastAsiaTheme="minorEastAsia" w:cstheme="minorEastAsia"/>
      <w:kern w:val="2"/>
      <w:sz w:val="24"/>
      <w:szCs w:val="24"/>
      <w:vertAlign w:val="superscript"/>
      <w:lang w:val="en-US" w:eastAsia="zh-CN" w:bidi="ar-SA"/>
    </w:rPr>
  </w:style>
  <w:style w:type="character" w:customStyle="1" w:styleId="17">
    <w:name w:val="标题 3 Char"/>
    <w:link w:val="4"/>
    <w:qFormat/>
    <w:uiPriority w:val="0"/>
    <w:rPr>
      <w:b/>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2581</Words>
  <Characters>2643</Characters>
  <Lines>0</Lines>
  <Paragraphs>0</Paragraphs>
  <TotalTime>1</TotalTime>
  <ScaleCrop>false</ScaleCrop>
  <LinksUpToDate>false</LinksUpToDate>
  <CharactersWithSpaces>2649</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2025-07-30T02:01:00Z</dcterms:created>
  <dc:creator>琪琪</dc:creator>
  <cp:lastModifiedBy>guest</cp:lastModifiedBy>
  <cp:lastPrinted>2025-08-05T19:05:20Z</cp:lastPrinted>
  <dcterms:modified xsi:type="dcterms:W3CDTF">2025-08-05T19:13:37Z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E7149073BBD44562A210A3EA30201475_13</vt:lpwstr>
  </property>
  <property fmtid="{D5CDD505-2E9C-101B-9397-08002B2CF9AE}" pid="4" name="KSOTemplateDocerSaveRecord">
    <vt:lpwstr>eyJoZGlkIjoiMWNiNDk0ZWQ4MjljMmFmNTdlODQ5MTE3NzMyYzk3NjMiLCJ1c2VySWQiOiI0MzEwNDE0MTUifQ==</vt:lpwstr>
  </property>
</Properties>
</file>