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rPr>
          <w:rFonts w:hint="default" w:ascii="Times New Roman" w:hAnsi="Times New Roman" w:eastAsia="方正仿宋_GBK" w:cs="Times New Roman"/>
          <w:sz w:val="32"/>
          <w:szCs w:val="32"/>
        </w:rPr>
      </w:pPr>
    </w:p>
    <w:p>
      <w:pPr>
        <w:pStyle w:val="15"/>
        <w:rPr>
          <w:rFonts w:hint="default" w:ascii="Times New Roman" w:hAnsi="Times New Roman" w:cs="Times New Roman"/>
        </w:rPr>
      </w:pPr>
    </w:p>
    <w:p>
      <w:pPr>
        <w:pStyle w:val="15"/>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信商</w:t>
      </w:r>
      <w:r>
        <w:rPr>
          <w:rFonts w:hint="default" w:ascii="Times New Roman" w:hAnsi="Times New Roman" w:eastAsia="仿宋_GB2312" w:cs="Times New Roman"/>
          <w:sz w:val="32"/>
          <w:szCs w:val="32"/>
          <w:lang w:eastAsia="zh-CN"/>
        </w:rPr>
        <w:t>字</w:t>
      </w:r>
      <w:r>
        <w:rPr>
          <w:rFonts w:hint="eastAsia" w:ascii="仿宋_GB2312" w:hAnsi="仿宋_GB2312" w:eastAsia="仿宋_GB2312" w:cs="仿宋_GB2312"/>
          <w:sz w:val="32"/>
          <w:szCs w:val="32"/>
          <w:lang w:eastAsia="zh-CN"/>
        </w:rPr>
        <w:t>〔</w:t>
      </w:r>
      <w:r>
        <w:rPr>
          <w:rFonts w:hint="default" w:ascii="Times New Roman" w:hAnsi="Times New Roman" w:eastAsia="仿宋_GB2312" w:cs="Times New Roman"/>
          <w:sz w:val="32"/>
          <w:szCs w:val="32"/>
        </w:rPr>
        <w:t>20</w:t>
      </w:r>
      <w:r>
        <w:rPr>
          <w:rFonts w:hint="eastAsia" w:ascii="Times New Roman" w:hAnsi="Times New Roman" w:eastAsia="仿宋_GB2312" w:cs="Times New Roman"/>
          <w:sz w:val="32"/>
          <w:szCs w:val="32"/>
          <w:lang w:val="en-US" w:eastAsia="zh-CN"/>
        </w:rPr>
        <w:t>25</w:t>
      </w:r>
      <w:r>
        <w:rPr>
          <w:rFonts w:hint="eastAsia" w:ascii="仿宋_GB2312" w:hAnsi="仿宋_GB2312" w:eastAsia="仿宋_GB2312" w:cs="仿宋_GB2312"/>
          <w:sz w:val="32"/>
          <w:szCs w:val="32"/>
          <w:lang w:val="en-US" w:eastAsia="zh-CN"/>
        </w:rPr>
        <w:t>〕</w:t>
      </w:r>
      <w:r>
        <w:rPr>
          <w:rFonts w:hint="eastAsia" w:eastAsia="仿宋_GB2312" w:cs="Times New Roman"/>
          <w:sz w:val="32"/>
          <w:szCs w:val="32"/>
          <w:lang w:val="en-US" w:eastAsia="zh-CN"/>
        </w:rPr>
        <w:t>103</w:t>
      </w:r>
      <w:r>
        <w:rPr>
          <w:rFonts w:hint="default" w:ascii="Times New Roman" w:hAnsi="Times New Roman" w:eastAsia="仿宋_GB2312" w:cs="Times New Roman"/>
          <w:sz w:val="32"/>
          <w:szCs w:val="32"/>
        </w:rPr>
        <w:t>号</w:t>
      </w:r>
      <w:r>
        <w:rPr>
          <w:rFonts w:hint="default" w:ascii="Times New Roman" w:hAnsi="Times New Roman" w:eastAsia="仿宋_GB2312" w:cs="Times New Roman"/>
          <w:sz w:val="32"/>
          <w:szCs w:val="32"/>
          <w:lang w:val="en-US"/>
        </w:rPr>
        <w:t xml:space="preserve">                 </w:t>
      </w:r>
      <w:r>
        <w:rPr>
          <w:rFonts w:hint="default" w:ascii="Times New Roman" w:hAnsi="Times New Roman" w:eastAsia="仿宋_GB2312" w:cs="Times New Roman"/>
          <w:sz w:val="32"/>
          <w:szCs w:val="32"/>
          <w:lang w:val="en-US" w:eastAsia="zh-CN"/>
        </w:rPr>
        <w:t>签发人：</w:t>
      </w:r>
      <w:r>
        <w:rPr>
          <w:rFonts w:hint="default" w:ascii="Times New Roman" w:hAnsi="Times New Roman" w:eastAsia="楷体" w:cs="Times New Roman"/>
          <w:sz w:val="32"/>
          <w:szCs w:val="32"/>
          <w:lang w:val="en-US" w:eastAsia="zh-CN"/>
        </w:rPr>
        <w:t>刘 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44"/>
          <w:szCs w:val="44"/>
        </w:rPr>
      </w:pPr>
    </w:p>
    <w:p>
      <w:pPr>
        <w:ind w:firstLine="640" w:firstLineChars="200"/>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办理结果：</w:t>
      </w:r>
      <w:r>
        <w:rPr>
          <w:rFonts w:hint="eastAsia" w:eastAsia="仿宋_GB2312" w:cs="Times New Roman"/>
          <w:sz w:val="32"/>
          <w:szCs w:val="32"/>
          <w:lang w:val="en-US" w:eastAsia="zh-CN"/>
        </w:rPr>
        <w:t>B</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eastAsia="方正小标宋简体"/>
          <w:bCs/>
          <w:spacing w:val="20"/>
          <w:sz w:val="44"/>
          <w:szCs w:val="44"/>
        </w:rPr>
      </w:pPr>
      <w:r>
        <w:rPr>
          <w:rFonts w:hint="eastAsia" w:eastAsia="方正小标宋简体"/>
          <w:bCs/>
          <w:spacing w:val="20"/>
          <w:sz w:val="44"/>
          <w:szCs w:val="44"/>
        </w:rPr>
        <w:t>关于对市政协六届三次会议</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eastAsia="方正小标宋简体"/>
          <w:bCs/>
          <w:spacing w:val="20"/>
          <w:sz w:val="44"/>
          <w:szCs w:val="44"/>
        </w:rPr>
      </w:pPr>
      <w:r>
        <w:rPr>
          <w:rFonts w:hint="eastAsia" w:eastAsia="方正小标宋简体"/>
          <w:bCs/>
          <w:spacing w:val="20"/>
          <w:sz w:val="44"/>
          <w:szCs w:val="44"/>
        </w:rPr>
        <w:t>63</w:t>
      </w:r>
      <w:r>
        <w:rPr>
          <w:rFonts w:hint="eastAsia" w:eastAsia="方正小标宋简体"/>
          <w:bCs/>
          <w:spacing w:val="20"/>
          <w:sz w:val="44"/>
          <w:szCs w:val="44"/>
          <w:lang w:val="en-US" w:eastAsia="zh-CN"/>
        </w:rPr>
        <w:t>329</w:t>
      </w:r>
      <w:r>
        <w:rPr>
          <w:rFonts w:hint="eastAsia" w:eastAsia="方正小标宋简体"/>
          <w:bCs/>
          <w:spacing w:val="20"/>
          <w:sz w:val="44"/>
          <w:szCs w:val="44"/>
        </w:rPr>
        <w:t>号提案办理情况的答复</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eastAsia="方正小标宋简体"/>
          <w:bCs/>
          <w:spacing w:val="20"/>
          <w:sz w:val="44"/>
          <w:szCs w:val="44"/>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eastAsia="仿宋_GB2312"/>
          <w:sz w:val="32"/>
          <w:szCs w:val="32"/>
        </w:rPr>
      </w:pPr>
      <w:r>
        <w:rPr>
          <w:rFonts w:hint="eastAsia" w:eastAsia="仿宋_GB2312"/>
          <w:sz w:val="32"/>
          <w:szCs w:val="32"/>
        </w:rPr>
        <w:t>尊敬的张霞委员：</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firstLine="630"/>
        <w:textAlignment w:val="auto"/>
        <w:outlineLvl w:val="9"/>
        <w:rPr>
          <w:rFonts w:hint="default" w:ascii="Times New Roman" w:hAnsi="Times New Roman" w:eastAsia="仿宋_GB2312" w:cs="仿宋_GB2312"/>
          <w:sz w:val="32"/>
          <w:szCs w:val="32"/>
          <w:lang w:val="en-US"/>
        </w:rPr>
      </w:pPr>
      <w:r>
        <w:rPr>
          <w:rFonts w:hint="eastAsia" w:eastAsia="仿宋_GB2312"/>
          <w:sz w:val="32"/>
          <w:szCs w:val="32"/>
        </w:rPr>
        <w:t>您提出的</w:t>
      </w:r>
      <w:r>
        <w:rPr>
          <w:rFonts w:hint="eastAsia" w:eastAsia="仿宋_GB2312"/>
          <w:sz w:val="32"/>
          <w:szCs w:val="32"/>
          <w:lang w:eastAsia="zh-CN"/>
        </w:rPr>
        <w:t>“</w:t>
      </w:r>
      <w:r>
        <w:rPr>
          <w:rFonts w:hint="eastAsia" w:eastAsia="仿宋_GB2312"/>
          <w:sz w:val="32"/>
          <w:szCs w:val="32"/>
        </w:rPr>
        <w:t>关于深化产学研政合作，促进信阳跨境电商发展的提案</w:t>
      </w:r>
      <w:r>
        <w:rPr>
          <w:rFonts w:hint="eastAsia" w:eastAsia="仿宋_GB2312"/>
          <w:sz w:val="32"/>
          <w:szCs w:val="32"/>
          <w:lang w:eastAsia="zh-CN"/>
        </w:rPr>
        <w:t>”</w:t>
      </w:r>
      <w:r>
        <w:rPr>
          <w:rFonts w:hint="eastAsia" w:ascii="Times New Roman" w:hAnsi="Times New Roman" w:eastAsia="仿宋_GB2312" w:cs="Times New Roman"/>
          <w:sz w:val="32"/>
          <w:szCs w:val="32"/>
        </w:rPr>
        <w:t>收悉</w:t>
      </w:r>
      <w:r>
        <w:rPr>
          <w:rFonts w:hint="eastAsia" w:ascii="Times New Roman" w:hAnsi="Times New Roman" w:eastAsia="仿宋_GB2312" w:cs="Times New Roman"/>
          <w:sz w:val="32"/>
          <w:szCs w:val="32"/>
          <w:lang w:eastAsia="zh-CN"/>
        </w:rPr>
        <w:t>，</w:t>
      </w:r>
      <w:r>
        <w:rPr>
          <w:rFonts w:hint="eastAsia" w:eastAsia="仿宋_GB2312" w:cs="仿宋_GB2312"/>
          <w:sz w:val="32"/>
          <w:szCs w:val="32"/>
          <w:lang w:eastAsia="zh-CN"/>
        </w:rPr>
        <w:t>市商务局高度重视，经与</w:t>
      </w:r>
      <w:r>
        <w:rPr>
          <w:rFonts w:hint="eastAsia" w:ascii="Times New Roman" w:hAnsi="Times New Roman" w:eastAsia="仿宋_GB2312" w:cs="仿宋_GB2312"/>
          <w:sz w:val="32"/>
          <w:szCs w:val="32"/>
          <w:lang w:eastAsia="zh-CN"/>
        </w:rPr>
        <w:t>市科技局、市人社局、信阳海关、信阳农林学院、信阳职业技术学院等单位</w:t>
      </w:r>
      <w:r>
        <w:rPr>
          <w:rFonts w:hint="eastAsia" w:eastAsia="仿宋_GB2312" w:cs="仿宋_GB2312"/>
          <w:sz w:val="32"/>
          <w:szCs w:val="32"/>
          <w:lang w:eastAsia="zh-CN"/>
        </w:rPr>
        <w:t>共同研究办理，现答复如下：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eastAsia="zh-CN"/>
        </w:rPr>
        <w:t>首先，感谢您对我市</w:t>
      </w:r>
      <w:r>
        <w:rPr>
          <w:rFonts w:hint="eastAsia" w:ascii="Times New Roman" w:hAnsi="Times New Roman" w:eastAsia="仿宋_GB2312" w:cs="Times New Roman"/>
          <w:sz w:val="32"/>
          <w:szCs w:val="32"/>
        </w:rPr>
        <w:t>跨境电商发展</w:t>
      </w:r>
      <w:r>
        <w:rPr>
          <w:rFonts w:hint="eastAsia" w:ascii="Times New Roman" w:hAnsi="Times New Roman" w:eastAsia="仿宋_GB2312" w:cs="Times New Roman"/>
          <w:sz w:val="32"/>
          <w:szCs w:val="32"/>
          <w:lang w:eastAsia="zh-CN"/>
        </w:rPr>
        <w:t>的关心和支持！您的建议和我们的工作非常契合。</w:t>
      </w:r>
      <w:r>
        <w:rPr>
          <w:rFonts w:hint="eastAsia" w:ascii="Times New Roman" w:hAnsi="Times New Roman" w:eastAsia="仿宋_GB2312" w:cs="Times New Roman"/>
          <w:sz w:val="32"/>
          <w:szCs w:val="32"/>
          <w:lang w:val="en-US" w:eastAsia="zh-CN"/>
        </w:rPr>
        <w:t>近年来，我市围绕跨境电商通关便利化，以及跨境电商物流服务体系、跨境电商品牌孵化、跨境电商金融服务体系、跨境电商人才培养等方面做了一些工作。</w:t>
      </w:r>
      <w:r>
        <w:rPr>
          <w:rFonts w:hint="eastAsia" w:ascii="Times New Roman" w:hAnsi="Times New Roman" w:eastAsia="仿宋_GB2312" w:cs="Times New Roman"/>
          <w:b/>
          <w:bCs/>
          <w:sz w:val="32"/>
          <w:szCs w:val="32"/>
        </w:rPr>
        <w:t>从数据看</w:t>
      </w:r>
      <w:r>
        <w:rPr>
          <w:rFonts w:hint="eastAsia" w:ascii="Times New Roman" w:hAnsi="Times New Roman" w:eastAsia="仿宋_GB2312" w:cs="Times New Roman"/>
          <w:b/>
          <w:bCs/>
          <w:sz w:val="32"/>
          <w:szCs w:val="32"/>
          <w:lang w:eastAsia="zh-CN"/>
        </w:rPr>
        <w:t>，</w:t>
      </w:r>
      <w:r>
        <w:rPr>
          <w:rFonts w:hint="eastAsia" w:eastAsia="仿宋_GB2312"/>
          <w:sz w:val="32"/>
          <w:szCs w:val="32"/>
        </w:rPr>
        <w:t>20</w:t>
      </w:r>
      <w:r>
        <w:rPr>
          <w:rFonts w:hint="eastAsia" w:eastAsia="仿宋_GB2312"/>
          <w:sz w:val="32"/>
          <w:szCs w:val="32"/>
          <w:lang w:val="en-US" w:eastAsia="zh-CN"/>
        </w:rPr>
        <w:t>20</w:t>
      </w:r>
      <w:r>
        <w:rPr>
          <w:rFonts w:hint="eastAsia" w:eastAsia="仿宋_GB2312"/>
          <w:sz w:val="32"/>
          <w:szCs w:val="32"/>
        </w:rPr>
        <w:t>年以来的5年间</w:t>
      </w:r>
      <w:r>
        <w:rPr>
          <w:rFonts w:hint="eastAsia" w:eastAsia="仿宋_GB2312"/>
          <w:sz w:val="32"/>
          <w:szCs w:val="32"/>
          <w:lang w:eastAsia="zh-CN"/>
        </w:rPr>
        <w:t>，</w:t>
      </w:r>
      <w:r>
        <w:rPr>
          <w:rFonts w:hint="eastAsia" w:eastAsia="仿宋_GB2312"/>
          <w:sz w:val="32"/>
          <w:szCs w:val="32"/>
        </w:rPr>
        <w:t>我市跨境电商进出口规模增长近10倍。</w:t>
      </w:r>
      <w:r>
        <w:rPr>
          <w:rFonts w:hint="eastAsia" w:eastAsia="仿宋_GB2312"/>
          <w:sz w:val="32"/>
          <w:szCs w:val="32"/>
          <w:lang w:eastAsia="zh-CN"/>
        </w:rPr>
        <w:t>2024年</w:t>
      </w:r>
      <w:r>
        <w:rPr>
          <w:rFonts w:hint="eastAsia" w:eastAsia="仿宋_GB2312"/>
          <w:sz w:val="32"/>
          <w:szCs w:val="32"/>
          <w:lang w:val="en-US" w:eastAsia="zh-CN"/>
        </w:rPr>
        <w:t>我</w:t>
      </w:r>
      <w:r>
        <w:rPr>
          <w:rFonts w:hint="eastAsia" w:eastAsia="仿宋_GB2312"/>
          <w:sz w:val="32"/>
          <w:szCs w:val="32"/>
          <w:lang w:eastAsia="zh-CN"/>
        </w:rPr>
        <w:t>市跨境电商进出口37.11亿元，其中出口28.32亿元，进口8.79亿元，</w:t>
      </w:r>
      <w:r>
        <w:rPr>
          <w:rFonts w:hint="eastAsia" w:eastAsia="仿宋_GB2312"/>
          <w:sz w:val="32"/>
          <w:szCs w:val="32"/>
        </w:rPr>
        <w:t>总体看，我市跨境电商发展速度快，增长潜力大，但同其他地市相比，总量偏弱，位次靠后。</w:t>
      </w:r>
      <w:r>
        <w:rPr>
          <w:rFonts w:hint="eastAsia" w:eastAsia="仿宋_GB2312"/>
          <w:b/>
          <w:bCs/>
          <w:sz w:val="32"/>
          <w:szCs w:val="32"/>
        </w:rPr>
        <w:t>从商品看</w:t>
      </w:r>
      <w:r>
        <w:rPr>
          <w:rFonts w:hint="eastAsia" w:eastAsia="仿宋_GB2312"/>
          <w:b/>
          <w:bCs/>
          <w:sz w:val="32"/>
          <w:szCs w:val="32"/>
          <w:lang w:eastAsia="zh-CN"/>
        </w:rPr>
        <w:t>，</w:t>
      </w:r>
      <w:r>
        <w:rPr>
          <w:rFonts w:hint="eastAsia" w:eastAsia="仿宋_GB2312"/>
          <w:sz w:val="32"/>
          <w:szCs w:val="32"/>
        </w:rPr>
        <w:t>九成以上的跨境电商货物为消费品和初级农产品。进口商品主要包括美妆及洗护用品、医药保健与母婴产品及生鲜食品等</w:t>
      </w:r>
      <w:r>
        <w:rPr>
          <w:rFonts w:hint="eastAsia" w:eastAsia="仿宋_GB2312"/>
          <w:sz w:val="32"/>
          <w:szCs w:val="32"/>
          <w:lang w:eastAsia="zh-CN"/>
        </w:rPr>
        <w:t>；</w:t>
      </w:r>
      <w:r>
        <w:rPr>
          <w:rFonts w:hint="eastAsia" w:eastAsia="仿宋_GB2312"/>
          <w:sz w:val="32"/>
          <w:szCs w:val="32"/>
        </w:rPr>
        <w:t>出口商品种类更加丰富</w:t>
      </w:r>
      <w:r>
        <w:rPr>
          <w:rFonts w:hint="eastAsia" w:eastAsia="仿宋_GB2312"/>
          <w:sz w:val="32"/>
          <w:szCs w:val="32"/>
          <w:lang w:eastAsia="zh-CN"/>
        </w:rPr>
        <w:t>，</w:t>
      </w:r>
      <w:r>
        <w:rPr>
          <w:rFonts w:hint="eastAsia" w:eastAsia="仿宋_GB2312"/>
          <w:sz w:val="32"/>
          <w:szCs w:val="32"/>
        </w:rPr>
        <w:t>正逐步从服饰鞋包、</w:t>
      </w:r>
      <w:r>
        <w:rPr>
          <w:rFonts w:hint="eastAsia" w:eastAsia="仿宋_GB2312"/>
          <w:sz w:val="32"/>
          <w:szCs w:val="32"/>
          <w:lang w:val="en-US" w:eastAsia="zh-CN"/>
        </w:rPr>
        <w:t>羽绒制品</w:t>
      </w:r>
      <w:r>
        <w:rPr>
          <w:rFonts w:hint="eastAsia" w:eastAsia="仿宋_GB2312"/>
          <w:sz w:val="32"/>
          <w:szCs w:val="32"/>
          <w:lang w:eastAsia="zh-CN"/>
        </w:rPr>
        <w:t>、</w:t>
      </w:r>
      <w:r>
        <w:rPr>
          <w:rFonts w:hint="eastAsia" w:eastAsia="仿宋_GB2312"/>
          <w:sz w:val="32"/>
          <w:szCs w:val="32"/>
          <w:lang w:val="en-US" w:eastAsia="zh-CN"/>
        </w:rPr>
        <w:t>柳编工艺品、户外用品</w:t>
      </w:r>
      <w:r>
        <w:rPr>
          <w:rFonts w:hint="eastAsia" w:eastAsia="仿宋_GB2312"/>
          <w:sz w:val="32"/>
          <w:szCs w:val="32"/>
        </w:rPr>
        <w:t>等劳动密集型产品向电子数码、智能家居等技术密集型产品升级。</w:t>
      </w:r>
      <w:r>
        <w:rPr>
          <w:rFonts w:hint="eastAsia" w:ascii="Times New Roman" w:hAnsi="Times New Roman" w:eastAsia="仿宋_GB2312" w:cs="Times New Roman"/>
          <w:b/>
          <w:bCs/>
          <w:sz w:val="32"/>
          <w:szCs w:val="32"/>
        </w:rPr>
        <w:t>从企业看</w:t>
      </w:r>
      <w:r>
        <w:rPr>
          <w:rFonts w:hint="eastAsia" w:ascii="Times New Roman" w:hAnsi="Times New Roman" w:eastAsia="仿宋_GB2312" w:cs="Times New Roman"/>
          <w:b/>
          <w:bCs/>
          <w:sz w:val="32"/>
          <w:szCs w:val="32"/>
          <w:lang w:eastAsia="zh-CN"/>
        </w:rPr>
        <w:t>，</w:t>
      </w:r>
      <w:r>
        <w:rPr>
          <w:rFonts w:hint="eastAsia" w:eastAsia="仿宋_GB2312"/>
          <w:sz w:val="32"/>
          <w:szCs w:val="32"/>
        </w:rPr>
        <w:t>我市现有开展跨境电商业务企业91家，占全市外贸实绩企业（191家）的47.6%，跨境电商海外仓示范企业2家（永豪轩、固始洪毅达工艺品公司）</w:t>
      </w:r>
      <w:r>
        <w:rPr>
          <w:rFonts w:hint="eastAsia" w:eastAsia="仿宋_GB2312"/>
          <w:sz w:val="32"/>
          <w:szCs w:val="32"/>
          <w:lang w:eastAsia="zh-CN"/>
        </w:rPr>
        <w:t>，</w:t>
      </w:r>
      <w:r>
        <w:rPr>
          <w:rFonts w:hint="eastAsia" w:eastAsia="仿宋_GB2312"/>
          <w:sz w:val="32"/>
          <w:szCs w:val="32"/>
          <w:lang w:val="en-US" w:eastAsia="zh-CN"/>
        </w:rPr>
        <w:t>企业</w:t>
      </w:r>
      <w:r>
        <w:rPr>
          <w:rFonts w:hint="eastAsia" w:eastAsia="仿宋_GB2312"/>
          <w:sz w:val="32"/>
          <w:szCs w:val="32"/>
        </w:rPr>
        <w:t>多为贸易商或传统外贸企业转型的电商公司，大多规模较小</w:t>
      </w:r>
      <w:r>
        <w:rPr>
          <w:rFonts w:hint="eastAsia" w:eastAsia="仿宋_GB2312"/>
          <w:sz w:val="32"/>
          <w:szCs w:val="32"/>
          <w:lang w:eastAsia="zh-CN"/>
        </w:rPr>
        <w:t>，</w:t>
      </w:r>
      <w:r>
        <w:rPr>
          <w:rFonts w:hint="eastAsia" w:eastAsia="仿宋_GB2312"/>
          <w:sz w:val="32"/>
          <w:szCs w:val="32"/>
        </w:rPr>
        <w:t>尚未形成集聚效应。</w:t>
      </w:r>
      <w:r>
        <w:rPr>
          <w:rFonts w:hint="eastAsia" w:eastAsia="仿宋_GB2312"/>
          <w:b/>
          <w:bCs/>
          <w:sz w:val="32"/>
          <w:szCs w:val="32"/>
        </w:rPr>
        <w:t>从渠道看，</w:t>
      </w:r>
      <w:r>
        <w:rPr>
          <w:rFonts w:hint="eastAsia" w:eastAsia="仿宋_GB2312"/>
          <w:sz w:val="32"/>
          <w:szCs w:val="32"/>
          <w:lang w:val="en-US" w:eastAsia="zh-CN"/>
        </w:rPr>
        <w:t>我市</w:t>
      </w:r>
      <w:r>
        <w:rPr>
          <w:rFonts w:hint="eastAsia" w:eastAsia="仿宋_GB2312"/>
          <w:sz w:val="32"/>
          <w:szCs w:val="32"/>
        </w:rPr>
        <w:t>跨境电商企业以依托第三方平台为主，如：亚马逊、</w:t>
      </w:r>
      <w:r>
        <w:rPr>
          <w:rFonts w:hint="eastAsia" w:eastAsia="仿宋_GB2312"/>
          <w:sz w:val="32"/>
          <w:szCs w:val="32"/>
          <w:lang w:val="en-US" w:eastAsia="zh-CN"/>
        </w:rPr>
        <w:t>邮政国际、</w:t>
      </w:r>
      <w:r>
        <w:rPr>
          <w:rFonts w:hint="eastAsia" w:eastAsia="仿宋_GB2312"/>
          <w:sz w:val="32"/>
          <w:szCs w:val="32"/>
        </w:rPr>
        <w:t>阿里巴巴国际站、京东全球购等</w:t>
      </w:r>
      <w:r>
        <w:rPr>
          <w:rFonts w:hint="eastAsia" w:eastAsia="仿宋_GB2312"/>
          <w:sz w:val="32"/>
          <w:szCs w:val="32"/>
          <w:lang w:eastAsia="zh-CN"/>
        </w:rPr>
        <w:t>，</w:t>
      </w:r>
      <w:r>
        <w:rPr>
          <w:rFonts w:hint="eastAsia" w:eastAsia="仿宋_GB2312"/>
          <w:sz w:val="32"/>
          <w:szCs w:val="32"/>
        </w:rPr>
        <w:t>发展模式单一，对第三方平台过度依赖。</w:t>
      </w:r>
      <w:r>
        <w:rPr>
          <w:rFonts w:hint="eastAsia" w:ascii="Times New Roman" w:hAnsi="Times New Roman" w:eastAsia="仿宋_GB2312" w:cs="Times New Roman"/>
          <w:b/>
          <w:bCs/>
          <w:sz w:val="32"/>
          <w:szCs w:val="32"/>
          <w:lang w:val="en-US" w:eastAsia="zh-CN"/>
        </w:rPr>
        <w:t>从载体看，</w:t>
      </w:r>
      <w:r>
        <w:rPr>
          <w:rFonts w:eastAsia="仿宋_GB2312"/>
          <w:sz w:val="32"/>
          <w:szCs w:val="32"/>
        </w:rPr>
        <w:t>海外仓</w:t>
      </w:r>
      <w:r>
        <w:rPr>
          <w:rFonts w:hint="eastAsia" w:eastAsia="仿宋_GB2312"/>
          <w:sz w:val="32"/>
          <w:szCs w:val="32"/>
          <w:lang w:val="en-US" w:eastAsia="zh-CN"/>
        </w:rPr>
        <w:t>逐步</w:t>
      </w:r>
      <w:r>
        <w:rPr>
          <w:rFonts w:eastAsia="仿宋_GB2312"/>
          <w:sz w:val="32"/>
          <w:szCs w:val="32"/>
        </w:rPr>
        <w:t>扩张，已在</w:t>
      </w:r>
      <w:r>
        <w:rPr>
          <w:rFonts w:hint="eastAsia" w:eastAsia="仿宋_GB2312"/>
          <w:sz w:val="32"/>
          <w:szCs w:val="32"/>
          <w:lang w:val="en-US" w:eastAsia="zh-CN"/>
        </w:rPr>
        <w:t>12</w:t>
      </w:r>
      <w:r>
        <w:rPr>
          <w:rFonts w:eastAsia="仿宋_GB2312"/>
          <w:sz w:val="32"/>
          <w:szCs w:val="32"/>
        </w:rPr>
        <w:t>个国家和地区建设了（</w:t>
      </w:r>
      <w:r>
        <w:rPr>
          <w:rFonts w:hint="eastAsia" w:eastAsia="仿宋_GB2312"/>
          <w:sz w:val="32"/>
          <w:szCs w:val="32"/>
          <w:lang w:eastAsia="zh-CN"/>
        </w:rPr>
        <w:t>自建、共建、租借</w:t>
      </w:r>
      <w:r>
        <w:rPr>
          <w:rFonts w:eastAsia="仿宋_GB2312"/>
          <w:sz w:val="32"/>
          <w:szCs w:val="32"/>
        </w:rPr>
        <w:t>）</w:t>
      </w:r>
      <w:r>
        <w:rPr>
          <w:rFonts w:hint="eastAsia" w:eastAsia="仿宋_GB2312"/>
          <w:sz w:val="32"/>
          <w:szCs w:val="32"/>
          <w:lang w:val="en-US" w:eastAsia="zh-CN"/>
        </w:rPr>
        <w:t>16</w:t>
      </w:r>
      <w:r>
        <w:rPr>
          <w:rFonts w:eastAsia="仿宋_GB2312"/>
          <w:sz w:val="32"/>
          <w:szCs w:val="32"/>
        </w:rPr>
        <w:t>个海外仓，其中最大的面积超过了</w:t>
      </w:r>
      <w:r>
        <w:rPr>
          <w:rFonts w:hint="eastAsia" w:eastAsia="仿宋_GB2312"/>
          <w:sz w:val="32"/>
          <w:szCs w:val="32"/>
          <w:lang w:val="en-US" w:eastAsia="zh-CN"/>
        </w:rPr>
        <w:t>10</w:t>
      </w:r>
      <w:r>
        <w:rPr>
          <w:rFonts w:eastAsia="仿宋_GB2312"/>
          <w:sz w:val="32"/>
          <w:szCs w:val="32"/>
        </w:rPr>
        <w:t>万平方米。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ascii="Times New Roman" w:hAnsi="Times New Roman" w:eastAsia="仿宋_GB2312" w:cs="Times New Roman"/>
          <w:sz w:val="32"/>
          <w:szCs w:val="32"/>
          <w:lang w:val="en-US" w:eastAsia="zh-CN"/>
        </w:rPr>
        <w:t>在取得一定工作成效的同时，对照综试区建设要求和产业发展实际，我市跨境电商仍存在发展短板，这同时也是信阳构建跨境电商生态圈所面临的难题，亟待解决。</w:t>
      </w:r>
      <w:r>
        <w:rPr>
          <w:rFonts w:eastAsia="仿宋_GB2312"/>
          <w:sz w:val="32"/>
          <w:szCs w:val="32"/>
        </w:rPr>
        <w:t>其中</w:t>
      </w:r>
      <w:r>
        <w:rPr>
          <w:rFonts w:hint="eastAsia" w:eastAsia="仿宋_GB2312"/>
          <w:sz w:val="32"/>
          <w:szCs w:val="32"/>
          <w:lang w:val="en-US" w:eastAsia="zh-CN"/>
        </w:rPr>
        <w:t>您</w:t>
      </w:r>
      <w:r>
        <w:rPr>
          <w:rFonts w:eastAsia="仿宋_GB2312"/>
          <w:sz w:val="32"/>
          <w:szCs w:val="32"/>
        </w:rPr>
        <w:t>提出的四个问题，切中了目前我市跨境电商行业发展的要害，所提建设性建议对发展跨境电商和建设综试区意义重大。</w:t>
      </w:r>
      <w:r>
        <w:rPr>
          <w:rFonts w:hint="eastAsia" w:eastAsia="仿宋_GB2312"/>
          <w:sz w:val="32"/>
          <w:szCs w:val="32"/>
        </w:rPr>
        <w:t>针对</w:t>
      </w:r>
      <w:r>
        <w:rPr>
          <w:rFonts w:hint="eastAsia" w:eastAsia="仿宋_GB2312"/>
          <w:sz w:val="32"/>
          <w:szCs w:val="32"/>
          <w:lang w:eastAsia="zh-CN"/>
        </w:rPr>
        <w:t>您</w:t>
      </w:r>
      <w:r>
        <w:rPr>
          <w:rFonts w:hint="eastAsia" w:eastAsia="仿宋_GB2312"/>
          <w:sz w:val="32"/>
          <w:szCs w:val="32"/>
        </w:rPr>
        <w:t>的提案，我们将认真做好以下工作：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一、</w:t>
      </w:r>
      <w:r>
        <w:rPr>
          <w:rFonts w:hint="eastAsia" w:ascii="黑体" w:hAnsi="黑体" w:eastAsia="黑体" w:cs="黑体"/>
          <w:b w:val="0"/>
          <w:bCs/>
          <w:sz w:val="32"/>
          <w:szCs w:val="32"/>
          <w:lang w:val="en-US" w:eastAsia="zh-CN"/>
        </w:rPr>
        <w:t>探索建立合作机制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sz w:val="32"/>
          <w:szCs w:val="32"/>
          <w:lang w:val="en-US" w:eastAsia="zh-CN"/>
        </w:rPr>
        <w:t>建立</w:t>
      </w:r>
      <w:r>
        <w:rPr>
          <w:rFonts w:hint="eastAsia" w:ascii="Times New Roman" w:hAnsi="Times New Roman" w:eastAsia="仿宋_GB2312" w:cs="Times New Roman"/>
          <w:sz w:val="32"/>
          <w:szCs w:val="32"/>
        </w:rPr>
        <w:t>产学研合作机制有助于整合政府、学校、企业和行业协会等各方资源，形成“政校行企联</w:t>
      </w:r>
      <w:bookmarkStart w:id="0" w:name="_GoBack"/>
      <w:bookmarkEnd w:id="0"/>
      <w:r>
        <w:rPr>
          <w:rFonts w:hint="eastAsia" w:ascii="Times New Roman" w:hAnsi="Times New Roman" w:eastAsia="仿宋_GB2312" w:cs="Times New Roman"/>
          <w:sz w:val="32"/>
          <w:szCs w:val="32"/>
        </w:rPr>
        <w:t>动、产学研用一体化” 的良好生态，共同应对跨境电商发展中的挑战</w:t>
      </w:r>
      <w:r>
        <w:rPr>
          <w:rFonts w:hint="eastAsia" w:ascii="Times New Roman" w:hAnsi="Times New Roman" w:eastAsia="仿宋_GB2312" w:cs="Times New Roman"/>
          <w:kern w:val="2"/>
          <w:sz w:val="32"/>
          <w:szCs w:val="32"/>
          <w:lang w:val="en-US" w:eastAsia="zh-CN" w:bidi="ar-SA"/>
        </w:rPr>
        <w:t>。就下步合作机制建立，我们将主动与信阳师范大学、信阳农林学院、信阳职业技术学院等高校对接，重点围绕人才孵化体系构建、产教融合课程开发、“双师型”教师培养、实训基地建设等领域开展深度合作，打造集“教学实训、创新创业、产业服务”于一体的综合性产教融合示范平台，实现政校企资源共享、优势互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二、加强政策支持力度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eastAsia="仿宋_GB2312"/>
          <w:sz w:val="32"/>
          <w:szCs w:val="32"/>
          <w:lang w:val="en-US"/>
        </w:rPr>
      </w:pPr>
      <w:r>
        <w:rPr>
          <w:rFonts w:hint="eastAsia" w:eastAsia="仿宋_GB2312"/>
          <w:sz w:val="32"/>
          <w:szCs w:val="32"/>
          <w:lang w:val="en-US" w:eastAsia="zh-CN"/>
        </w:rPr>
        <w:t>2023年11月，我市出台了《信阳市人民政府关于促进电子商务高质量发展的实施意见》，从壮大市场主体、完善支撑体系、推动融合应用、优化营商环境四个部分，明确了促进电子商务高质量发展的十个方面具体内容，全力推动电商及跨境电商集聚发展。但在执行过程中，企业获得感不强。下一步，我们将会同发改、税务、邮政、海关、人社、教育、人行信阳支行等单位，研究出台支持我市跨境电商发展若干措施，走出去学习先进经验，同时联动相关部门向上积极争取相关政策和项目，不断完善我市跨境电商政策支撑体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三、培育跨境电商人才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eastAsia="仿宋_GB2312"/>
          <w:sz w:val="32"/>
          <w:szCs w:val="32"/>
          <w:lang w:val="en-US" w:eastAsia="zh-CN"/>
        </w:rPr>
      </w:pPr>
      <w:r>
        <w:rPr>
          <w:rFonts w:hint="eastAsia" w:eastAsia="仿宋_GB2312"/>
          <w:sz w:val="32"/>
          <w:szCs w:val="32"/>
        </w:rPr>
        <w:t>跨境电商人才是行业发展的核心驱动力和关键支撑，是企业在复杂国际环境中破局制胜的关键</w:t>
      </w:r>
      <w:r>
        <w:rPr>
          <w:rFonts w:hint="eastAsia" w:eastAsia="仿宋_GB2312"/>
          <w:sz w:val="32"/>
          <w:szCs w:val="32"/>
          <w:lang w:eastAsia="zh-CN"/>
        </w:rPr>
        <w:t>，</w:t>
      </w:r>
      <w:r>
        <w:rPr>
          <w:rFonts w:hint="eastAsia" w:eastAsia="仿宋_GB2312"/>
          <w:sz w:val="32"/>
          <w:szCs w:val="32"/>
          <w:lang w:val="en-US" w:eastAsia="zh-CN"/>
        </w:rPr>
        <w:t>我们将从人才培育、服务体系、平台对接等方面发力，着力破解这一难题。一是以市场需求为导向，引入专业培训机构，推行定制式、公司式等孵化模式，进一步完善跨境电子商务人才培训机制，为信阳跨境电商企业输送创新型人才和技能实干型人才。二是加强政府、高校与行业协会、企业合作，构建政府、学校、社会、企业多方联动的跨境电商专业化、社会化、国际化的人才培养体系，引导支持信阳师范大学、信阳职业技术学院和各类职业院校开设和发展跨境电商相关专业和课程，建立跨境电商人才定制化培养的校企合作机制。三是鼓励专业机构、行业协会、院校、园区、企业等主体联合开展跨境电商专业沙龙、论坛、展会、竞赛、培训等活动，积极搭建人才对接平台，完善跨境电商人才吸引、培养、使用、流动和激励机制，健全专业化、国际化的人才市场服务保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四、加大国际市场开拓</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eastAsia="仿宋_GB2312"/>
          <w:sz w:val="32"/>
          <w:szCs w:val="32"/>
          <w:lang w:val="en-US" w:eastAsia="zh-CN"/>
        </w:rPr>
      </w:pPr>
      <w:r>
        <w:rPr>
          <w:rFonts w:hint="eastAsia" w:eastAsia="仿宋_GB2312"/>
          <w:sz w:val="32"/>
          <w:szCs w:val="32"/>
        </w:rPr>
        <w:t>国际市场开拓能力是跨境电商企业的核心竞争壁垒，直接决定了企业能否突破地域限制</w:t>
      </w:r>
      <w:r>
        <w:rPr>
          <w:rFonts w:hint="eastAsia" w:eastAsia="仿宋_GB2312"/>
          <w:sz w:val="32"/>
          <w:szCs w:val="32"/>
          <w:lang w:eastAsia="zh-CN"/>
        </w:rPr>
        <w:t>，</w:t>
      </w:r>
      <w:r>
        <w:rPr>
          <w:rFonts w:hint="eastAsia" w:eastAsia="仿宋_GB2312"/>
          <w:sz w:val="32"/>
          <w:szCs w:val="32"/>
        </w:rPr>
        <w:t>有效触达、吸引并服务全球消费者。</w:t>
      </w:r>
      <w:r>
        <w:rPr>
          <w:rFonts w:hint="eastAsia" w:eastAsia="仿宋_GB2312"/>
          <w:sz w:val="32"/>
          <w:szCs w:val="32"/>
          <w:lang w:val="en-US" w:eastAsia="zh-CN"/>
        </w:rPr>
        <w:t>一是强化能力建设与服务支撑。对接跨境平台企业，组织国际市场规则、数字营销、品牌建设、知识产权保护、跨文化沟通等专题培训及实战演练。二是做好信息服务平台。宣传企业用好中国贸促会“贸企通”“贸法通”，整合发布目标市场动态、消费趋势、法规政策、风险预警等关键信息，提供“一站式”查询与咨询服务。三是争取专项资金扶持。对海外展销、营销推广、国际认证、海外仓建设运营等争取项目补贴或奖励。四是信贷与保险支持。引导金融机构开发针对性信贷产品（如信用贷、订单贷），扩大出口信用保险覆盖面，降低企业出海资金压力与收汇风险。五是税收便利。优化跨境电商出口退税流程，探索适应新业态的税收政策。六是拓展国际营销渠道与平台。针对重点目标市场，组织企业参加国际知名线上展会、线下专业展会（如广交会跨境电商专区）。七是布局海外仓网络。支持企业在关键节点市场建设、优化海外仓，提供通关、物流、售后等本土化服务，提升履约效率与消费者体验。八是便利化通关。联动信阳海关，持续完善跨境电商进出口通关监管模式，提升口岸信息化与通关效率。九是构建品牌推广协同生态。在海外市场开展地市层面的整体形象宣传，提升“信阳制造”美誉度，为个体品牌出海背书。十是发挥商协会作用。支持行业协会、商会组织企业集体出海，提供法律、认证、纠纷调解等服务，形成合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五、打造跨境电商生态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整合物流、支付、通关等全链条服务</w:t>
      </w:r>
      <w:r>
        <w:rPr>
          <w:rFonts w:hint="eastAsia" w:eastAsia="仿宋_GB2312"/>
          <w:sz w:val="32"/>
          <w:szCs w:val="32"/>
          <w:lang w:eastAsia="zh-CN"/>
        </w:rPr>
        <w:t>，</w:t>
      </w:r>
      <w:r>
        <w:rPr>
          <w:rFonts w:hint="eastAsia" w:eastAsia="仿宋_GB2312"/>
          <w:sz w:val="32"/>
          <w:szCs w:val="32"/>
          <w:lang w:val="en-US" w:eastAsia="zh-CN"/>
        </w:rPr>
        <w:t>对</w:t>
      </w:r>
      <w:r>
        <w:rPr>
          <w:rFonts w:hint="eastAsia" w:eastAsia="仿宋_GB2312"/>
          <w:sz w:val="32"/>
          <w:szCs w:val="32"/>
          <w:lang w:eastAsia="zh-CN"/>
        </w:rPr>
        <w:t>大幅降低企业出海门槛与运营成本，实现跨境贸易的无缝对接</w:t>
      </w:r>
      <w:r>
        <w:rPr>
          <w:rFonts w:hint="eastAsia" w:eastAsia="仿宋_GB2312"/>
          <w:sz w:val="32"/>
          <w:szCs w:val="32"/>
          <w:lang w:val="en-US" w:eastAsia="zh-CN"/>
        </w:rPr>
        <w:t>具有重要意义。</w:t>
      </w:r>
      <w:r>
        <w:rPr>
          <w:rFonts w:eastAsia="仿宋_GB2312"/>
          <w:sz w:val="32"/>
          <w:szCs w:val="32"/>
        </w:rPr>
        <w:t>一是想方设法让</w:t>
      </w:r>
      <w:r>
        <w:rPr>
          <w:rFonts w:hint="eastAsia" w:eastAsia="仿宋_GB2312"/>
          <w:sz w:val="32"/>
          <w:szCs w:val="32"/>
          <w:lang w:val="en-US" w:eastAsia="zh-CN"/>
        </w:rPr>
        <w:t>企业</w:t>
      </w:r>
      <w:r>
        <w:rPr>
          <w:rFonts w:eastAsia="仿宋_GB2312"/>
          <w:sz w:val="32"/>
          <w:szCs w:val="32"/>
        </w:rPr>
        <w:t>尽快成长。针对</w:t>
      </w:r>
      <w:r>
        <w:rPr>
          <w:rFonts w:hint="eastAsia" w:eastAsia="仿宋_GB2312"/>
          <w:sz w:val="32"/>
          <w:szCs w:val="32"/>
          <w:lang w:eastAsia="zh-CN"/>
        </w:rPr>
        <w:t>我市</w:t>
      </w:r>
      <w:r>
        <w:rPr>
          <w:rFonts w:eastAsia="仿宋_GB2312"/>
          <w:sz w:val="32"/>
          <w:szCs w:val="32"/>
        </w:rPr>
        <w:t>跨境电商企业起步晚、数量少、实力弱的情况，采取</w:t>
      </w:r>
      <w:r>
        <w:rPr>
          <w:rFonts w:hint="eastAsia" w:eastAsia="仿宋_GB2312"/>
          <w:sz w:val="32"/>
          <w:szCs w:val="32"/>
          <w:lang w:eastAsia="zh-CN"/>
        </w:rPr>
        <w:t>“</w:t>
      </w:r>
      <w:r>
        <w:rPr>
          <w:rFonts w:hint="eastAsia" w:eastAsia="仿宋_GB2312"/>
          <w:sz w:val="32"/>
          <w:szCs w:val="32"/>
          <w:lang w:val="en-US" w:eastAsia="zh-CN"/>
        </w:rPr>
        <w:t>一对一</w:t>
      </w:r>
      <w:r>
        <w:rPr>
          <w:rFonts w:hint="eastAsia" w:eastAsia="仿宋_GB2312"/>
          <w:sz w:val="32"/>
          <w:szCs w:val="32"/>
          <w:lang w:eastAsia="zh-CN"/>
        </w:rPr>
        <w:t>”</w:t>
      </w:r>
      <w:r>
        <w:rPr>
          <w:rFonts w:eastAsia="仿宋_GB2312"/>
          <w:sz w:val="32"/>
          <w:szCs w:val="32"/>
        </w:rPr>
        <w:t>扶持本土和招大引强两手抓。一方面，研究制定《跨境电商</w:t>
      </w:r>
      <w:r>
        <w:rPr>
          <w:rFonts w:hint="eastAsia" w:eastAsia="仿宋_GB2312"/>
          <w:sz w:val="32"/>
          <w:szCs w:val="32"/>
          <w:lang w:val="en-US" w:eastAsia="zh-CN"/>
        </w:rPr>
        <w:t>企业包保机制方案</w:t>
      </w:r>
      <w:r>
        <w:rPr>
          <w:rFonts w:eastAsia="仿宋_GB2312"/>
          <w:sz w:val="32"/>
          <w:szCs w:val="32"/>
        </w:rPr>
        <w:t>》，着力扶持跨境电商做大做强；另一方面，下功夫着力引进有实力的跨境电商</w:t>
      </w:r>
      <w:r>
        <w:rPr>
          <w:rFonts w:hint="eastAsia" w:eastAsia="仿宋_GB2312"/>
          <w:sz w:val="32"/>
          <w:szCs w:val="32"/>
          <w:lang w:val="en-US" w:eastAsia="zh-CN"/>
        </w:rPr>
        <w:t>企业</w:t>
      </w:r>
      <w:r>
        <w:rPr>
          <w:rFonts w:eastAsia="仿宋_GB2312"/>
          <w:sz w:val="32"/>
          <w:szCs w:val="32"/>
        </w:rPr>
        <w:t>落户</w:t>
      </w:r>
      <w:r>
        <w:rPr>
          <w:rFonts w:hint="eastAsia" w:eastAsia="仿宋_GB2312"/>
          <w:sz w:val="32"/>
          <w:szCs w:val="32"/>
          <w:lang w:val="en-US" w:eastAsia="zh-CN"/>
        </w:rPr>
        <w:t>信阳</w:t>
      </w:r>
      <w:r>
        <w:rPr>
          <w:rFonts w:eastAsia="仿宋_GB2312"/>
          <w:sz w:val="32"/>
          <w:szCs w:val="32"/>
        </w:rPr>
        <w:t>，带动行业发展。二是千方百计让企业触网升级。我市在大力培育和引进跨境电商</w:t>
      </w:r>
      <w:r>
        <w:rPr>
          <w:rFonts w:hint="eastAsia" w:eastAsia="仿宋_GB2312"/>
          <w:sz w:val="32"/>
          <w:szCs w:val="32"/>
          <w:lang w:val="en-US" w:eastAsia="zh-CN"/>
        </w:rPr>
        <w:t>企业</w:t>
      </w:r>
      <w:r>
        <w:rPr>
          <w:rFonts w:eastAsia="仿宋_GB2312"/>
          <w:sz w:val="32"/>
          <w:szCs w:val="32"/>
        </w:rPr>
        <w:t>的同时，拟对全市优势制造业企业进行摸底，在此基础上，建立企业对接名录，分行业组织制造业企业与跨境电商平台进行对接，促成我市传统制造业企业与跨境电商平台企业的合作，为企业借助跨境电商转型发展提供载体与舞台</w:t>
      </w:r>
      <w:r>
        <w:rPr>
          <w:rFonts w:hint="eastAsia" w:eastAsia="仿宋_GB2312"/>
          <w:sz w:val="32"/>
          <w:szCs w:val="32"/>
          <w:lang w:eastAsia="zh-CN"/>
        </w:rPr>
        <w:t>。</w:t>
      </w:r>
      <w:r>
        <w:rPr>
          <w:rFonts w:eastAsia="仿宋_GB2312"/>
          <w:sz w:val="32"/>
          <w:szCs w:val="32"/>
        </w:rPr>
        <w:t>三是竭尽全力使产品走向海外。</w:t>
      </w:r>
      <w:r>
        <w:rPr>
          <w:rFonts w:hint="eastAsia" w:eastAsia="仿宋_GB2312"/>
          <w:sz w:val="32"/>
          <w:szCs w:val="32"/>
          <w:lang w:eastAsia="zh-CN"/>
        </w:rPr>
        <w:t>积极</w:t>
      </w:r>
      <w:r>
        <w:rPr>
          <w:rFonts w:eastAsia="仿宋_GB2312"/>
          <w:sz w:val="32"/>
          <w:szCs w:val="32"/>
        </w:rPr>
        <w:t>与</w:t>
      </w:r>
      <w:r>
        <w:rPr>
          <w:rFonts w:hint="eastAsia" w:eastAsia="仿宋_GB2312"/>
          <w:sz w:val="32"/>
          <w:szCs w:val="32"/>
          <w:lang w:val="en-US" w:eastAsia="zh-CN"/>
        </w:rPr>
        <w:t>市场监督管理局等有关部门</w:t>
      </w:r>
      <w:r>
        <w:rPr>
          <w:rFonts w:eastAsia="仿宋_GB2312"/>
          <w:sz w:val="32"/>
          <w:szCs w:val="32"/>
        </w:rPr>
        <w:t>进行工作对接，对我市</w:t>
      </w:r>
      <w:r>
        <w:rPr>
          <w:rFonts w:hint="eastAsia" w:eastAsia="仿宋_GB2312"/>
          <w:sz w:val="32"/>
          <w:szCs w:val="32"/>
          <w:lang w:val="en-US" w:eastAsia="zh-CN"/>
        </w:rPr>
        <w:t>制造业</w:t>
      </w:r>
      <w:r>
        <w:rPr>
          <w:rFonts w:eastAsia="仿宋_GB2312"/>
          <w:sz w:val="32"/>
          <w:szCs w:val="32"/>
        </w:rPr>
        <w:t>名牌产品进行摸底，启动名牌产品上跨境电商平台的“触网工程”，为我市名牌产品及生产企业走出去铺路架桥。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pPr>
      <w:r>
        <w:rPr>
          <w:rFonts w:eastAsia="仿宋_GB2312"/>
          <w:sz w:val="32"/>
          <w:szCs w:val="32"/>
        </w:rPr>
        <w:t>再次感谢</w:t>
      </w:r>
      <w:r>
        <w:rPr>
          <w:rFonts w:hint="eastAsia" w:eastAsia="仿宋_GB2312"/>
          <w:sz w:val="32"/>
          <w:szCs w:val="32"/>
          <w:lang w:eastAsia="zh-CN"/>
        </w:rPr>
        <w:t>您</w:t>
      </w:r>
      <w:r>
        <w:rPr>
          <w:rFonts w:eastAsia="仿宋_GB2312"/>
          <w:sz w:val="32"/>
          <w:szCs w:val="32"/>
        </w:rPr>
        <w:t>对我市跨境电商工作的关心和支持，作为跨境电商行业主管部门，我局将一如既往地关注并大力支持跨境电商行业发展，努力建设综试区</w:t>
      </w:r>
      <w:r>
        <w:rPr>
          <w:rFonts w:hint="eastAsia" w:eastAsia="仿宋_GB2312"/>
          <w:sz w:val="32"/>
          <w:szCs w:val="32"/>
          <w:lang w:eastAsia="zh-CN"/>
        </w:rPr>
        <w:t>，</w:t>
      </w:r>
      <w:r>
        <w:rPr>
          <w:rFonts w:hint="eastAsia" w:eastAsia="仿宋_GB2312"/>
          <w:sz w:val="32"/>
          <w:szCs w:val="32"/>
        </w:rPr>
        <w:t>更会一如既往地高度关注并充分吸纳您的</w:t>
      </w:r>
      <w:r>
        <w:rPr>
          <w:rFonts w:hint="eastAsia" w:eastAsia="仿宋_GB2312"/>
          <w:sz w:val="32"/>
          <w:szCs w:val="32"/>
          <w:lang w:eastAsia="zh-CN"/>
        </w:rPr>
        <w:t>真知灼见</w:t>
      </w:r>
      <w:r>
        <w:rPr>
          <w:rFonts w:hint="eastAsia" w:eastAsia="仿宋_GB2312"/>
          <w:sz w:val="32"/>
          <w:szCs w:val="32"/>
        </w:rPr>
        <w:t>，努力开创工作的新局面</w:t>
      </w:r>
      <w:r>
        <w:rPr>
          <w:rFonts w:hint="eastAsia" w:eastAsia="仿宋_GB2312"/>
          <w:sz w:val="32"/>
          <w:szCs w:val="32"/>
          <w:lang w:eastAsia="zh-CN"/>
        </w:rPr>
        <w:t>，也</w:t>
      </w:r>
      <w:r>
        <w:rPr>
          <w:rFonts w:hint="eastAsia" w:eastAsia="仿宋_GB2312"/>
          <w:sz w:val="32"/>
          <w:szCs w:val="32"/>
        </w:rPr>
        <w:t>欢迎</w:t>
      </w:r>
      <w:r>
        <w:rPr>
          <w:rFonts w:hint="eastAsia" w:eastAsia="仿宋_GB2312"/>
          <w:sz w:val="32"/>
          <w:szCs w:val="32"/>
          <w:lang w:eastAsia="zh-CN"/>
        </w:rPr>
        <w:t>您</w:t>
      </w:r>
      <w:r>
        <w:rPr>
          <w:rFonts w:hint="eastAsia" w:eastAsia="仿宋_GB2312"/>
          <w:sz w:val="32"/>
          <w:szCs w:val="32"/>
        </w:rPr>
        <w:t>继续对我们的工作给予监督和指导。</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主办单位：信阳市商务局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联</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系</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 xml:space="preserve">人：邹君华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电</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话：3019520</w:t>
      </w:r>
    </w:p>
    <w:p>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jc w:val="both"/>
        <w:textAlignment w:val="auto"/>
        <w:outlineLvl w:val="9"/>
        <w:rPr>
          <w:rFonts w:hint="default" w:ascii="Times New Roman" w:hAnsi="Times New Roman" w:cs="Times New Roman"/>
        </w:rPr>
      </w:pPr>
      <w:r>
        <w:rPr>
          <w:rFonts w:hint="default" w:ascii="Times New Roman" w:hAnsi="Times New Roman" w:eastAsia="仿宋_GB2312" w:cs="Times New Roman"/>
          <w:sz w:val="32"/>
          <w:szCs w:val="32"/>
          <w:lang w:val="en-US"/>
        </w:rPr>
        <w:t>202</w:t>
      </w:r>
      <w:r>
        <w:rPr>
          <w:rFonts w:hint="default" w:ascii="Times New Roman" w:hAnsi="Times New Roman" w:eastAsia="仿宋_GB2312" w:cs="Times New Roman"/>
          <w:sz w:val="32"/>
          <w:szCs w:val="32"/>
          <w:lang w:val="en-US" w:eastAsia="zh-CN"/>
        </w:rPr>
        <w:t>5年7月</w:t>
      </w:r>
      <w:r>
        <w:rPr>
          <w:rFonts w:hint="eastAsia" w:eastAsia="仿宋_GB2312" w:cs="Times New Roman"/>
          <w:sz w:val="32"/>
          <w:szCs w:val="32"/>
          <w:lang w:val="en-US" w:eastAsia="zh-CN"/>
        </w:rPr>
        <w:t>31日</w:t>
      </w:r>
    </w:p>
    <w:p>
      <w:pPr>
        <w:pStyle w:val="15"/>
        <w:rPr>
          <w:rFonts w:hint="default" w:ascii="Times New Roman" w:hAnsi="Times New Roman" w:cs="Times New Roman"/>
        </w:rPr>
      </w:pPr>
    </w:p>
    <w:p>
      <w:pPr>
        <w:pStyle w:val="15"/>
        <w:rPr>
          <w:rFonts w:hint="default" w:ascii="Times New Roman" w:hAnsi="Times New Roman" w:cs="Times New Roman"/>
        </w:rPr>
      </w:pPr>
    </w:p>
    <w:p>
      <w:pPr>
        <w:pStyle w:val="15"/>
        <w:rPr>
          <w:rFonts w:hint="default" w:ascii="Times New Roman" w:hAnsi="Times New Roman" w:cs="Times New Roman"/>
        </w:rPr>
      </w:pPr>
    </w:p>
    <w:p>
      <w:pPr>
        <w:pStyle w:val="15"/>
        <w:rPr>
          <w:rFonts w:hint="default" w:ascii="Times New Roman" w:hAnsi="Times New Roman" w:cs="Times New Roman"/>
        </w:rPr>
      </w:pPr>
    </w:p>
    <w:p>
      <w:pPr>
        <w:pStyle w:val="15"/>
        <w:rPr>
          <w:rFonts w:hint="default" w:ascii="Times New Roman" w:hAnsi="Times New Roman" w:cs="Times New Roman"/>
        </w:rPr>
      </w:pPr>
    </w:p>
    <w:p>
      <w:pPr>
        <w:pStyle w:val="15"/>
        <w:rPr>
          <w:rFonts w:hint="default" w:ascii="Times New Roman" w:hAnsi="Times New Roman" w:cs="Times New Roman"/>
        </w:rPr>
      </w:pPr>
    </w:p>
    <w:p>
      <w:pPr>
        <w:pStyle w:val="15"/>
        <w:rPr>
          <w:rFonts w:hint="default" w:ascii="Times New Roman" w:hAnsi="Times New Roman" w:cs="Times New Roman"/>
        </w:rPr>
      </w:pPr>
    </w:p>
    <w:p>
      <w:pPr>
        <w:pStyle w:val="15"/>
        <w:rPr>
          <w:rFonts w:hint="default" w:ascii="Times New Roman" w:hAnsi="Times New Roman" w:cs="Times New Roman"/>
        </w:rPr>
      </w:pPr>
    </w:p>
    <w:p>
      <w:pPr>
        <w:pStyle w:val="15"/>
        <w:rPr>
          <w:rFonts w:hint="default" w:ascii="Times New Roman" w:hAnsi="Times New Roman" w:cs="Times New Roman"/>
        </w:rPr>
      </w:pPr>
    </w:p>
    <w:p>
      <w:pPr>
        <w:pStyle w:val="15"/>
        <w:rPr>
          <w:rFonts w:hint="default" w:ascii="Times New Roman" w:hAnsi="Times New Roman" w:cs="Times New Roman"/>
        </w:rPr>
      </w:pPr>
    </w:p>
    <w:p>
      <w:pPr>
        <w:pStyle w:val="15"/>
        <w:rPr>
          <w:rFonts w:hint="default" w:ascii="Times New Roman" w:hAnsi="Times New Roman" w:cs="Times New Roman"/>
        </w:rPr>
      </w:pPr>
    </w:p>
    <w:p>
      <w:pPr>
        <w:rPr>
          <w:rFonts w:hint="default" w:ascii="Times New Roman" w:hAnsi="Times New Roman" w:cs="Times New Roman"/>
          <w:lang w:val="en-US" w:eastAsia="zh-CN"/>
        </w:rPr>
      </w:pPr>
    </w:p>
    <w:p>
      <w:pPr>
        <w:widowControl w:val="0"/>
        <w:pBdr>
          <w:top w:val="single" w:color="auto" w:sz="18" w:space="1"/>
          <w:left w:val="none" w:color="auto" w:sz="0" w:space="4"/>
          <w:bottom w:val="single" w:color="auto" w:sz="18" w:space="1"/>
          <w:right w:val="none" w:color="auto" w:sz="0" w:space="4"/>
          <w:between w:val="none" w:color="auto" w:sz="0" w:space="0"/>
        </w:pBdr>
        <w:ind w:firstLine="280" w:firstLineChars="100"/>
        <w:jc w:val="both"/>
        <w:rPr>
          <w:rFonts w:hint="default" w:ascii="Times New Roman" w:hAnsi="Times New Roman" w:cs="Times New Roman"/>
        </w:rPr>
      </w:pPr>
      <w:r>
        <w:rPr>
          <w:rFonts w:hint="default" w:ascii="Times New Roman" w:hAnsi="Times New Roman" w:eastAsia="仿宋" w:cs="Times New Roman"/>
          <w:sz w:val="28"/>
          <w:szCs w:val="28"/>
          <w:lang w:val="en-US" w:eastAsia="zh-CN"/>
        </w:rPr>
        <w:t>信阳市商务局办公室                      202</w:t>
      </w:r>
      <w:r>
        <w:rPr>
          <w:rFonts w:hint="eastAsia" w:eastAsia="仿宋" w:cs="Times New Roman"/>
          <w:sz w:val="28"/>
          <w:szCs w:val="28"/>
          <w:lang w:val="en-US" w:eastAsia="zh-CN"/>
        </w:rPr>
        <w:t>5</w:t>
      </w:r>
      <w:r>
        <w:rPr>
          <w:rFonts w:hint="default" w:ascii="Times New Roman" w:hAnsi="Times New Roman" w:eastAsia="仿宋" w:cs="Times New Roman"/>
          <w:sz w:val="28"/>
          <w:szCs w:val="28"/>
          <w:lang w:val="en-US" w:eastAsia="zh-CN"/>
        </w:rPr>
        <w:t>年7月</w:t>
      </w:r>
      <w:r>
        <w:rPr>
          <w:rFonts w:hint="eastAsia" w:eastAsia="仿宋" w:cs="Times New Roman"/>
          <w:sz w:val="28"/>
          <w:szCs w:val="28"/>
          <w:lang w:val="en-US" w:eastAsia="zh-CN"/>
        </w:rPr>
        <w:t>31</w:t>
      </w:r>
      <w:r>
        <w:rPr>
          <w:rFonts w:hint="default" w:ascii="Times New Roman" w:hAnsi="Times New Roman" w:eastAsia="仿宋" w:cs="Times New Roman"/>
          <w:sz w:val="28"/>
          <w:szCs w:val="28"/>
          <w:lang w:val="en-US" w:eastAsia="zh-CN"/>
        </w:rPr>
        <w:t>日印发</w:t>
      </w:r>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8"/>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ED5029"/>
    <w:rsid w:val="01DF2153"/>
    <w:rsid w:val="046C7905"/>
    <w:rsid w:val="0ABA7E71"/>
    <w:rsid w:val="104632FA"/>
    <w:rsid w:val="11EC4876"/>
    <w:rsid w:val="121E6934"/>
    <w:rsid w:val="168B1A72"/>
    <w:rsid w:val="179471CB"/>
    <w:rsid w:val="1E7A3039"/>
    <w:rsid w:val="20D67D8D"/>
    <w:rsid w:val="22AF071B"/>
    <w:rsid w:val="29EA2084"/>
    <w:rsid w:val="2AD32129"/>
    <w:rsid w:val="2AF15F83"/>
    <w:rsid w:val="2EBFDD8E"/>
    <w:rsid w:val="30046A1D"/>
    <w:rsid w:val="31325B1E"/>
    <w:rsid w:val="36963DEF"/>
    <w:rsid w:val="39A21CFB"/>
    <w:rsid w:val="39C179EC"/>
    <w:rsid w:val="3DFA74AA"/>
    <w:rsid w:val="3EB968CD"/>
    <w:rsid w:val="3F977046"/>
    <w:rsid w:val="4764787B"/>
    <w:rsid w:val="487D6BBD"/>
    <w:rsid w:val="4E07740D"/>
    <w:rsid w:val="4E6B5AFB"/>
    <w:rsid w:val="4F547732"/>
    <w:rsid w:val="518660C3"/>
    <w:rsid w:val="55823004"/>
    <w:rsid w:val="5886571D"/>
    <w:rsid w:val="5B2E56C1"/>
    <w:rsid w:val="5CF876F7"/>
    <w:rsid w:val="5D0D53ED"/>
    <w:rsid w:val="5E797EB5"/>
    <w:rsid w:val="5F164E84"/>
    <w:rsid w:val="68A557F5"/>
    <w:rsid w:val="69ED5029"/>
    <w:rsid w:val="6A4A69E3"/>
    <w:rsid w:val="6A8F0FF6"/>
    <w:rsid w:val="6FF5D4B7"/>
    <w:rsid w:val="70AF0750"/>
    <w:rsid w:val="764A5AC5"/>
    <w:rsid w:val="77EDBB75"/>
    <w:rsid w:val="78EFC386"/>
    <w:rsid w:val="BEEB3B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unhideWhenUsed="0" w:uiPriority="0" w:semiHidden="0" w:name="endnote text"/>
    <w:lsdException w:qFormat="1" w:unhideWhenUsed="0"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link w:val="17"/>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BodyText"/>
    <w:basedOn w:val="1"/>
    <w:next w:val="3"/>
    <w:qFormat/>
    <w:uiPriority w:val="0"/>
    <w:rPr>
      <w:rFonts w:eastAsia="仿宋_GB2312"/>
      <w:sz w:val="32"/>
    </w:rPr>
  </w:style>
  <w:style w:type="paragraph" w:customStyle="1" w:styleId="3">
    <w:name w:val="UserStyle_2"/>
    <w:basedOn w:val="1"/>
    <w:qFormat/>
    <w:uiPriority w:val="0"/>
    <w:pPr>
      <w:spacing w:line="480" w:lineRule="auto"/>
    </w:pPr>
  </w:style>
  <w:style w:type="paragraph" w:styleId="6">
    <w:name w:val="table of authorities"/>
    <w:basedOn w:val="1"/>
    <w:next w:val="1"/>
    <w:qFormat/>
    <w:uiPriority w:val="99"/>
    <w:pPr>
      <w:widowControl w:val="0"/>
      <w:ind w:left="420" w:leftChars="200"/>
      <w:jc w:val="both"/>
    </w:pPr>
    <w:rPr>
      <w:rFonts w:ascii="Calibri" w:hAnsi="Calibri" w:eastAsia="仿宋" w:cs="Times New Roman"/>
      <w:kern w:val="2"/>
      <w:sz w:val="32"/>
      <w:szCs w:val="24"/>
      <w:lang w:val="en-US" w:eastAsia="zh-CN" w:bidi="ar-SA"/>
    </w:rPr>
  </w:style>
  <w:style w:type="paragraph" w:styleId="7">
    <w:name w:val="Plain Text"/>
    <w:basedOn w:val="1"/>
    <w:qFormat/>
    <w:uiPriority w:val="0"/>
    <w:rPr>
      <w:rFonts w:ascii="宋体" w:hAnsi="Courier New"/>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rPr>
  </w:style>
  <w:style w:type="character" w:styleId="14">
    <w:name w:val="endnote reference"/>
    <w:basedOn w:val="12"/>
    <w:qFormat/>
    <w:uiPriority w:val="0"/>
    <w:rPr>
      <w:vertAlign w:val="superscript"/>
    </w:rPr>
  </w:style>
  <w:style w:type="paragraph" w:customStyle="1" w:styleId="1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6">
    <w:name w:val="样式1"/>
    <w:basedOn w:val="14"/>
    <w:qFormat/>
    <w:uiPriority w:val="0"/>
    <w:rPr>
      <w:rFonts w:asciiTheme="minorAscii" w:hAnsiTheme="minorAscii" w:eastAsiaTheme="minorEastAsia" w:cstheme="minorEastAsia"/>
      <w:kern w:val="2"/>
      <w:sz w:val="24"/>
      <w:szCs w:val="24"/>
      <w:vertAlign w:val="superscript"/>
      <w:lang w:val="en-US" w:eastAsia="zh-CN" w:bidi="ar-SA"/>
    </w:rPr>
  </w:style>
  <w:style w:type="character" w:customStyle="1" w:styleId="17">
    <w:name w:val="标题 3 Char"/>
    <w:link w:val="5"/>
    <w:qFormat/>
    <w:uiPriority w:val="0"/>
    <w:rPr>
      <w:b/>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1614</Words>
  <Characters>1657</Characters>
  <Lines>0</Lines>
  <Paragraphs>0</Paragraphs>
  <TotalTime>1</TotalTime>
  <ScaleCrop>false</ScaleCrop>
  <LinksUpToDate>false</LinksUpToDate>
  <CharactersWithSpaces>1792</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2025-07-30T18:01:00Z</dcterms:created>
  <dc:creator>琪琪</dc:creator>
  <cp:lastModifiedBy>guest</cp:lastModifiedBy>
  <cp:lastPrinted>2025-08-06T17:49:32Z</cp:lastPrinted>
  <dcterms:modified xsi:type="dcterms:W3CDTF">2025-08-06T17:52:46Z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E7149073BBD44562A210A3EA30201475_13</vt:lpwstr>
  </property>
  <property fmtid="{D5CDD505-2E9C-101B-9397-08002B2CF9AE}" pid="4" name="KSOTemplateDocerSaveRecord">
    <vt:lpwstr>eyJoZGlkIjoiMWNiNDk0ZWQ4MjljMmFmNTdlODQ5MTE3NzMyYzk3NjMiLCJ1c2VySWQiOiI0MzEwNDE0MTUifQ==</vt:lpwstr>
  </property>
</Properties>
</file>