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方正仿宋_GBK" w:cs="Times New Roman"/>
          <w:sz w:val="32"/>
          <w:szCs w:val="32"/>
        </w:rPr>
      </w:pPr>
    </w:p>
    <w:p>
      <w:pPr>
        <w:pStyle w:val="15"/>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信商</w:t>
      </w:r>
      <w:r>
        <w:rPr>
          <w:rFonts w:hint="default" w:ascii="Times New Roman" w:hAnsi="Times New Roman" w:eastAsia="仿宋_GB2312" w:cs="Times New Roman"/>
          <w:sz w:val="32"/>
          <w:szCs w:val="32"/>
          <w:lang w:eastAsia="zh-CN"/>
        </w:rPr>
        <w:t>字</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25</w:t>
      </w:r>
      <w:r>
        <w:rPr>
          <w:rFonts w:hint="eastAsia" w:ascii="仿宋_GB2312" w:hAnsi="仿宋_GB2312" w:eastAsia="仿宋_GB2312" w:cs="仿宋_GB2312"/>
          <w:sz w:val="32"/>
          <w:szCs w:val="32"/>
          <w:lang w:val="en-US" w:eastAsia="zh-CN"/>
        </w:rPr>
        <w:t>〕</w:t>
      </w:r>
      <w:r>
        <w:rPr>
          <w:rFonts w:hint="eastAsia" w:eastAsia="仿宋_GB2312" w:cs="Times New Roman"/>
          <w:sz w:val="32"/>
          <w:szCs w:val="32"/>
          <w:lang w:val="en-US" w:eastAsia="zh-CN"/>
        </w:rPr>
        <w:t>92</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rPr>
        <w:t xml:space="preserve">                  </w:t>
      </w:r>
      <w:r>
        <w:rPr>
          <w:rFonts w:hint="default" w:ascii="Times New Roman" w:hAnsi="Times New Roman" w:eastAsia="仿宋_GB2312" w:cs="Times New Roman"/>
          <w:sz w:val="32"/>
          <w:szCs w:val="32"/>
          <w:lang w:val="en-US" w:eastAsia="zh-CN"/>
        </w:rPr>
        <w:t>签发人：</w:t>
      </w:r>
      <w:r>
        <w:rPr>
          <w:rFonts w:hint="default" w:ascii="Times New Roman" w:hAnsi="Times New Roman" w:eastAsia="楷体" w:cs="Times New Roman"/>
          <w:sz w:val="32"/>
          <w:szCs w:val="32"/>
          <w:lang w:val="en-US" w:eastAsia="zh-CN"/>
        </w:rPr>
        <w:t>刘 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44"/>
          <w:szCs w:val="44"/>
        </w:rPr>
      </w:pPr>
    </w:p>
    <w:p>
      <w:pPr>
        <w:ind w:firstLine="640" w:firstLineChars="200"/>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办理结果：</w:t>
      </w:r>
      <w:r>
        <w:rPr>
          <w:rFonts w:hint="eastAsia" w:eastAsia="仿宋_GB2312" w:cs="Times New Roman"/>
          <w:sz w:val="32"/>
          <w:szCs w:val="32"/>
          <w:lang w:val="en-US" w:eastAsia="zh-CN"/>
        </w:rPr>
        <w:t>B</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简体" w:cs="Times New Roman"/>
          <w:sz w:val="44"/>
          <w:szCs w:val="44"/>
        </w:rPr>
      </w:pPr>
    </w:p>
    <w:p>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b w:val="0"/>
          <w:bCs w:val="0"/>
          <w:color w:val="000000"/>
          <w:kern w:val="0"/>
          <w:sz w:val="44"/>
          <w:szCs w:val="44"/>
          <w:lang w:val="en-US" w:eastAsia="zh-CN" w:bidi="ar"/>
        </w:rPr>
      </w:pPr>
      <w:r>
        <w:rPr>
          <w:rFonts w:hint="eastAsia" w:ascii="方正小标宋_GBK" w:hAnsi="方正小标宋_GBK" w:eastAsia="方正小标宋_GBK" w:cs="方正小标宋_GBK"/>
          <w:b w:val="0"/>
          <w:bCs w:val="0"/>
          <w:color w:val="000000"/>
          <w:kern w:val="0"/>
          <w:sz w:val="44"/>
          <w:szCs w:val="44"/>
          <w:lang w:val="en-US" w:eastAsia="zh-CN" w:bidi="ar"/>
        </w:rPr>
        <w:t>关于对市六届人大三次会议第51号建议</w:t>
      </w:r>
    </w:p>
    <w:p>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auto"/>
      </w:pPr>
      <w:r>
        <w:rPr>
          <w:rFonts w:hint="eastAsia" w:ascii="方正小标宋_GBK" w:hAnsi="方正小标宋_GBK" w:eastAsia="方正小标宋_GBK" w:cs="方正小标宋_GBK"/>
          <w:b w:val="0"/>
          <w:bCs w:val="0"/>
          <w:color w:val="000000"/>
          <w:kern w:val="0"/>
          <w:sz w:val="44"/>
          <w:szCs w:val="44"/>
          <w:lang w:val="en-US" w:eastAsia="zh-CN" w:bidi="ar"/>
        </w:rPr>
        <w:t>办理情况的答复</w:t>
      </w:r>
    </w:p>
    <w:p>
      <w:pPr>
        <w:keepNext w:val="0"/>
        <w:keepLines w:val="0"/>
        <w:widowControl/>
        <w:suppressLineNumbers w:val="0"/>
        <w:jc w:val="left"/>
        <w:rPr>
          <w:rFonts w:hint="default" w:ascii="Nimbus Roman No9 L" w:hAnsi="Nimbus Roman No9 L" w:eastAsia="Nimbus Roman No9 L" w:cs="Nimbus Roman No9 L"/>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kern w:val="0"/>
          <w:sz w:val="32"/>
          <w:szCs w:val="32"/>
          <w:lang w:val="en-US" w:eastAsia="zh-CN" w:bidi="ar"/>
        </w:rPr>
        <w:t>尊敬的李雅婷等代表：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
        </w:rPr>
      </w:pPr>
      <w:r>
        <w:rPr>
          <w:rFonts w:hint="eastAsia" w:ascii="方正仿宋_GBK" w:hAnsi="方正仿宋_GBK" w:eastAsia="方正仿宋_GBK" w:cs="方正仿宋_GBK"/>
          <w:color w:val="000000"/>
          <w:kern w:val="0"/>
          <w:sz w:val="32"/>
          <w:szCs w:val="32"/>
          <w:lang w:val="en-US" w:eastAsia="zh-CN" w:bidi="ar"/>
        </w:rPr>
        <w:t>您提出的《关于加强对预付式消费问题治理的议案</w:t>
      </w:r>
      <w:r>
        <w:rPr>
          <w:rFonts w:hint="default" w:ascii="Times New Roman" w:hAnsi="Times New Roman" w:eastAsia="方正仿宋_GBK" w:cs="Times New Roman"/>
          <w:color w:val="000000"/>
          <w:kern w:val="0"/>
          <w:sz w:val="32"/>
          <w:szCs w:val="32"/>
          <w:lang w:val="en-US" w:eastAsia="zh-CN" w:bidi="ar"/>
        </w:rPr>
        <w:t>》（第51号）</w:t>
      </w:r>
      <w:r>
        <w:rPr>
          <w:rFonts w:hint="eastAsia" w:ascii="方正仿宋_GBK" w:hAnsi="方正仿宋_GBK" w:eastAsia="方正仿宋_GBK" w:cs="方正仿宋_GBK"/>
          <w:color w:val="000000"/>
          <w:kern w:val="0"/>
          <w:sz w:val="32"/>
          <w:szCs w:val="32"/>
          <w:lang w:val="en-US" w:eastAsia="zh-CN" w:bidi="ar"/>
        </w:rPr>
        <w:t>已收悉。我局对您的建议高度重视，及时会同相关部门进行研究，现答复如下：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
        </w:rPr>
      </w:pPr>
      <w:r>
        <w:rPr>
          <w:rFonts w:hint="eastAsia" w:ascii="Times New Roman" w:hAnsi="Times New Roman" w:eastAsia="方正仿宋_GBK" w:cs="Times New Roman"/>
          <w:color w:val="000000"/>
          <w:kern w:val="0"/>
          <w:sz w:val="32"/>
          <w:szCs w:val="32"/>
          <w:lang w:val="en-US" w:eastAsia="zh-CN" w:bidi="ar"/>
        </w:rPr>
        <w:t>首先，</w:t>
      </w:r>
      <w:r>
        <w:rPr>
          <w:rFonts w:hint="default" w:ascii="Times New Roman" w:hAnsi="Times New Roman" w:eastAsia="方正仿宋_GBK" w:cs="Times New Roman"/>
          <w:color w:val="000000"/>
          <w:kern w:val="0"/>
          <w:sz w:val="32"/>
          <w:szCs w:val="32"/>
          <w:lang w:val="en-US" w:eastAsia="zh-CN" w:bidi="ar"/>
        </w:rPr>
        <w:t>感谢您对我市预付卡消费监管工作的关心和支持</w:t>
      </w:r>
      <w:r>
        <w:rPr>
          <w:rFonts w:hint="eastAsia" w:ascii="方正仿宋_GBK" w:hAnsi="方正仿宋_GBK" w:eastAsia="方正仿宋_GBK" w:cs="方正仿宋_GBK"/>
          <w:color w:val="000000"/>
          <w:kern w:val="0"/>
          <w:sz w:val="32"/>
          <w:szCs w:val="32"/>
          <w:lang w:val="en-US" w:eastAsia="zh-CN" w:bidi="ar"/>
        </w:rPr>
        <w:t>！您所关注的预付卡消费问题，既是社会各</w:t>
      </w:r>
      <w:bookmarkStart w:id="0" w:name="_GoBack"/>
      <w:bookmarkEnd w:id="0"/>
      <w:r>
        <w:rPr>
          <w:rFonts w:hint="eastAsia" w:ascii="方正仿宋_GBK" w:hAnsi="方正仿宋_GBK" w:eastAsia="方正仿宋_GBK" w:cs="方正仿宋_GBK"/>
          <w:color w:val="000000"/>
          <w:kern w:val="0"/>
          <w:sz w:val="32"/>
          <w:szCs w:val="32"/>
          <w:lang w:val="en-US" w:eastAsia="zh-CN" w:bidi="ar"/>
        </w:rPr>
        <w:t>界普遍关心的热点，也是我们工作的重点方向，建议中对预付式消费问题的分析精准深刻，所提意见具有很强的针对性和可操作性，为我们进一步改进工作提供了重要参考。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default" w:ascii="Times New Roman" w:hAnsi="Times New Roman" w:eastAsia="方正仿宋_GBK" w:cs="Times New Roman"/>
          <w:color w:val="000000"/>
          <w:kern w:val="0"/>
          <w:sz w:val="32"/>
          <w:szCs w:val="32"/>
          <w:lang w:val="en-US" w:eastAsia="zh-CN" w:bidi="ar"/>
        </w:rPr>
        <w:t>2020年9月</w:t>
      </w:r>
      <w:r>
        <w:rPr>
          <w:rFonts w:hint="eastAsia" w:ascii="Times New Roman" w:hAnsi="Times New Roman" w:eastAsia="方正仿宋_GBK"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 xml:space="preserve">8部门（商务部 公安部 </w:t>
      </w:r>
      <w:r>
        <w:rPr>
          <w:rFonts w:hint="eastAsia" w:ascii="Times New Roman" w:hAnsi="Times New Roman" w:eastAsia="方正仿宋_GBK" w:cs="Times New Roman"/>
          <w:color w:val="000000"/>
          <w:kern w:val="0"/>
          <w:sz w:val="32"/>
          <w:szCs w:val="32"/>
          <w:lang w:val="en-US" w:eastAsia="zh-CN" w:bidi="ar"/>
        </w:rPr>
        <w:t>文化和旅游部</w:t>
      </w:r>
      <w:r>
        <w:rPr>
          <w:rFonts w:hint="default" w:ascii="Times New Roman" w:hAnsi="Times New Roman" w:eastAsia="方正仿宋_GBK" w:cs="Times New Roman"/>
          <w:color w:val="000000"/>
          <w:kern w:val="0"/>
          <w:sz w:val="32"/>
          <w:szCs w:val="32"/>
          <w:lang w:val="en-US" w:eastAsia="zh-CN" w:bidi="ar"/>
        </w:rPr>
        <w:t xml:space="preserve"> 人民银行 税务总局 市场监管局 体育总局 银保监会）联合印发《关于促进单用途预付卡规范发展的意见》（商建发〔2020〕190号）</w:t>
      </w:r>
      <w:r>
        <w:rPr>
          <w:rFonts w:hint="eastAsia" w:ascii="Times New Roman" w:hAnsi="Times New Roman" w:eastAsia="方正仿宋_GBK" w:cs="Times New Roman"/>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val="en-US" w:eastAsia="zh-CN" w:bidi="ar"/>
        </w:rPr>
        <w:t>《意见》对行业主管部门和相关部门职责进行了明确，但因一直未上升到法律层面，在具体执行过程中不够到位。</w:t>
      </w:r>
      <w:r>
        <w:rPr>
          <w:rFonts w:hint="eastAsia" w:ascii="Times New Roman" w:hAnsi="Times New Roman" w:eastAsia="方正仿宋_GBK" w:cs="Times New Roman"/>
          <w:color w:val="000000"/>
          <w:kern w:val="0"/>
          <w:sz w:val="32"/>
          <w:szCs w:val="32"/>
          <w:lang w:val="en-US" w:eastAsia="zh-CN" w:bidi="ar"/>
        </w:rPr>
        <w:t>2022 年8月，市商务局印发了《信阳市单用途商业预付卡发卡企业商务信用评价暂行办法》；同时，市商务局联合市市场监管局对单用途预付卡发卡企业每年开展“</w:t>
      </w:r>
      <w:r>
        <w:rPr>
          <w:rFonts w:hint="eastAsia" w:ascii="方正仿宋_GBK" w:hAnsi="方正仿宋_GBK" w:eastAsia="方正仿宋_GBK" w:cs="方正仿宋_GBK"/>
          <w:sz w:val="32"/>
          <w:szCs w:val="32"/>
        </w:rPr>
        <w:t>双随机、一公开”联合抽查行动</w:t>
      </w:r>
      <w:r>
        <w:rPr>
          <w:rFonts w:hint="eastAsia" w:ascii="方正仿宋_GBK" w:hAnsi="方正仿宋_GBK" w:eastAsia="方正仿宋_GBK" w:cs="方正仿宋_GBK"/>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我局在单用途预付卡管理上也做了很多工作，但仍存在很不足。</w:t>
      </w:r>
      <w:r>
        <w:rPr>
          <w:rFonts w:hint="eastAsia" w:ascii="方正仿宋_GBK" w:hAnsi="方正仿宋_GBK" w:eastAsia="方正仿宋_GBK" w:cs="方正仿宋_GBK"/>
          <w:b/>
          <w:bCs/>
          <w:sz w:val="32"/>
          <w:szCs w:val="32"/>
          <w:lang w:val="en-US" w:eastAsia="zh-CN"/>
        </w:rPr>
        <w:t>一是</w:t>
      </w:r>
      <w:r>
        <w:rPr>
          <w:rFonts w:hint="eastAsia" w:ascii="方正仿宋_GBK" w:hAnsi="方正仿宋_GBK" w:eastAsia="方正仿宋_GBK" w:cs="方正仿宋_GBK"/>
          <w:b/>
          <w:bCs/>
          <w:sz w:val="32"/>
          <w:szCs w:val="32"/>
          <w:lang w:eastAsia="zh-CN"/>
        </w:rPr>
        <w:t>监管覆盖不足，</w:t>
      </w:r>
      <w:r>
        <w:rPr>
          <w:rFonts w:hint="eastAsia" w:ascii="方正仿宋_GBK" w:hAnsi="方正仿宋_GBK" w:eastAsia="方正仿宋_GBK" w:cs="方正仿宋_GBK"/>
          <w:sz w:val="32"/>
          <w:szCs w:val="32"/>
          <w:lang w:eastAsia="zh-CN"/>
        </w:rPr>
        <w:t>涉及零售、餐饮、美容健身等十余行业，但商务、文旅、体育等部门分头管理，难以应对海量市场主体与投诉纠纷。</w:t>
      </w:r>
      <w:r>
        <w:rPr>
          <w:rFonts w:hint="eastAsia" w:ascii="方正仿宋_GBK" w:hAnsi="方正仿宋_GBK" w:eastAsia="方正仿宋_GBK" w:cs="方正仿宋_GBK"/>
          <w:b/>
          <w:bCs/>
          <w:sz w:val="32"/>
          <w:szCs w:val="32"/>
          <w:lang w:val="en-US" w:eastAsia="zh-CN"/>
        </w:rPr>
        <w:t>二是</w:t>
      </w:r>
      <w:r>
        <w:rPr>
          <w:rFonts w:hint="eastAsia" w:ascii="方正仿宋_GBK" w:hAnsi="方正仿宋_GBK" w:eastAsia="方正仿宋_GBK" w:cs="方正仿宋_GBK"/>
          <w:b/>
          <w:bCs/>
          <w:sz w:val="32"/>
          <w:szCs w:val="32"/>
          <w:lang w:eastAsia="zh-CN"/>
        </w:rPr>
        <w:t>监管手段失效，</w:t>
      </w:r>
      <w:r>
        <w:rPr>
          <w:rFonts w:hint="eastAsia" w:ascii="方正仿宋_GBK" w:hAnsi="方正仿宋_GBK" w:eastAsia="方正仿宋_GBK" w:cs="方正仿宋_GBK"/>
          <w:sz w:val="32"/>
          <w:szCs w:val="32"/>
          <w:lang w:eastAsia="zh-CN"/>
        </w:rPr>
        <w:t>预付载体多样（实体卡/APP/手工记录等），缺乏有效前置管控，依赖事后投诉处理。</w:t>
      </w:r>
      <w:r>
        <w:rPr>
          <w:rFonts w:hint="eastAsia" w:ascii="方正仿宋_GBK" w:hAnsi="方正仿宋_GBK" w:eastAsia="方正仿宋_GBK" w:cs="方正仿宋_GBK"/>
          <w:b/>
          <w:bCs/>
          <w:sz w:val="32"/>
          <w:szCs w:val="32"/>
          <w:lang w:val="en-US" w:eastAsia="zh-CN"/>
        </w:rPr>
        <w:t>三是</w:t>
      </w:r>
      <w:r>
        <w:rPr>
          <w:rFonts w:hint="eastAsia" w:ascii="方正仿宋_GBK" w:hAnsi="方正仿宋_GBK" w:eastAsia="方正仿宋_GBK" w:cs="方正仿宋_GBK"/>
          <w:b/>
          <w:bCs/>
          <w:sz w:val="32"/>
          <w:szCs w:val="32"/>
          <w:lang w:eastAsia="zh-CN"/>
        </w:rPr>
        <w:t>资金约束缺位，</w:t>
      </w:r>
      <w:r>
        <w:rPr>
          <w:rFonts w:hint="eastAsia" w:ascii="方正仿宋_GBK" w:hAnsi="方正仿宋_GBK" w:eastAsia="方正仿宋_GBK" w:cs="方正仿宋_GBK"/>
          <w:sz w:val="32"/>
          <w:szCs w:val="32"/>
          <w:lang w:eastAsia="zh-CN"/>
        </w:rPr>
        <w:t>大量“其他发卡企业”仅需县级商务部门备案，无资金存管要求，风险防控薄弱。</w:t>
      </w:r>
      <w:r>
        <w:rPr>
          <w:rFonts w:hint="eastAsia" w:ascii="方正仿宋_GBK" w:hAnsi="方正仿宋_GBK" w:eastAsia="方正仿宋_GBK" w:cs="方正仿宋_GBK"/>
          <w:b/>
          <w:bCs/>
          <w:sz w:val="32"/>
          <w:szCs w:val="32"/>
          <w:lang w:val="en-US" w:eastAsia="zh-CN"/>
        </w:rPr>
        <w:t>四是</w:t>
      </w:r>
      <w:r>
        <w:rPr>
          <w:rFonts w:hint="eastAsia" w:ascii="方正仿宋_GBK" w:hAnsi="方正仿宋_GBK" w:eastAsia="方正仿宋_GBK" w:cs="方正仿宋_GBK"/>
          <w:b/>
          <w:bCs/>
          <w:sz w:val="32"/>
          <w:szCs w:val="32"/>
          <w:lang w:eastAsia="zh-CN"/>
        </w:rPr>
        <w:t>执法能力</w:t>
      </w:r>
      <w:r>
        <w:rPr>
          <w:rFonts w:hint="eastAsia" w:ascii="方正仿宋_GBK" w:hAnsi="方正仿宋_GBK" w:eastAsia="方正仿宋_GBK" w:cs="方正仿宋_GBK"/>
          <w:b/>
          <w:bCs/>
          <w:sz w:val="32"/>
          <w:szCs w:val="32"/>
          <w:lang w:val="en-US" w:eastAsia="zh-CN"/>
        </w:rPr>
        <w:t>缺失</w:t>
      </w:r>
      <w:r>
        <w:rPr>
          <w:rFonts w:hint="eastAsia" w:ascii="方正仿宋_GBK" w:hAnsi="方正仿宋_GBK" w:eastAsia="方正仿宋_GBK" w:cs="方正仿宋_GBK"/>
          <w:b/>
          <w:bCs/>
          <w:sz w:val="32"/>
          <w:szCs w:val="32"/>
          <w:lang w:eastAsia="zh-CN"/>
        </w:rPr>
        <w:t>，</w:t>
      </w:r>
      <w:r>
        <w:rPr>
          <w:rFonts w:hint="eastAsia" w:ascii="方正仿宋_GBK" w:hAnsi="方正仿宋_GBK" w:eastAsia="方正仿宋_GBK" w:cs="方正仿宋_GBK"/>
          <w:sz w:val="32"/>
          <w:szCs w:val="32"/>
          <w:lang w:eastAsia="zh-CN"/>
        </w:rPr>
        <w:t>商务执法队伍已移交市场监管部门，商务体系缺乏处罚职能与监管力量，下放的备案处罚权无实质执行力。</w:t>
      </w:r>
      <w:r>
        <w:rPr>
          <w:rFonts w:hint="default" w:ascii="Times New Roman" w:hAnsi="Times New Roman" w:eastAsia="仿宋" w:cs="Times New Roman"/>
          <w:sz w:val="32"/>
          <w:szCs w:val="32"/>
          <w:lang w:val="en-US" w:eastAsia="zh-CN"/>
        </w:rPr>
        <w:t>下一步，我们将</w:t>
      </w:r>
      <w:r>
        <w:rPr>
          <w:rFonts w:hint="eastAsia" w:ascii="Times New Roman" w:hAnsi="Times New Roman" w:eastAsia="仿宋" w:cs="Times New Roman"/>
          <w:sz w:val="32"/>
          <w:szCs w:val="32"/>
          <w:lang w:val="en-US" w:eastAsia="zh-CN"/>
        </w:rPr>
        <w:t>对照《关于加强对预付式消费问题治理的议案》相关内容，</w:t>
      </w:r>
      <w:r>
        <w:rPr>
          <w:rFonts w:hint="default" w:ascii="Times New Roman" w:hAnsi="Times New Roman" w:eastAsia="仿宋" w:cs="Times New Roman"/>
          <w:sz w:val="32"/>
          <w:szCs w:val="32"/>
          <w:lang w:val="en-US" w:eastAsia="zh-CN"/>
        </w:rPr>
        <w:t>主要做好以下</w:t>
      </w:r>
      <w:r>
        <w:rPr>
          <w:rFonts w:hint="eastAsia" w:ascii="Times New Roman" w:hAnsi="Times New Roman" w:eastAsia="仿宋" w:cs="Times New Roman"/>
          <w:sz w:val="32"/>
          <w:szCs w:val="32"/>
          <w:lang w:val="en-US" w:eastAsia="zh-CN"/>
        </w:rPr>
        <w:t>四个</w:t>
      </w:r>
      <w:r>
        <w:rPr>
          <w:rFonts w:hint="default" w:ascii="Times New Roman" w:hAnsi="Times New Roman" w:eastAsia="仿宋" w:cs="Times New Roman"/>
          <w:sz w:val="32"/>
          <w:szCs w:val="32"/>
          <w:lang w:val="en-US" w:eastAsia="zh-CN"/>
        </w:rPr>
        <w:t>方面</w:t>
      </w:r>
      <w:r>
        <w:rPr>
          <w:rFonts w:hint="eastAsia" w:ascii="Times New Roman" w:hAnsi="Times New Roman" w:eastAsia="仿宋" w:cs="Times New Roman"/>
          <w:sz w:val="32"/>
          <w:szCs w:val="32"/>
          <w:lang w:val="en-US" w:eastAsia="zh-CN"/>
        </w:rPr>
        <w:t>的</w:t>
      </w:r>
      <w:r>
        <w:rPr>
          <w:rFonts w:hint="default" w:ascii="Times New Roman" w:hAnsi="Times New Roman" w:eastAsia="仿宋" w:cs="Times New Roman"/>
          <w:sz w:val="32"/>
          <w:szCs w:val="32"/>
          <w:lang w:val="en-US" w:eastAsia="zh-CN"/>
        </w:rPr>
        <w:t>工作</w:t>
      </w:r>
      <w:r>
        <w:rPr>
          <w:rFonts w:hint="eastAsia" w:ascii="Times New Roman" w:hAnsi="Times New Roman" w:eastAsia="仿宋" w:cs="Times New Roman"/>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kern w:val="0"/>
          <w:sz w:val="32"/>
          <w:szCs w:val="32"/>
          <w:lang w:val="en-US" w:eastAsia="zh-CN" w:bidi="ar"/>
        </w:rPr>
        <w:t>一、持续做好商务部门备案和管理工作。</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落实好《</w:t>
      </w:r>
      <w:r>
        <w:rPr>
          <w:rFonts w:hint="default" w:ascii="方正仿宋_GBK" w:hAnsi="方正仿宋_GBK" w:eastAsia="方正仿宋_GBK" w:cs="方正仿宋_GBK"/>
          <w:color w:val="000000" w:themeColor="text1"/>
          <w:sz w:val="32"/>
          <w:szCs w:val="32"/>
          <w:lang w:val="en-US" w:eastAsia="zh-CN"/>
          <w14:textFill>
            <w14:solidFill>
              <w14:schemeClr w14:val="tx1"/>
            </w14:solidFill>
          </w14:textFill>
        </w:rPr>
        <w:t>关于加强单用途商业预付卡发卡企业备案和管理工作的通知</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》（豫商流通</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函〔2025〕66号</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文件精神。一是排查底数，掌握全市从事零售业、住宿和餐饮业、居民服务业企业底数（不含个体工商户），梳理排查单用途商业预付卡发卡服务的企业情况；二是及时备案，按照《单用途预付卡管理办法（试行）》的相关规定，对规模发卡企业和其他发卡企业开展备案工作，加强对规模发卡企业的监管的同时，及时完成其他发卡企业的备案工作。三是加强管理，在加强对备案企业的合理监督管理的情况下，及时发现和纠正违规行为。在工作过程中，对于非商务领域管理权限的预付消费问题线索，要及时移交市场监管等部门。</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40"/>
          <w:lang w:val="en-US" w:eastAsia="zh-CN"/>
        </w:rPr>
      </w:pPr>
      <w:r>
        <w:rPr>
          <w:rFonts w:hint="eastAsia" w:ascii="黑体" w:hAnsi="黑体" w:eastAsia="黑体" w:cs="黑体"/>
          <w:b w:val="0"/>
          <w:bCs w:val="0"/>
          <w:color w:val="000000"/>
          <w:kern w:val="0"/>
          <w:sz w:val="32"/>
          <w:szCs w:val="32"/>
          <w:lang w:val="en-US" w:eastAsia="zh-CN" w:bidi="ar"/>
        </w:rPr>
        <w:t>二、学习先进经验，加强部门联动。</w:t>
      </w:r>
      <w:r>
        <w:rPr>
          <w:rFonts w:hint="eastAsia" w:ascii="方正仿宋_GBK" w:hAnsi="方正仿宋_GBK" w:eastAsia="方正仿宋_GBK" w:cs="方正仿宋_GBK"/>
          <w:color w:val="000000" w:themeColor="text1"/>
          <w:kern w:val="2"/>
          <w:sz w:val="32"/>
          <w:szCs w:val="32"/>
          <w:lang w:val="en-US" w:eastAsia="zh-CN" w:bidi="ar-SA"/>
          <w14:textFill>
            <w14:solidFill>
              <w14:schemeClr w14:val="tx1"/>
            </w14:solidFill>
          </w14:textFill>
        </w:rPr>
        <w:t>学习</w:t>
      </w:r>
      <w:r>
        <w:rPr>
          <w:rFonts w:hint="eastAsia" w:ascii="仿宋_GB2312" w:hAnsi="仿宋_GB2312" w:eastAsia="仿宋_GB2312" w:cs="仿宋_GB2312"/>
          <w:sz w:val="32"/>
          <w:szCs w:val="40"/>
          <w:lang w:val="en-US" w:eastAsia="zh-CN"/>
        </w:rPr>
        <w:t>北京市预付式消费监管经验做法，预付式消费监管形成市场监督管理部门统筹组织，教育、科技、民政、人力资源和社会保障、城市管理、交通、水务、农业农村、商务、文化和旅游、卫生健康、市场监督管理、体育等行业主管部门分别负责本行业、本领域预付式消费监督管理的治理格局。</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三、建立完善预付卡监管工作机制。</w:t>
      </w:r>
      <w:r>
        <w:rPr>
          <w:rFonts w:hint="eastAsia" w:ascii="方正仿宋_GBK" w:hAnsi="方正仿宋_GBK" w:eastAsia="方正仿宋_GBK" w:cs="方正仿宋_GBK"/>
          <w:color w:val="000000"/>
          <w:kern w:val="0"/>
          <w:sz w:val="32"/>
          <w:szCs w:val="32"/>
          <w:lang w:val="en-US" w:eastAsia="zh-CN" w:bidi="ar"/>
        </w:rPr>
        <w:t>通过消费者权益保护联席会议明确各相关部门单用途预付卡监管职责，并组织商务局、文旅体局、教育局、公安局等部门建立常态化联合检查、跨部门“双随机、一公开”检查机制，定期对群众反映多、覆盖群体广的美容美发、文化体育培训、餐饮住宿等经营户进行检查，形成监管合力，倒逼商户自律合法经营，维护好预付卡市场经营秩序，将预付费消费纠纷消灭在萌芽状态。</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四、加大宣传力度，引导消费者理性消费。</w:t>
      </w:r>
      <w:r>
        <w:rPr>
          <w:rFonts w:hint="eastAsia" w:ascii="方正仿宋_GBK" w:hAnsi="方正仿宋_GBK" w:eastAsia="方正仿宋_GBK" w:cs="方正仿宋_GBK"/>
          <w:color w:val="000000"/>
          <w:kern w:val="0"/>
          <w:sz w:val="32"/>
          <w:szCs w:val="32"/>
          <w:lang w:val="en-US" w:eastAsia="zh-CN" w:bidi="ar"/>
        </w:rPr>
        <w:t>一是加大法律法规宣传，强化企业自律。对预付卡消费行业进行法律法规宣传，增强经营主体守法意识，指导、督促经营者依法经营，增强企业诚信自觉。二是引导消费者建立科学、理性消费观念，强化“按需消费、理性消费”，鼓励消费者通过</w:t>
      </w:r>
      <w:r>
        <w:rPr>
          <w:rFonts w:hint="default" w:ascii="Times New Roman" w:hAnsi="Times New Roman" w:eastAsia="方正仿宋_GBK" w:cs="Times New Roman"/>
          <w:color w:val="000000"/>
          <w:kern w:val="0"/>
          <w:sz w:val="32"/>
          <w:szCs w:val="32"/>
          <w:lang w:val="en-US" w:eastAsia="zh-CN" w:bidi="ar"/>
        </w:rPr>
        <w:t>12345、12315等举报投诉服务平台采取法律途径维权，提升消费安全意识。</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40"/>
          <w:lang w:val="en-US" w:eastAsia="zh-CN"/>
        </w:rPr>
      </w:pPr>
      <w:r>
        <w:rPr>
          <w:rFonts w:hint="default" w:ascii="Times New Roman" w:hAnsi="Times New Roman" w:eastAsia="方正仿宋_GBK" w:cs="Times New Roman"/>
          <w:color w:val="000000"/>
          <w:kern w:val="0"/>
          <w:sz w:val="32"/>
          <w:szCs w:val="32"/>
          <w:lang w:val="en-US" w:eastAsia="zh-CN" w:bidi="ar"/>
        </w:rPr>
        <w:t>再次感谢您对预付卡消费监管工作的关注与建言。由于预付式消费监管工作的复杂性，当前可能还存在一些不足，恳请您给予理解。我们将以此次提案办理为契机，不断优化工作举措，力争取得更扎实的成效。欢迎您继续监督和支持我们的工作，多提宝贵建议。</w:t>
      </w:r>
      <w:r>
        <w:rPr>
          <w:rFonts w:hint="default" w:ascii="Times New Roman" w:hAnsi="Times New Roman" w:eastAsia="仿宋_GB2312" w:cs="Times New Roman"/>
          <w:sz w:val="32"/>
          <w:szCs w:val="40"/>
          <w:lang w:val="en-US" w:eastAsia="zh-CN"/>
        </w:rPr>
        <w:t xml:space="preserve">   </w:t>
      </w:r>
    </w:p>
    <w:p>
      <w:pPr>
        <w:pStyle w:val="1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主办单位：信阳市商务局   联系人：陈建明  3019529</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协办单位：信阳市公安局   联系人：赵  磐  6520219</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40"/>
          <w:lang w:val="en-US" w:eastAsia="zh-CN"/>
        </w:rPr>
      </w:pPr>
    </w:p>
    <w:p>
      <w:pPr>
        <w:pStyle w:val="10"/>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sz w:val="32"/>
          <w:szCs w:val="40"/>
          <w:lang w:val="en-US" w:eastAsia="zh-CN"/>
        </w:rPr>
      </w:pPr>
      <w:r>
        <w:rPr>
          <w:rFonts w:hint="eastAsia" w:ascii="Times New Roman" w:hAnsi="Times New Roman" w:eastAsia="仿宋_GB2312" w:cs="Times New Roman"/>
          <w:sz w:val="32"/>
          <w:szCs w:val="40"/>
          <w:lang w:val="en-US" w:eastAsia="zh-CN"/>
        </w:rPr>
        <w:t xml:space="preserve">                        </w:t>
      </w:r>
      <w:r>
        <w:rPr>
          <w:rFonts w:hint="default" w:ascii="Times New Roman" w:hAnsi="Times New Roman" w:eastAsia="仿宋_GB2312" w:cs="Times New Roman"/>
          <w:sz w:val="32"/>
          <w:szCs w:val="40"/>
          <w:lang w:val="en-US" w:eastAsia="zh-CN"/>
        </w:rPr>
        <w:t xml:space="preserve"> 2025</w:t>
      </w:r>
      <w:r>
        <w:rPr>
          <w:rFonts w:hint="eastAsia" w:ascii="Times New Roman" w:hAnsi="Times New Roman" w:eastAsia="仿宋_GB2312" w:cs="Times New Roman"/>
          <w:sz w:val="32"/>
          <w:szCs w:val="40"/>
          <w:lang w:val="en-US" w:eastAsia="zh-CN"/>
        </w:rPr>
        <w:t>年</w:t>
      </w:r>
      <w:r>
        <w:rPr>
          <w:rFonts w:hint="default" w:ascii="Times New Roman" w:hAnsi="Times New Roman" w:eastAsia="仿宋_GB2312" w:cs="Times New Roman"/>
          <w:sz w:val="32"/>
          <w:szCs w:val="40"/>
          <w:lang w:val="en-US" w:eastAsia="zh-CN"/>
        </w:rPr>
        <w:t>7月</w:t>
      </w:r>
      <w:r>
        <w:rPr>
          <w:rFonts w:hint="eastAsia" w:ascii="Times New Roman" w:hAnsi="Times New Roman" w:eastAsia="仿宋_GB2312" w:cs="Times New Roman"/>
          <w:sz w:val="32"/>
          <w:szCs w:val="40"/>
          <w:lang w:val="en-US" w:eastAsia="zh-CN"/>
        </w:rPr>
        <w:t>31</w:t>
      </w:r>
      <w:r>
        <w:rPr>
          <w:rFonts w:hint="default" w:ascii="Times New Roman" w:hAnsi="Times New Roman" w:eastAsia="仿宋_GB2312" w:cs="Times New Roman"/>
          <w:sz w:val="32"/>
          <w:szCs w:val="40"/>
          <w:lang w:val="en-US" w:eastAsia="zh-CN"/>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pStyle w:val="15"/>
        <w:rPr>
          <w:rFonts w:hint="default" w:ascii="Times New Roman" w:hAnsi="Times New Roman" w:cs="Times New Roman"/>
        </w:rPr>
      </w:pPr>
    </w:p>
    <w:p>
      <w:pPr>
        <w:rPr>
          <w:rFonts w:hint="default" w:ascii="Times New Roman" w:hAnsi="Times New Roman" w:cs="Times New Roman"/>
          <w:lang w:val="en-US" w:eastAsia="zh-CN"/>
        </w:rPr>
      </w:pPr>
    </w:p>
    <w:p>
      <w:pPr>
        <w:widowControl w:val="0"/>
        <w:pBdr>
          <w:top w:val="single" w:color="auto" w:sz="18" w:space="1"/>
          <w:left w:val="none" w:color="auto" w:sz="0" w:space="4"/>
          <w:bottom w:val="single" w:color="auto" w:sz="18" w:space="1"/>
          <w:right w:val="none" w:color="auto" w:sz="0" w:space="4"/>
          <w:between w:val="none" w:color="auto" w:sz="0" w:space="0"/>
        </w:pBdr>
        <w:ind w:firstLine="280" w:firstLineChars="100"/>
        <w:jc w:val="both"/>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 xml:space="preserve">信阳市商务局办公室              </w:t>
      </w:r>
      <w:r>
        <w:rPr>
          <w:rFonts w:hint="default" w:ascii="Times New Roman" w:hAnsi="Times New Roman" w:eastAsia="仿宋_GB2312" w:cs="Times New Roman"/>
          <w:color w:val="000000"/>
          <w:kern w:val="0"/>
          <w:sz w:val="28"/>
          <w:szCs w:val="28"/>
          <w:lang w:val="en-US" w:eastAsia="zh-CN" w:bidi="ar"/>
        </w:rPr>
        <w:t xml:space="preserve">  </w:t>
      </w:r>
      <w:r>
        <w:rPr>
          <w:rFonts w:hint="eastAsia" w:ascii="Times New Roman" w:hAnsi="Times New Roman" w:eastAsia="仿宋_GB2312" w:cs="Times New Roman"/>
          <w:color w:val="000000"/>
          <w:kern w:val="0"/>
          <w:sz w:val="28"/>
          <w:szCs w:val="28"/>
          <w:lang w:val="en-US" w:eastAsia="zh-CN" w:bidi="ar"/>
        </w:rPr>
        <w:t xml:space="preserve">      </w:t>
      </w:r>
      <w:r>
        <w:rPr>
          <w:rFonts w:hint="default" w:ascii="Times New Roman" w:hAnsi="Times New Roman" w:eastAsia="仿宋_GB2312" w:cs="Times New Roman"/>
          <w:color w:val="000000"/>
          <w:kern w:val="0"/>
          <w:sz w:val="28"/>
          <w:szCs w:val="28"/>
          <w:lang w:val="en-US" w:eastAsia="zh-CN" w:bidi="ar"/>
        </w:rPr>
        <w:t>2025年7月31日印发</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D5029"/>
    <w:rsid w:val="01DF2153"/>
    <w:rsid w:val="046C7905"/>
    <w:rsid w:val="0ABA7E71"/>
    <w:rsid w:val="104632FA"/>
    <w:rsid w:val="11EC4876"/>
    <w:rsid w:val="121E6934"/>
    <w:rsid w:val="168B1A72"/>
    <w:rsid w:val="16CD477E"/>
    <w:rsid w:val="179471CB"/>
    <w:rsid w:val="1E7A3039"/>
    <w:rsid w:val="20D67D8D"/>
    <w:rsid w:val="22AF071B"/>
    <w:rsid w:val="29EA2084"/>
    <w:rsid w:val="2AD32129"/>
    <w:rsid w:val="2AF15F83"/>
    <w:rsid w:val="30046A1D"/>
    <w:rsid w:val="31325B1E"/>
    <w:rsid w:val="36963DEF"/>
    <w:rsid w:val="39A21CFB"/>
    <w:rsid w:val="39C179EC"/>
    <w:rsid w:val="3DFA74AA"/>
    <w:rsid w:val="3EB968CD"/>
    <w:rsid w:val="3F977046"/>
    <w:rsid w:val="4764787B"/>
    <w:rsid w:val="487D6BBD"/>
    <w:rsid w:val="4E07740D"/>
    <w:rsid w:val="4E6B5AFB"/>
    <w:rsid w:val="4F547732"/>
    <w:rsid w:val="518660C3"/>
    <w:rsid w:val="55823004"/>
    <w:rsid w:val="5886571D"/>
    <w:rsid w:val="5B2E56C1"/>
    <w:rsid w:val="5CF876F7"/>
    <w:rsid w:val="5D0D53ED"/>
    <w:rsid w:val="5E797EB5"/>
    <w:rsid w:val="5F164E84"/>
    <w:rsid w:val="68A557F5"/>
    <w:rsid w:val="69ED5029"/>
    <w:rsid w:val="6A8F0FF6"/>
    <w:rsid w:val="6FF5D4B7"/>
    <w:rsid w:val="70AF0750"/>
    <w:rsid w:val="764A5AC5"/>
    <w:rsid w:val="FFFFD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link w:val="19"/>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table of authorities"/>
    <w:basedOn w:val="1"/>
    <w:next w:val="1"/>
    <w:qFormat/>
    <w:uiPriority w:val="99"/>
    <w:pPr>
      <w:widowControl w:val="0"/>
      <w:ind w:left="420" w:leftChars="200"/>
      <w:jc w:val="both"/>
    </w:pPr>
    <w:rPr>
      <w:rFonts w:ascii="Calibri" w:hAnsi="Calibri" w:eastAsia="仿宋" w:cs="Times New Roman"/>
      <w:kern w:val="2"/>
      <w:sz w:val="32"/>
      <w:szCs w:val="24"/>
      <w:lang w:val="en-US" w:eastAsia="zh-CN" w:bidi="ar-SA"/>
    </w:rPr>
  </w:style>
  <w:style w:type="paragraph" w:styleId="5">
    <w:name w:val="Body Text"/>
    <w:basedOn w:val="1"/>
    <w:qFormat/>
    <w:uiPriority w:val="0"/>
    <w:pPr>
      <w:spacing w:after="120" w:afterLines="0" w:afterAutospacing="0"/>
    </w:pPr>
  </w:style>
  <w:style w:type="paragraph" w:styleId="6">
    <w:name w:val="Plain Text"/>
    <w:basedOn w:val="1"/>
    <w:qFormat/>
    <w:uiPriority w:val="0"/>
    <w:rPr>
      <w:rFonts w:ascii="宋体" w:hAnsi="Courier New"/>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5"/>
    <w:qFormat/>
    <w:uiPriority w:val="0"/>
    <w:pPr>
      <w:ind w:firstLine="420" w:firstLineChars="100"/>
    </w:pPr>
  </w:style>
  <w:style w:type="character" w:styleId="13">
    <w:name w:val="Strong"/>
    <w:basedOn w:val="12"/>
    <w:qFormat/>
    <w:uiPriority w:val="0"/>
    <w:rPr>
      <w:b/>
    </w:rPr>
  </w:style>
  <w:style w:type="character" w:styleId="14">
    <w:name w:val="endnote reference"/>
    <w:basedOn w:val="12"/>
    <w:qFormat/>
    <w:uiPriority w:val="0"/>
    <w:rPr>
      <w:vertAlign w:val="superscript"/>
    </w:rPr>
  </w:style>
  <w:style w:type="paragraph" w:customStyle="1" w:styleId="1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6">
    <w:name w:val="BodyText"/>
    <w:basedOn w:val="1"/>
    <w:next w:val="17"/>
    <w:qFormat/>
    <w:uiPriority w:val="0"/>
    <w:rPr>
      <w:rFonts w:eastAsia="仿宋_GB2312"/>
      <w:sz w:val="32"/>
    </w:rPr>
  </w:style>
  <w:style w:type="paragraph" w:customStyle="1" w:styleId="17">
    <w:name w:val="UserStyle_2"/>
    <w:basedOn w:val="1"/>
    <w:qFormat/>
    <w:uiPriority w:val="0"/>
    <w:pPr>
      <w:spacing w:line="480" w:lineRule="auto"/>
    </w:pPr>
  </w:style>
  <w:style w:type="character" w:customStyle="1" w:styleId="18">
    <w:name w:val="样式1"/>
    <w:basedOn w:val="14"/>
    <w:qFormat/>
    <w:uiPriority w:val="0"/>
    <w:rPr>
      <w:rFonts w:asciiTheme="minorAscii" w:hAnsiTheme="minorAscii" w:eastAsiaTheme="minorEastAsia" w:cstheme="minorEastAsia"/>
      <w:kern w:val="2"/>
      <w:sz w:val="24"/>
      <w:szCs w:val="24"/>
      <w:vertAlign w:val="superscript"/>
      <w:lang w:val="en-US" w:eastAsia="zh-CN" w:bidi="ar-SA"/>
    </w:rPr>
  </w:style>
  <w:style w:type="character" w:customStyle="1" w:styleId="19">
    <w:name w:val="标题 3 Char"/>
    <w:link w:val="3"/>
    <w:qFormat/>
    <w:uiPriority w:val="0"/>
    <w:rPr>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2615</Words>
  <Characters>2688</Characters>
  <Lines>0</Lines>
  <Paragraphs>0</Paragraphs>
  <TotalTime>3</TotalTime>
  <ScaleCrop>false</ScaleCrop>
  <LinksUpToDate>false</LinksUpToDate>
  <CharactersWithSpaces>2764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2025-07-29T18:01:00Z</dcterms:created>
  <dc:creator>琪琪</dc:creator>
  <cp:lastModifiedBy>guest</cp:lastModifiedBy>
  <cp:lastPrinted>2025-08-05T18:53:11Z</cp:lastPrinted>
  <dcterms:modified xsi:type="dcterms:W3CDTF">2025-08-05T19:13:41Z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E7149073BBD44562A210A3EA30201475_13</vt:lpwstr>
  </property>
  <property fmtid="{D5CDD505-2E9C-101B-9397-08002B2CF9AE}" pid="4" name="KSOTemplateDocerSaveRecord">
    <vt:lpwstr>eyJoZGlkIjoiMWNiNDk0ZWQ4MjljMmFmNTdlODQ5MTE3NzMyYzk3NjMiLCJ1c2VySWQiOiI0MzEwNDE0MTUifQ==</vt:lpwstr>
  </property>
</Properties>
</file>