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749B5">
      <w:pPr>
        <w:pStyle w:val="4"/>
        <w:keepNext w:val="0"/>
        <w:keepLines w:val="0"/>
        <w:pageBreakBefore w:val="0"/>
        <w:widowControl w:val="0"/>
        <w:kinsoku/>
        <w:wordWrap/>
        <w:overflowPunct/>
        <w:topLinePunct w:val="0"/>
        <w:autoSpaceDE/>
        <w:autoSpaceDN/>
        <w:bidi w:val="0"/>
        <w:adjustRightInd w:val="0"/>
        <w:snapToGrid/>
        <w:spacing w:before="0" w:line="560" w:lineRule="exact"/>
        <w:ind w:right="0" w:rightChars="0"/>
        <w:jc w:val="center"/>
        <w:textAlignment w:val="auto"/>
        <w:outlineLvl w:val="9"/>
        <w:rPr>
          <w:rFonts w:hint="default" w:ascii="Times New Roman" w:hAnsi="Times New Roman" w:eastAsia="楷体_GB2312" w:cs="Times New Roman"/>
          <w:color w:val="auto"/>
          <w:sz w:val="32"/>
          <w:szCs w:val="32"/>
        </w:rPr>
      </w:pPr>
      <w:bookmarkStart w:id="0" w:name="_GoBack"/>
      <w:r>
        <w:rPr>
          <w:rFonts w:hint="eastAsia" w:ascii="Times New Roman" w:hAnsi="Times New Roman" w:eastAsia="方正小标宋简体" w:cs="Times New Roman"/>
          <w:color w:val="auto"/>
          <w:spacing w:val="3"/>
          <w:sz w:val="44"/>
          <w:szCs w:val="44"/>
          <w:lang w:val="en-US" w:eastAsia="zh-CN"/>
        </w:rPr>
        <w:t>信阳市</w:t>
      </w:r>
      <w:r>
        <w:rPr>
          <w:rFonts w:hint="default" w:ascii="Times New Roman" w:hAnsi="Times New Roman" w:eastAsia="方正小标宋简体" w:cs="Times New Roman"/>
          <w:color w:val="auto"/>
          <w:spacing w:val="3"/>
          <w:sz w:val="44"/>
          <w:szCs w:val="44"/>
          <w:lang w:val="en-US" w:eastAsia="zh-CN"/>
        </w:rPr>
        <w:t>交由乡镇人民政府和街道办事处行使的行政处罚权事项清单（2025年版）</w:t>
      </w:r>
      <w:bookmarkEnd w:id="0"/>
    </w:p>
    <w:p w14:paraId="2EC38F4E">
      <w:pPr>
        <w:spacing w:line="360" w:lineRule="exact"/>
        <w:rPr>
          <w:rFonts w:hint="default" w:ascii="Times New Roman" w:hAnsi="Times New Roman" w:eastAsia="仿宋_GB2312" w:cs="Times New Roman"/>
          <w:color w:val="auto"/>
          <w:sz w:val="32"/>
          <w:szCs w:val="32"/>
        </w:rPr>
      </w:pPr>
    </w:p>
    <w:tbl>
      <w:tblPr>
        <w:tblStyle w:val="5"/>
        <w:tblW w:w="567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1"/>
        <w:gridCol w:w="3235"/>
        <w:gridCol w:w="1279"/>
        <w:gridCol w:w="3548"/>
        <w:gridCol w:w="1446"/>
      </w:tblGrid>
      <w:tr w14:paraId="051E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blHeader/>
          <w:jc w:val="center"/>
        </w:trPr>
        <w:tc>
          <w:tcPr>
            <w:tcW w:w="375" w:type="pct"/>
            <w:noWrap w:val="0"/>
            <w:vAlign w:val="center"/>
          </w:tcPr>
          <w:p w14:paraId="5C6EC9C2">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序号</w:t>
            </w:r>
          </w:p>
        </w:tc>
        <w:tc>
          <w:tcPr>
            <w:tcW w:w="1573" w:type="pct"/>
            <w:noWrap w:val="0"/>
            <w:vAlign w:val="center"/>
          </w:tcPr>
          <w:p w14:paraId="13738D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auto"/>
                <w:sz w:val="24"/>
                <w:szCs w:val="24"/>
                <w:lang w:eastAsia="zh-CN"/>
              </w:rPr>
            </w:pPr>
            <w:r>
              <w:rPr>
                <w:rFonts w:hint="eastAsia" w:ascii="黑体" w:hAnsi="黑体" w:eastAsia="黑体" w:cs="黑体"/>
                <w:color w:val="auto"/>
                <w:sz w:val="24"/>
                <w:szCs w:val="24"/>
                <w:lang w:eastAsia="zh-CN"/>
              </w:rPr>
              <w:t>事项名称</w:t>
            </w:r>
          </w:p>
        </w:tc>
        <w:tc>
          <w:tcPr>
            <w:tcW w:w="622" w:type="pct"/>
            <w:noWrap w:val="0"/>
            <w:vAlign w:val="center"/>
          </w:tcPr>
          <w:p w14:paraId="0F8566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auto"/>
                <w:sz w:val="24"/>
                <w:szCs w:val="24"/>
              </w:rPr>
            </w:pPr>
            <w:r>
              <w:rPr>
                <w:rFonts w:hint="eastAsia" w:ascii="黑体" w:hAnsi="黑体" w:eastAsia="黑体" w:cs="黑体"/>
                <w:color w:val="auto"/>
                <w:kern w:val="0"/>
                <w:sz w:val="24"/>
                <w:szCs w:val="24"/>
                <w:lang w:bidi="ar"/>
              </w:rPr>
              <w:t>执法领域</w:t>
            </w:r>
          </w:p>
        </w:tc>
        <w:tc>
          <w:tcPr>
            <w:tcW w:w="1725" w:type="pct"/>
            <w:noWrap w:val="0"/>
            <w:vAlign w:val="center"/>
          </w:tcPr>
          <w:p w14:paraId="4144A0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auto"/>
                <w:sz w:val="24"/>
                <w:szCs w:val="24"/>
              </w:rPr>
            </w:pPr>
            <w:r>
              <w:rPr>
                <w:rFonts w:hint="eastAsia" w:ascii="黑体" w:hAnsi="黑体" w:eastAsia="黑体" w:cs="黑体"/>
                <w:color w:val="auto"/>
                <w:kern w:val="0"/>
                <w:sz w:val="24"/>
                <w:szCs w:val="24"/>
                <w:lang w:bidi="ar"/>
              </w:rPr>
              <w:t>实施依据</w:t>
            </w:r>
          </w:p>
        </w:tc>
        <w:tc>
          <w:tcPr>
            <w:tcW w:w="703" w:type="pct"/>
            <w:noWrap w:val="0"/>
            <w:vAlign w:val="center"/>
          </w:tcPr>
          <w:p w14:paraId="0BBF3F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auto"/>
                <w:kern w:val="0"/>
                <w:sz w:val="24"/>
                <w:szCs w:val="24"/>
                <w:lang w:bidi="ar"/>
              </w:rPr>
            </w:pPr>
            <w:r>
              <w:rPr>
                <w:rFonts w:hint="eastAsia" w:ascii="黑体" w:hAnsi="黑体" w:eastAsia="黑体" w:cs="黑体"/>
                <w:color w:val="auto"/>
                <w:kern w:val="0"/>
                <w:sz w:val="24"/>
                <w:szCs w:val="24"/>
                <w:lang w:bidi="ar"/>
              </w:rPr>
              <w:t>行使范围</w:t>
            </w:r>
          </w:p>
        </w:tc>
      </w:tr>
      <w:tr w14:paraId="512D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5" w:hRule="atLeast"/>
          <w:jc w:val="center"/>
        </w:trPr>
        <w:tc>
          <w:tcPr>
            <w:tcW w:w="375" w:type="pct"/>
            <w:noWrap w:val="0"/>
            <w:vAlign w:val="center"/>
          </w:tcPr>
          <w:p w14:paraId="0C85F4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1</w:t>
            </w:r>
          </w:p>
        </w:tc>
        <w:tc>
          <w:tcPr>
            <w:tcW w:w="1573" w:type="pct"/>
            <w:noWrap w:val="0"/>
            <w:vAlign w:val="center"/>
          </w:tcPr>
          <w:p w14:paraId="41741E8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6"/>
                <w:kern w:val="0"/>
                <w:sz w:val="24"/>
                <w:szCs w:val="24"/>
                <w:lang w:bidi="ar"/>
              </w:rPr>
              <w:t>对擅自占用、</w:t>
            </w:r>
            <w:r>
              <w:rPr>
                <w:rFonts w:hint="default" w:ascii="Times New Roman" w:hAnsi="Times New Roman" w:eastAsia="方正仿宋_GBK" w:cs="Times New Roman"/>
                <w:color w:val="auto"/>
                <w:kern w:val="0"/>
                <w:sz w:val="24"/>
                <w:szCs w:val="24"/>
                <w:lang w:bidi="ar"/>
              </w:rPr>
              <w:t>挖掘公路的行政处罚</w:t>
            </w:r>
          </w:p>
        </w:tc>
        <w:tc>
          <w:tcPr>
            <w:tcW w:w="622" w:type="pct"/>
            <w:noWrap w:val="0"/>
            <w:vAlign w:val="center"/>
          </w:tcPr>
          <w:p w14:paraId="3EBA8E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6D434E8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第四十四条第一款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第七十六条第一项</w:t>
            </w:r>
          </w:p>
        </w:tc>
        <w:tc>
          <w:tcPr>
            <w:tcW w:w="703" w:type="pct"/>
            <w:noWrap w:val="0"/>
            <w:vAlign w:val="center"/>
          </w:tcPr>
          <w:p w14:paraId="21C8FD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72531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375" w:type="pct"/>
            <w:noWrap w:val="0"/>
            <w:vAlign w:val="center"/>
          </w:tcPr>
          <w:p w14:paraId="35E6BCD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2</w:t>
            </w:r>
          </w:p>
        </w:tc>
        <w:tc>
          <w:tcPr>
            <w:tcW w:w="1573" w:type="pct"/>
            <w:noWrap w:val="0"/>
            <w:vAlign w:val="center"/>
          </w:tcPr>
          <w:p w14:paraId="427DFA3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对铁轮车、履带车和其他可能损害路面的机具擅自在公路上行驶的行政处罚</w:t>
            </w:r>
          </w:p>
        </w:tc>
        <w:tc>
          <w:tcPr>
            <w:tcW w:w="622" w:type="pct"/>
            <w:noWrap w:val="0"/>
            <w:vAlign w:val="center"/>
          </w:tcPr>
          <w:p w14:paraId="2DDDC3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06FFA47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第四十八条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第七十六条第四项</w:t>
            </w:r>
          </w:p>
        </w:tc>
        <w:tc>
          <w:tcPr>
            <w:tcW w:w="703" w:type="pct"/>
            <w:noWrap w:val="0"/>
            <w:vAlign w:val="center"/>
          </w:tcPr>
          <w:p w14:paraId="47F495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77C6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8" w:hRule="atLeast"/>
          <w:jc w:val="center"/>
        </w:trPr>
        <w:tc>
          <w:tcPr>
            <w:tcW w:w="375" w:type="pct"/>
            <w:noWrap w:val="0"/>
            <w:vAlign w:val="center"/>
          </w:tcPr>
          <w:p w14:paraId="5E1CA90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3</w:t>
            </w:r>
          </w:p>
        </w:tc>
        <w:tc>
          <w:tcPr>
            <w:tcW w:w="1573" w:type="pct"/>
            <w:noWrap w:val="0"/>
            <w:vAlign w:val="center"/>
          </w:tcPr>
          <w:p w14:paraId="6BC8315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对损坏、移动、涂改公路附属设施或者损坏、挪动建筑控</w:t>
            </w:r>
            <w:r>
              <w:rPr>
                <w:rFonts w:hint="default" w:ascii="Times New Roman" w:hAnsi="Times New Roman" w:eastAsia="方正仿宋_GBK" w:cs="Times New Roman"/>
                <w:color w:val="auto"/>
                <w:spacing w:val="-8"/>
                <w:kern w:val="0"/>
                <w:sz w:val="24"/>
                <w:szCs w:val="24"/>
                <w:lang w:bidi="ar"/>
              </w:rPr>
              <w:t>制区的标桩</w:t>
            </w:r>
            <w:r>
              <w:rPr>
                <w:rFonts w:hint="default" w:ascii="Times New Roman" w:hAnsi="Times New Roman" w:eastAsia="方正仿宋_GBK" w:cs="Times New Roman"/>
                <w:color w:val="auto"/>
                <w:kern w:val="0"/>
                <w:sz w:val="24"/>
                <w:szCs w:val="24"/>
                <w:lang w:bidi="ar"/>
              </w:rPr>
              <w:t>、界桩，可能危及公路安全的行政处罚</w:t>
            </w:r>
          </w:p>
        </w:tc>
        <w:tc>
          <w:tcPr>
            <w:tcW w:w="622" w:type="pct"/>
            <w:noWrap w:val="0"/>
            <w:vAlign w:val="center"/>
          </w:tcPr>
          <w:p w14:paraId="2F63AD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4C18FB1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w:t>
            </w: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第五十二条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第五十六条第三款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第七十六条第六项</w:t>
            </w:r>
          </w:p>
        </w:tc>
        <w:tc>
          <w:tcPr>
            <w:tcW w:w="703" w:type="pct"/>
            <w:noWrap w:val="0"/>
            <w:vAlign w:val="center"/>
          </w:tcPr>
          <w:p w14:paraId="72CCE8D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46FFC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0" w:hRule="atLeast"/>
          <w:jc w:val="center"/>
        </w:trPr>
        <w:tc>
          <w:tcPr>
            <w:tcW w:w="375" w:type="pct"/>
            <w:noWrap w:val="0"/>
            <w:vAlign w:val="center"/>
          </w:tcPr>
          <w:p w14:paraId="7CE25F2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4</w:t>
            </w:r>
          </w:p>
        </w:tc>
        <w:tc>
          <w:tcPr>
            <w:tcW w:w="1573" w:type="pct"/>
            <w:noWrap w:val="0"/>
            <w:vAlign w:val="center"/>
          </w:tcPr>
          <w:p w14:paraId="2F20748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对在公路上及公路用地范围内摆摊设点、堆放物品、倾倒垃圾、设置障碍、挖沟引水、利用公路边沟排放污物或者进行其他损坏、污染公路和影响公路畅通的活动的行政处罚</w:t>
            </w:r>
          </w:p>
        </w:tc>
        <w:tc>
          <w:tcPr>
            <w:tcW w:w="622" w:type="pct"/>
            <w:noWrap w:val="0"/>
            <w:vAlign w:val="center"/>
          </w:tcPr>
          <w:p w14:paraId="3C5BC7D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4EF31B2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eastAsia="zh-CN" w:bidi="ar"/>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第四十六条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第七十七条</w:t>
            </w:r>
          </w:p>
          <w:p w14:paraId="643D0F4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《河南省农村公路条例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第四十一条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第五十五条</w:t>
            </w:r>
          </w:p>
        </w:tc>
        <w:tc>
          <w:tcPr>
            <w:tcW w:w="703" w:type="pct"/>
            <w:noWrap w:val="0"/>
            <w:vAlign w:val="center"/>
          </w:tcPr>
          <w:p w14:paraId="6EDEF2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村道</w:t>
            </w:r>
          </w:p>
        </w:tc>
      </w:tr>
      <w:tr w14:paraId="60855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6" w:hRule="atLeast"/>
          <w:jc w:val="center"/>
        </w:trPr>
        <w:tc>
          <w:tcPr>
            <w:tcW w:w="375" w:type="pct"/>
            <w:noWrap w:val="0"/>
            <w:vAlign w:val="center"/>
          </w:tcPr>
          <w:p w14:paraId="70015C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5</w:t>
            </w:r>
          </w:p>
        </w:tc>
        <w:tc>
          <w:tcPr>
            <w:tcW w:w="1573" w:type="pct"/>
            <w:noWrap w:val="0"/>
            <w:vAlign w:val="center"/>
          </w:tcPr>
          <w:p w14:paraId="71EF538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对造成公路损坏未报告的行政处罚</w:t>
            </w:r>
          </w:p>
        </w:tc>
        <w:tc>
          <w:tcPr>
            <w:tcW w:w="622" w:type="pct"/>
            <w:noWrap w:val="0"/>
            <w:vAlign w:val="center"/>
          </w:tcPr>
          <w:p w14:paraId="2C9F30C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469BA66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第五十三条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第七十八条</w:t>
            </w:r>
          </w:p>
        </w:tc>
        <w:tc>
          <w:tcPr>
            <w:tcW w:w="703" w:type="pct"/>
            <w:noWrap w:val="0"/>
            <w:vAlign w:val="center"/>
          </w:tcPr>
          <w:p w14:paraId="588B85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65FB5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8" w:hRule="atLeast"/>
          <w:jc w:val="center"/>
        </w:trPr>
        <w:tc>
          <w:tcPr>
            <w:tcW w:w="375" w:type="pct"/>
            <w:noWrap w:val="0"/>
            <w:vAlign w:val="center"/>
          </w:tcPr>
          <w:p w14:paraId="7B9D0F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6</w:t>
            </w:r>
          </w:p>
        </w:tc>
        <w:tc>
          <w:tcPr>
            <w:tcW w:w="1573" w:type="pct"/>
            <w:noWrap w:val="0"/>
            <w:vAlign w:val="center"/>
          </w:tcPr>
          <w:p w14:paraId="3D7908F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对未经批准在公路上增设平面交叉道口的行政处罚</w:t>
            </w:r>
          </w:p>
        </w:tc>
        <w:tc>
          <w:tcPr>
            <w:tcW w:w="622" w:type="pct"/>
            <w:noWrap w:val="0"/>
            <w:vAlign w:val="center"/>
          </w:tcPr>
          <w:p w14:paraId="60F57C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38EC480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第五十五条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第八十条</w:t>
            </w:r>
          </w:p>
        </w:tc>
        <w:tc>
          <w:tcPr>
            <w:tcW w:w="703" w:type="pct"/>
            <w:noWrap w:val="0"/>
            <w:vAlign w:val="center"/>
          </w:tcPr>
          <w:p w14:paraId="5DF190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0DCBD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3" w:hRule="atLeast"/>
          <w:jc w:val="center"/>
        </w:trPr>
        <w:tc>
          <w:tcPr>
            <w:tcW w:w="375" w:type="pct"/>
            <w:noWrap w:val="0"/>
            <w:vAlign w:val="center"/>
          </w:tcPr>
          <w:p w14:paraId="7F787B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7</w:t>
            </w:r>
          </w:p>
        </w:tc>
        <w:tc>
          <w:tcPr>
            <w:tcW w:w="1573" w:type="pct"/>
            <w:noWrap w:val="0"/>
            <w:vAlign w:val="center"/>
          </w:tcPr>
          <w:p w14:paraId="239D85F1">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对在公路建筑控制区内修建建筑物、地面构筑物或者擅自埋设管线、电缆等设施的行政处罚</w:t>
            </w:r>
          </w:p>
        </w:tc>
        <w:tc>
          <w:tcPr>
            <w:tcW w:w="622" w:type="pct"/>
            <w:noWrap w:val="0"/>
            <w:vAlign w:val="center"/>
          </w:tcPr>
          <w:p w14:paraId="54716A39">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5D8CF575">
            <w:pPr>
              <w:keepNext w:val="0"/>
              <w:keepLines w:val="0"/>
              <w:pageBreakBefore w:val="0"/>
              <w:widowControl/>
              <w:kinsoku/>
              <w:wordWrap/>
              <w:overflowPunct/>
              <w:topLinePunct w:val="0"/>
              <w:autoSpaceDE/>
              <w:autoSpaceDN/>
              <w:bidi w:val="0"/>
              <w:adjustRightInd/>
              <w:snapToGrid/>
              <w:spacing w:line="360" w:lineRule="exact"/>
              <w:jc w:val="both"/>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《中华人民共和国公路法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第五十六条第一款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第八十一条</w:t>
            </w:r>
          </w:p>
        </w:tc>
        <w:tc>
          <w:tcPr>
            <w:tcW w:w="703" w:type="pct"/>
            <w:noWrap w:val="0"/>
            <w:vAlign w:val="center"/>
          </w:tcPr>
          <w:p w14:paraId="3215001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5D97A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9" w:hRule="atLeast"/>
          <w:jc w:val="center"/>
        </w:trPr>
        <w:tc>
          <w:tcPr>
            <w:tcW w:w="375" w:type="pct"/>
            <w:noWrap w:val="0"/>
            <w:vAlign w:val="center"/>
          </w:tcPr>
          <w:p w14:paraId="4FD208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8</w:t>
            </w:r>
          </w:p>
        </w:tc>
        <w:tc>
          <w:tcPr>
            <w:tcW w:w="1573" w:type="pct"/>
            <w:noWrap w:val="0"/>
            <w:vAlign w:val="center"/>
          </w:tcPr>
          <w:p w14:paraId="1CD6FBA1">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对在公路建筑控制区外修建的建筑物、地面构筑物以及其他设施遮挡公路标志或者妨碍安全视距的行政处罚</w:t>
            </w:r>
          </w:p>
        </w:tc>
        <w:tc>
          <w:tcPr>
            <w:tcW w:w="622" w:type="pct"/>
            <w:noWrap w:val="0"/>
            <w:vAlign w:val="center"/>
          </w:tcPr>
          <w:p w14:paraId="1D1FB3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737AB8F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《公路安全保护条例》（</w:t>
            </w:r>
            <w:r>
              <w:rPr>
                <w:rFonts w:hint="default" w:ascii="Times New Roman" w:hAnsi="Times New Roman" w:eastAsia="方正仿宋_GBK" w:cs="Times New Roman"/>
                <w:color w:val="auto"/>
                <w:kern w:val="0"/>
                <w:sz w:val="24"/>
                <w:szCs w:val="24"/>
                <w:lang w:eastAsia="zh-CN" w:bidi="ar"/>
              </w:rPr>
              <w:t>国务院令第</w:t>
            </w:r>
            <w:r>
              <w:rPr>
                <w:rFonts w:hint="default" w:ascii="Times New Roman" w:hAnsi="Times New Roman" w:eastAsia="方正仿宋_GBK" w:cs="Times New Roman"/>
                <w:color w:val="auto"/>
                <w:kern w:val="0"/>
                <w:sz w:val="24"/>
                <w:szCs w:val="24"/>
                <w:lang w:val="en-US" w:eastAsia="zh-CN" w:bidi="ar"/>
              </w:rPr>
              <w:t>593号</w:t>
            </w:r>
            <w:r>
              <w:rPr>
                <w:rFonts w:hint="default" w:ascii="Times New Roman" w:hAnsi="Times New Roman" w:eastAsia="方正仿宋_GBK" w:cs="Times New Roman"/>
                <w:color w:val="auto"/>
                <w:kern w:val="0"/>
                <w:sz w:val="24"/>
                <w:szCs w:val="24"/>
                <w:lang w:bidi="ar"/>
              </w:rPr>
              <w:t>）</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第十三条第二款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spacing w:val="-4"/>
                <w:kern w:val="0"/>
                <w:sz w:val="24"/>
                <w:szCs w:val="24"/>
                <w:lang w:bidi="ar"/>
              </w:rPr>
              <w:t>第五十六条第二项</w:t>
            </w:r>
          </w:p>
        </w:tc>
        <w:tc>
          <w:tcPr>
            <w:tcW w:w="703" w:type="pct"/>
            <w:noWrap w:val="0"/>
            <w:vAlign w:val="center"/>
          </w:tcPr>
          <w:p w14:paraId="1219E6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0AFFD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4" w:hRule="atLeast"/>
          <w:jc w:val="center"/>
        </w:trPr>
        <w:tc>
          <w:tcPr>
            <w:tcW w:w="375" w:type="pct"/>
            <w:noWrap w:val="0"/>
            <w:vAlign w:val="center"/>
          </w:tcPr>
          <w:p w14:paraId="1FE46C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9</w:t>
            </w:r>
          </w:p>
        </w:tc>
        <w:tc>
          <w:tcPr>
            <w:tcW w:w="1573" w:type="pct"/>
            <w:noWrap w:val="0"/>
            <w:vAlign w:val="center"/>
          </w:tcPr>
          <w:p w14:paraId="52B95F5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对涉路工程设施影响公路完好、安全和畅通的行政处罚</w:t>
            </w:r>
          </w:p>
        </w:tc>
        <w:tc>
          <w:tcPr>
            <w:tcW w:w="622" w:type="pct"/>
            <w:noWrap w:val="0"/>
            <w:vAlign w:val="center"/>
          </w:tcPr>
          <w:p w14:paraId="1C56AA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3E4E85F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《公路安全保护条例》（国务院令第593号）</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第二十九条第三款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第六十条第二项</w:t>
            </w:r>
          </w:p>
        </w:tc>
        <w:tc>
          <w:tcPr>
            <w:tcW w:w="703" w:type="pct"/>
            <w:noWrap w:val="0"/>
            <w:vAlign w:val="center"/>
          </w:tcPr>
          <w:p w14:paraId="0F09FB6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r>
              <w:rPr>
                <w:rFonts w:hint="default" w:ascii="Times New Roman" w:hAnsi="Times New Roman" w:eastAsia="方正仿宋_GBK" w:cs="Times New Roman"/>
                <w:color w:val="auto"/>
                <w:kern w:val="0"/>
                <w:sz w:val="24"/>
                <w:szCs w:val="24"/>
                <w:lang w:bidi="ar"/>
              </w:rPr>
              <w:t>乡道</w:t>
            </w:r>
          </w:p>
        </w:tc>
      </w:tr>
      <w:tr w14:paraId="75774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0" w:hRule="atLeast"/>
          <w:jc w:val="center"/>
        </w:trPr>
        <w:tc>
          <w:tcPr>
            <w:tcW w:w="375" w:type="pct"/>
            <w:noWrap w:val="0"/>
            <w:tcMar>
              <w:left w:w="28" w:type="dxa"/>
              <w:right w:w="28" w:type="dxa"/>
            </w:tcMar>
            <w:vAlign w:val="center"/>
          </w:tcPr>
          <w:p w14:paraId="6393EA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10</w:t>
            </w:r>
          </w:p>
        </w:tc>
        <w:tc>
          <w:tcPr>
            <w:tcW w:w="1573" w:type="pct"/>
            <w:noWrap w:val="0"/>
            <w:vAlign w:val="center"/>
          </w:tcPr>
          <w:p w14:paraId="54E20CD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6"/>
                <w:kern w:val="0"/>
                <w:sz w:val="24"/>
                <w:szCs w:val="24"/>
                <w:lang w:bidi="ar"/>
              </w:rPr>
              <w:t>对擅自占用、</w:t>
            </w:r>
            <w:r>
              <w:rPr>
                <w:rFonts w:hint="default" w:ascii="Times New Roman" w:hAnsi="Times New Roman" w:eastAsia="方正仿宋_GBK" w:cs="Times New Roman"/>
                <w:color w:val="auto"/>
                <w:kern w:val="0"/>
                <w:sz w:val="24"/>
                <w:szCs w:val="24"/>
                <w:lang w:bidi="ar"/>
              </w:rPr>
              <w:t>挖掘村道的行政处罚</w:t>
            </w:r>
          </w:p>
        </w:tc>
        <w:tc>
          <w:tcPr>
            <w:tcW w:w="622" w:type="pct"/>
            <w:noWrap w:val="0"/>
            <w:vAlign w:val="center"/>
          </w:tcPr>
          <w:p w14:paraId="2B7796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73F5829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《河南省农村公路条例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第三十九条第一款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第五十三条第一项</w:t>
            </w:r>
          </w:p>
        </w:tc>
        <w:tc>
          <w:tcPr>
            <w:tcW w:w="703" w:type="pct"/>
            <w:noWrap w:val="0"/>
            <w:vAlign w:val="center"/>
          </w:tcPr>
          <w:p w14:paraId="2B5F65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00865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2" w:hRule="atLeast"/>
          <w:jc w:val="center"/>
        </w:trPr>
        <w:tc>
          <w:tcPr>
            <w:tcW w:w="375" w:type="pct"/>
            <w:noWrap w:val="0"/>
            <w:tcMar>
              <w:left w:w="28" w:type="dxa"/>
              <w:right w:w="28" w:type="dxa"/>
            </w:tcMar>
            <w:vAlign w:val="center"/>
          </w:tcPr>
          <w:p w14:paraId="0B8CFCB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11</w:t>
            </w:r>
          </w:p>
        </w:tc>
        <w:tc>
          <w:tcPr>
            <w:tcW w:w="1573" w:type="pct"/>
            <w:noWrap w:val="0"/>
            <w:vAlign w:val="center"/>
          </w:tcPr>
          <w:p w14:paraId="6BC4A92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对铁轮车、履带车和其他可能损害公路路面的机具或者车辆擅自在村道上行驶的行政处罚</w:t>
            </w:r>
          </w:p>
        </w:tc>
        <w:tc>
          <w:tcPr>
            <w:tcW w:w="622" w:type="pct"/>
            <w:noWrap w:val="0"/>
            <w:vAlign w:val="center"/>
          </w:tcPr>
          <w:p w14:paraId="06DD48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0B830CC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《河南省农村公路条例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第四十五条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第五十三条第四项</w:t>
            </w:r>
          </w:p>
        </w:tc>
        <w:tc>
          <w:tcPr>
            <w:tcW w:w="703" w:type="pct"/>
            <w:noWrap w:val="0"/>
            <w:vAlign w:val="center"/>
          </w:tcPr>
          <w:p w14:paraId="73CDC8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26F9C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2" w:hRule="atLeast"/>
          <w:jc w:val="center"/>
        </w:trPr>
        <w:tc>
          <w:tcPr>
            <w:tcW w:w="375" w:type="pct"/>
            <w:noWrap w:val="0"/>
            <w:tcMar>
              <w:left w:w="28" w:type="dxa"/>
              <w:right w:w="28" w:type="dxa"/>
            </w:tcMar>
            <w:vAlign w:val="center"/>
          </w:tcPr>
          <w:p w14:paraId="453F68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12</w:t>
            </w:r>
          </w:p>
        </w:tc>
        <w:tc>
          <w:tcPr>
            <w:tcW w:w="1573" w:type="pct"/>
            <w:noWrap w:val="0"/>
            <w:vAlign w:val="center"/>
          </w:tcPr>
          <w:p w14:paraId="6B0268F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对损坏或者擅自移动、涂改村道附属设施和标志的行政处罚</w:t>
            </w:r>
          </w:p>
        </w:tc>
        <w:tc>
          <w:tcPr>
            <w:tcW w:w="622" w:type="pct"/>
            <w:noWrap w:val="0"/>
            <w:vAlign w:val="center"/>
          </w:tcPr>
          <w:p w14:paraId="31525D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4E897D7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《河南省农村公路条例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第四十六条第一款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第五十三条第六项</w:t>
            </w:r>
          </w:p>
        </w:tc>
        <w:tc>
          <w:tcPr>
            <w:tcW w:w="703" w:type="pct"/>
            <w:noWrap w:val="0"/>
            <w:vAlign w:val="center"/>
          </w:tcPr>
          <w:p w14:paraId="08749C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61AFB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3" w:hRule="atLeast"/>
          <w:jc w:val="center"/>
        </w:trPr>
        <w:tc>
          <w:tcPr>
            <w:tcW w:w="375" w:type="pct"/>
            <w:noWrap w:val="0"/>
            <w:tcMar>
              <w:left w:w="28" w:type="dxa"/>
              <w:right w:w="28" w:type="dxa"/>
            </w:tcMar>
            <w:vAlign w:val="center"/>
          </w:tcPr>
          <w:p w14:paraId="5F9C00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13</w:t>
            </w:r>
          </w:p>
        </w:tc>
        <w:tc>
          <w:tcPr>
            <w:tcW w:w="1573" w:type="pct"/>
            <w:noWrap w:val="0"/>
            <w:vAlign w:val="center"/>
          </w:tcPr>
          <w:p w14:paraId="28C3874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对在村道公路建筑控制区内修建建筑物、构筑物或者擅自架设、埋设管线、电缆等设施的行政处罚</w:t>
            </w:r>
          </w:p>
        </w:tc>
        <w:tc>
          <w:tcPr>
            <w:tcW w:w="622" w:type="pct"/>
            <w:noWrap w:val="0"/>
            <w:vAlign w:val="center"/>
          </w:tcPr>
          <w:p w14:paraId="5E6558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交通运输</w:t>
            </w:r>
          </w:p>
        </w:tc>
        <w:tc>
          <w:tcPr>
            <w:tcW w:w="1725" w:type="pct"/>
            <w:noWrap w:val="0"/>
            <w:vAlign w:val="center"/>
          </w:tcPr>
          <w:p w14:paraId="4B913A4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《河南省农村公路条例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第四十三条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第五十四条第一款</w:t>
            </w:r>
          </w:p>
        </w:tc>
        <w:tc>
          <w:tcPr>
            <w:tcW w:w="703" w:type="pct"/>
            <w:noWrap w:val="0"/>
            <w:vAlign w:val="center"/>
          </w:tcPr>
          <w:p w14:paraId="77592C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37035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6" w:hRule="atLeast"/>
          <w:jc w:val="center"/>
        </w:trPr>
        <w:tc>
          <w:tcPr>
            <w:tcW w:w="375" w:type="pct"/>
            <w:noWrap w:val="0"/>
            <w:tcMar>
              <w:left w:w="28" w:type="dxa"/>
              <w:right w:w="28" w:type="dxa"/>
            </w:tcMar>
            <w:vAlign w:val="center"/>
          </w:tcPr>
          <w:p w14:paraId="064D1F9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14</w:t>
            </w:r>
          </w:p>
        </w:tc>
        <w:tc>
          <w:tcPr>
            <w:tcW w:w="1573" w:type="pct"/>
            <w:noWrap w:val="0"/>
            <w:vAlign w:val="center"/>
          </w:tcPr>
          <w:p w14:paraId="55661E2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对在农村集中供水管道上直接装泵抽水的行政处罚</w:t>
            </w:r>
          </w:p>
        </w:tc>
        <w:tc>
          <w:tcPr>
            <w:tcW w:w="622" w:type="pct"/>
            <w:noWrap w:val="0"/>
            <w:vAlign w:val="center"/>
          </w:tcPr>
          <w:p w14:paraId="3322CA8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水利</w:t>
            </w:r>
          </w:p>
        </w:tc>
        <w:tc>
          <w:tcPr>
            <w:tcW w:w="1725" w:type="pct"/>
            <w:noWrap w:val="0"/>
            <w:vAlign w:val="center"/>
          </w:tcPr>
          <w:p w14:paraId="5135BF6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8"/>
                <w:kern w:val="0"/>
                <w:sz w:val="24"/>
                <w:szCs w:val="24"/>
                <w:lang w:bidi="ar"/>
              </w:rPr>
              <w:t>《河南省农村供水管理办法》（省政府</w:t>
            </w:r>
            <w:r>
              <w:rPr>
                <w:rFonts w:hint="default" w:ascii="Times New Roman" w:hAnsi="Times New Roman" w:eastAsia="方正仿宋_GBK" w:cs="Times New Roman"/>
                <w:color w:val="auto"/>
                <w:spacing w:val="-8"/>
                <w:kern w:val="0"/>
                <w:sz w:val="24"/>
                <w:szCs w:val="24"/>
                <w:lang w:eastAsia="zh-CN" w:bidi="ar"/>
              </w:rPr>
              <w:t>令第</w:t>
            </w:r>
            <w:r>
              <w:rPr>
                <w:rFonts w:hint="default" w:ascii="Times New Roman" w:hAnsi="Times New Roman" w:eastAsia="方正仿宋_GBK" w:cs="Times New Roman"/>
                <w:color w:val="auto"/>
                <w:spacing w:val="-8"/>
                <w:kern w:val="0"/>
                <w:sz w:val="24"/>
                <w:szCs w:val="24"/>
                <w:lang w:val="en-US" w:eastAsia="zh-CN" w:bidi="ar"/>
              </w:rPr>
              <w:t>223号</w:t>
            </w:r>
            <w:r>
              <w:rPr>
                <w:rFonts w:hint="default" w:ascii="Times New Roman" w:hAnsi="Times New Roman" w:eastAsia="方正仿宋_GBK" w:cs="Times New Roman"/>
                <w:color w:val="auto"/>
                <w:spacing w:val="-8"/>
                <w:kern w:val="0"/>
                <w:sz w:val="24"/>
                <w:szCs w:val="24"/>
                <w:lang w:bidi="ar"/>
              </w:rPr>
              <w:t>）</w:t>
            </w:r>
            <w:r>
              <w:rPr>
                <w:rFonts w:hint="default" w:ascii="Times New Roman" w:hAnsi="Times New Roman" w:eastAsia="方正仿宋_GBK" w:cs="Times New Roman"/>
                <w:color w:val="auto"/>
                <w:spacing w:val="-8"/>
                <w:kern w:val="0"/>
                <w:sz w:val="24"/>
                <w:szCs w:val="24"/>
                <w:lang w:eastAsia="zh-CN" w:bidi="ar"/>
              </w:rPr>
              <w:t>：</w:t>
            </w:r>
            <w:r>
              <w:rPr>
                <w:rFonts w:hint="default" w:ascii="Times New Roman" w:hAnsi="Times New Roman" w:eastAsia="方正仿宋_GBK" w:cs="Times New Roman"/>
                <w:color w:val="auto"/>
                <w:kern w:val="0"/>
                <w:sz w:val="24"/>
                <w:szCs w:val="24"/>
                <w:lang w:bidi="ar"/>
              </w:rPr>
              <w:t>第十七条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第三十七条第一项</w:t>
            </w:r>
          </w:p>
        </w:tc>
        <w:tc>
          <w:tcPr>
            <w:tcW w:w="703" w:type="pct"/>
            <w:noWrap w:val="0"/>
            <w:vAlign w:val="center"/>
          </w:tcPr>
          <w:p w14:paraId="207A8B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7E532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4" w:hRule="atLeast"/>
          <w:jc w:val="center"/>
        </w:trPr>
        <w:tc>
          <w:tcPr>
            <w:tcW w:w="375" w:type="pct"/>
            <w:noWrap w:val="0"/>
            <w:tcMar>
              <w:left w:w="28" w:type="dxa"/>
              <w:right w:w="28" w:type="dxa"/>
            </w:tcMar>
            <w:vAlign w:val="center"/>
          </w:tcPr>
          <w:p w14:paraId="6C0ECC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15</w:t>
            </w:r>
          </w:p>
        </w:tc>
        <w:tc>
          <w:tcPr>
            <w:tcW w:w="1573" w:type="pct"/>
            <w:noWrap w:val="0"/>
            <w:vAlign w:val="center"/>
          </w:tcPr>
          <w:p w14:paraId="6F75EF2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对生产或者使用有毒、有害物质的单位将其生产、使用的用水管网与农村供水管网系统直接连接的行政处罚</w:t>
            </w:r>
          </w:p>
        </w:tc>
        <w:tc>
          <w:tcPr>
            <w:tcW w:w="622" w:type="pct"/>
            <w:noWrap w:val="0"/>
            <w:vAlign w:val="center"/>
          </w:tcPr>
          <w:p w14:paraId="720561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水利</w:t>
            </w:r>
          </w:p>
        </w:tc>
        <w:tc>
          <w:tcPr>
            <w:tcW w:w="1725" w:type="pct"/>
            <w:noWrap w:val="0"/>
            <w:vAlign w:val="center"/>
          </w:tcPr>
          <w:p w14:paraId="4C4E0B7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《河南省农村供水管理办法》（省政府令第223号）</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第十七条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第三十七条第二项</w:t>
            </w:r>
          </w:p>
        </w:tc>
        <w:tc>
          <w:tcPr>
            <w:tcW w:w="703" w:type="pct"/>
            <w:noWrap w:val="0"/>
            <w:vAlign w:val="center"/>
          </w:tcPr>
          <w:p w14:paraId="7EC5D4D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79A56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3" w:hRule="atLeast"/>
          <w:jc w:val="center"/>
        </w:trPr>
        <w:tc>
          <w:tcPr>
            <w:tcW w:w="375" w:type="pct"/>
            <w:noWrap w:val="0"/>
            <w:tcMar>
              <w:left w:w="28" w:type="dxa"/>
              <w:right w:w="28" w:type="dxa"/>
            </w:tcMar>
            <w:vAlign w:val="center"/>
          </w:tcPr>
          <w:p w14:paraId="5B724E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16</w:t>
            </w:r>
          </w:p>
        </w:tc>
        <w:tc>
          <w:tcPr>
            <w:tcW w:w="1573" w:type="pct"/>
            <w:noWrap w:val="0"/>
            <w:vAlign w:val="center"/>
          </w:tcPr>
          <w:p w14:paraId="03AB4E0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对移动、喷涂、覆盖、损坏农村供</w:t>
            </w:r>
            <w:r>
              <w:rPr>
                <w:rFonts w:hint="default" w:ascii="Times New Roman" w:hAnsi="Times New Roman" w:eastAsia="方正仿宋_GBK" w:cs="Times New Roman"/>
                <w:color w:val="auto"/>
                <w:spacing w:val="-8"/>
                <w:kern w:val="0"/>
                <w:sz w:val="24"/>
                <w:szCs w:val="24"/>
                <w:lang w:bidi="ar"/>
              </w:rPr>
              <w:t>水工程界桩、</w:t>
            </w:r>
            <w:r>
              <w:rPr>
                <w:rFonts w:hint="default" w:ascii="Times New Roman" w:hAnsi="Times New Roman" w:eastAsia="方正仿宋_GBK" w:cs="Times New Roman"/>
                <w:color w:val="auto"/>
                <w:kern w:val="0"/>
                <w:sz w:val="24"/>
                <w:szCs w:val="24"/>
                <w:lang w:bidi="ar"/>
              </w:rPr>
              <w:t>公告牌等标识的行政处罚</w:t>
            </w:r>
          </w:p>
        </w:tc>
        <w:tc>
          <w:tcPr>
            <w:tcW w:w="622" w:type="pct"/>
            <w:noWrap w:val="0"/>
            <w:vAlign w:val="center"/>
          </w:tcPr>
          <w:p w14:paraId="7507D8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水利</w:t>
            </w:r>
          </w:p>
        </w:tc>
        <w:tc>
          <w:tcPr>
            <w:tcW w:w="1725" w:type="pct"/>
            <w:noWrap w:val="0"/>
            <w:vAlign w:val="center"/>
          </w:tcPr>
          <w:p w14:paraId="205DC86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《河南省农村供水管理办法》（省政府令第223号）</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第十五条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第三十七条第三项</w:t>
            </w:r>
          </w:p>
        </w:tc>
        <w:tc>
          <w:tcPr>
            <w:tcW w:w="703" w:type="pct"/>
            <w:noWrap w:val="0"/>
            <w:vAlign w:val="center"/>
          </w:tcPr>
          <w:p w14:paraId="5FFEB4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41471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4" w:hRule="atLeast"/>
          <w:jc w:val="center"/>
        </w:trPr>
        <w:tc>
          <w:tcPr>
            <w:tcW w:w="375" w:type="pct"/>
            <w:noWrap w:val="0"/>
            <w:tcMar>
              <w:left w:w="28" w:type="dxa"/>
              <w:right w:w="28" w:type="dxa"/>
            </w:tcMar>
            <w:vAlign w:val="center"/>
          </w:tcPr>
          <w:p w14:paraId="0E13C1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17</w:t>
            </w:r>
          </w:p>
        </w:tc>
        <w:tc>
          <w:tcPr>
            <w:tcW w:w="1573" w:type="pct"/>
            <w:noWrap w:val="0"/>
            <w:vAlign w:val="center"/>
          </w:tcPr>
          <w:p w14:paraId="318E1DB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对在小型水库内进行毒鱼、炸鱼、电鱼等危害水库安全运行活动的行政处罚</w:t>
            </w:r>
          </w:p>
        </w:tc>
        <w:tc>
          <w:tcPr>
            <w:tcW w:w="622" w:type="pct"/>
            <w:noWrap w:val="0"/>
            <w:vAlign w:val="center"/>
          </w:tcPr>
          <w:p w14:paraId="710451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水利</w:t>
            </w:r>
          </w:p>
        </w:tc>
        <w:tc>
          <w:tcPr>
            <w:tcW w:w="1725" w:type="pct"/>
            <w:noWrap w:val="0"/>
            <w:vAlign w:val="center"/>
          </w:tcPr>
          <w:p w14:paraId="687C024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lang w:bidi="ar"/>
              </w:rPr>
              <w:t>《河南省小型水库管理办法》（</w:t>
            </w:r>
            <w:r>
              <w:rPr>
                <w:rFonts w:hint="default" w:ascii="Times New Roman" w:hAnsi="Times New Roman" w:eastAsia="方正仿宋_GBK" w:cs="Times New Roman"/>
                <w:color w:val="auto"/>
                <w:kern w:val="0"/>
                <w:sz w:val="24"/>
                <w:szCs w:val="24"/>
                <w:lang w:eastAsia="zh-CN" w:bidi="ar"/>
              </w:rPr>
              <w:t>省政府令第</w:t>
            </w:r>
            <w:r>
              <w:rPr>
                <w:rFonts w:hint="default" w:ascii="Times New Roman" w:hAnsi="Times New Roman" w:eastAsia="方正仿宋_GBK" w:cs="Times New Roman"/>
                <w:color w:val="auto"/>
                <w:kern w:val="0"/>
                <w:sz w:val="24"/>
                <w:szCs w:val="24"/>
                <w:lang w:val="en-US" w:eastAsia="zh-CN" w:bidi="ar"/>
              </w:rPr>
              <w:t>171号</w:t>
            </w:r>
            <w:r>
              <w:rPr>
                <w:rFonts w:hint="default" w:ascii="Times New Roman" w:hAnsi="Times New Roman" w:eastAsia="方正仿宋_GBK" w:cs="Times New Roman"/>
                <w:color w:val="auto"/>
                <w:kern w:val="0"/>
                <w:sz w:val="24"/>
                <w:szCs w:val="24"/>
                <w:lang w:bidi="ar"/>
              </w:rPr>
              <w:t>）</w:t>
            </w:r>
            <w:r>
              <w:rPr>
                <w:rFonts w:hint="default" w:ascii="Times New Roman" w:hAnsi="Times New Roman" w:eastAsia="方正仿宋_GBK" w:cs="Times New Roman"/>
                <w:color w:val="auto"/>
                <w:kern w:val="0"/>
                <w:sz w:val="24"/>
                <w:szCs w:val="24"/>
                <w:lang w:eastAsia="zh-CN" w:bidi="ar"/>
              </w:rPr>
              <w:t>：第</w:t>
            </w:r>
            <w:r>
              <w:rPr>
                <w:rFonts w:hint="default" w:ascii="Times New Roman" w:hAnsi="Times New Roman" w:eastAsia="方正仿宋_GBK" w:cs="Times New Roman"/>
                <w:color w:val="auto"/>
                <w:kern w:val="0"/>
                <w:sz w:val="24"/>
                <w:szCs w:val="24"/>
                <w:lang w:bidi="ar"/>
              </w:rPr>
              <w:t>十二条第六项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第二十一条第六项</w:t>
            </w:r>
          </w:p>
        </w:tc>
        <w:tc>
          <w:tcPr>
            <w:tcW w:w="703" w:type="pct"/>
            <w:noWrap w:val="0"/>
            <w:vAlign w:val="center"/>
          </w:tcPr>
          <w:p w14:paraId="0CA5D3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3E9D2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jc w:val="center"/>
        </w:trPr>
        <w:tc>
          <w:tcPr>
            <w:tcW w:w="375" w:type="pct"/>
            <w:noWrap w:val="0"/>
            <w:tcMar>
              <w:left w:w="28" w:type="dxa"/>
              <w:right w:w="28" w:type="dxa"/>
            </w:tcMar>
            <w:vAlign w:val="center"/>
          </w:tcPr>
          <w:p w14:paraId="78FED7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18</w:t>
            </w:r>
          </w:p>
        </w:tc>
        <w:tc>
          <w:tcPr>
            <w:tcW w:w="1573" w:type="pct"/>
            <w:noWrap w:val="0"/>
            <w:vAlign w:val="center"/>
          </w:tcPr>
          <w:p w14:paraId="3E97408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对农村村民未经批准或者采取欺骗手段骗取批准，非法占用土地建住宅的行政处罚</w:t>
            </w:r>
          </w:p>
        </w:tc>
        <w:tc>
          <w:tcPr>
            <w:tcW w:w="622" w:type="pct"/>
            <w:noWrap w:val="0"/>
            <w:vAlign w:val="center"/>
          </w:tcPr>
          <w:p w14:paraId="69BA61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农业农村</w:t>
            </w:r>
          </w:p>
        </w:tc>
        <w:tc>
          <w:tcPr>
            <w:tcW w:w="1725" w:type="pct"/>
            <w:noWrap w:val="0"/>
            <w:vAlign w:val="center"/>
          </w:tcPr>
          <w:p w14:paraId="23DA4FA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《中华人民共和国土地管理法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第六十二条第四款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第七十八条第一款</w:t>
            </w:r>
          </w:p>
        </w:tc>
        <w:tc>
          <w:tcPr>
            <w:tcW w:w="703" w:type="pct"/>
            <w:noWrap w:val="0"/>
            <w:vAlign w:val="center"/>
          </w:tcPr>
          <w:p w14:paraId="714D863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5CB53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jc w:val="center"/>
        </w:trPr>
        <w:tc>
          <w:tcPr>
            <w:tcW w:w="375" w:type="pct"/>
            <w:noWrap w:val="0"/>
            <w:tcMar>
              <w:left w:w="28" w:type="dxa"/>
              <w:right w:w="28" w:type="dxa"/>
            </w:tcMar>
            <w:vAlign w:val="center"/>
          </w:tcPr>
          <w:p w14:paraId="435F96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19</w:t>
            </w:r>
          </w:p>
        </w:tc>
        <w:tc>
          <w:tcPr>
            <w:tcW w:w="1573" w:type="pct"/>
            <w:noWrap w:val="0"/>
            <w:vAlign w:val="center"/>
          </w:tcPr>
          <w:p w14:paraId="5F05CF1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对露天焚烧秸秆的行政处罚</w:t>
            </w:r>
          </w:p>
        </w:tc>
        <w:tc>
          <w:tcPr>
            <w:tcW w:w="622" w:type="pct"/>
            <w:noWrap w:val="0"/>
            <w:vAlign w:val="center"/>
          </w:tcPr>
          <w:p w14:paraId="2F4872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农业农村</w:t>
            </w:r>
          </w:p>
        </w:tc>
        <w:tc>
          <w:tcPr>
            <w:tcW w:w="1725" w:type="pct"/>
            <w:noWrap w:val="0"/>
            <w:vAlign w:val="center"/>
          </w:tcPr>
          <w:p w14:paraId="713CC1DF">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6"/>
                <w:kern w:val="0"/>
                <w:sz w:val="24"/>
                <w:szCs w:val="24"/>
                <w:lang w:bidi="ar"/>
              </w:rPr>
              <w:t>《河南省大气污染防治条例</w:t>
            </w:r>
            <w:r>
              <w:rPr>
                <w:rFonts w:hint="default" w:ascii="Times New Roman" w:hAnsi="Times New Roman" w:cs="Times New Roman"/>
                <w:color w:val="auto"/>
                <w:spacing w:val="-6"/>
                <w:kern w:val="0"/>
                <w:sz w:val="24"/>
                <w:szCs w:val="24"/>
                <w:lang w:eastAsia="zh-CN" w:bidi="ar"/>
              </w:rPr>
              <w:t>》</w:t>
            </w:r>
            <w:r>
              <w:rPr>
                <w:rFonts w:hint="default" w:ascii="Times New Roman" w:hAnsi="Times New Roman" w:eastAsia="方正仿宋_GBK" w:cs="Times New Roman"/>
                <w:color w:val="auto"/>
                <w:kern w:val="0"/>
                <w:sz w:val="24"/>
                <w:szCs w:val="24"/>
                <w:lang w:bidi="ar"/>
              </w:rPr>
              <w:t>第五十四条第二款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第八十条</w:t>
            </w:r>
          </w:p>
        </w:tc>
        <w:tc>
          <w:tcPr>
            <w:tcW w:w="703" w:type="pct"/>
            <w:noWrap w:val="0"/>
            <w:vAlign w:val="center"/>
          </w:tcPr>
          <w:p w14:paraId="457652C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7476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7" w:hRule="atLeast"/>
          <w:jc w:val="center"/>
        </w:trPr>
        <w:tc>
          <w:tcPr>
            <w:tcW w:w="375" w:type="pct"/>
            <w:noWrap w:val="0"/>
            <w:tcMar>
              <w:left w:w="28" w:type="dxa"/>
              <w:right w:w="28" w:type="dxa"/>
            </w:tcMar>
            <w:vAlign w:val="center"/>
          </w:tcPr>
          <w:p w14:paraId="091D73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20</w:t>
            </w:r>
          </w:p>
        </w:tc>
        <w:tc>
          <w:tcPr>
            <w:tcW w:w="1573" w:type="pct"/>
            <w:noWrap w:val="0"/>
            <w:vAlign w:val="center"/>
          </w:tcPr>
          <w:p w14:paraId="2F83A66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对消防设施、器材或者消防安全</w:t>
            </w:r>
            <w:r>
              <w:rPr>
                <w:rFonts w:hint="default" w:ascii="Times New Roman" w:hAnsi="Times New Roman" w:eastAsia="方正仿宋_GBK" w:cs="Times New Roman"/>
                <w:color w:val="auto"/>
                <w:spacing w:val="-8"/>
                <w:kern w:val="0"/>
                <w:sz w:val="24"/>
                <w:szCs w:val="24"/>
                <w:lang w:bidi="ar"/>
              </w:rPr>
              <w:t>标志的配置、</w:t>
            </w:r>
            <w:r>
              <w:rPr>
                <w:rFonts w:hint="default" w:ascii="Times New Roman" w:hAnsi="Times New Roman" w:eastAsia="方正仿宋_GBK" w:cs="Times New Roman"/>
                <w:color w:val="auto"/>
                <w:kern w:val="0"/>
                <w:sz w:val="24"/>
                <w:szCs w:val="24"/>
                <w:lang w:bidi="ar"/>
              </w:rPr>
              <w:t>设置不符合国家标准、行业标准，或者未保持完好有效的行政处罚</w:t>
            </w:r>
          </w:p>
        </w:tc>
        <w:tc>
          <w:tcPr>
            <w:tcW w:w="622" w:type="pct"/>
            <w:noWrap w:val="0"/>
            <w:vAlign w:val="center"/>
          </w:tcPr>
          <w:p w14:paraId="311623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344AD29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第十六条第一款第二项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第六十条第一款第一项</w:t>
            </w:r>
            <w:r>
              <w:rPr>
                <w:rFonts w:hint="default" w:ascii="Times New Roman" w:hAnsi="Times New Roman" w:eastAsia="方正仿宋_GBK" w:cs="Times New Roman"/>
                <w:color w:val="auto"/>
                <w:kern w:val="0"/>
                <w:sz w:val="24"/>
                <w:szCs w:val="24"/>
                <w:lang w:eastAsia="zh-CN" w:bidi="ar"/>
              </w:rPr>
              <w:t>、第六十七条</w:t>
            </w:r>
          </w:p>
        </w:tc>
        <w:tc>
          <w:tcPr>
            <w:tcW w:w="703" w:type="pct"/>
            <w:vMerge w:val="restart"/>
            <w:noWrap w:val="0"/>
            <w:vAlign w:val="center"/>
          </w:tcPr>
          <w:p w14:paraId="538CACB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b/>
                <w:bCs/>
                <w:color w:val="auto"/>
                <w:spacing w:val="-8"/>
                <w:kern w:val="0"/>
                <w:sz w:val="24"/>
                <w:szCs w:val="24"/>
                <w:lang w:val="en-US" w:eastAsia="zh-CN" w:bidi="ar"/>
              </w:rPr>
            </w:pPr>
            <w:r>
              <w:rPr>
                <w:rFonts w:hint="default" w:ascii="Times New Roman" w:hAnsi="Times New Roman" w:eastAsia="方正仿宋_GBK" w:cs="Times New Roman"/>
                <w:b/>
                <w:bCs/>
                <w:color w:val="auto"/>
                <w:spacing w:val="-8"/>
                <w:kern w:val="0"/>
                <w:sz w:val="24"/>
                <w:szCs w:val="24"/>
                <w:lang w:val="en-US" w:eastAsia="zh-CN" w:bidi="ar"/>
              </w:rPr>
              <w:t>一、居民住宅小区；</w:t>
            </w:r>
          </w:p>
          <w:p w14:paraId="221118C7">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b/>
                <w:bCs/>
                <w:color w:val="auto"/>
                <w:spacing w:val="-8"/>
                <w:kern w:val="0"/>
                <w:sz w:val="24"/>
                <w:szCs w:val="24"/>
                <w:lang w:bidi="ar"/>
              </w:rPr>
            </w:pPr>
            <w:r>
              <w:rPr>
                <w:rFonts w:hint="default" w:ascii="Times New Roman" w:hAnsi="Times New Roman" w:eastAsia="方正仿宋_GBK" w:cs="Times New Roman"/>
                <w:b/>
                <w:bCs/>
                <w:color w:val="auto"/>
                <w:spacing w:val="-8"/>
                <w:kern w:val="0"/>
                <w:sz w:val="24"/>
                <w:szCs w:val="24"/>
                <w:lang w:val="en-US" w:eastAsia="zh-CN" w:bidi="ar"/>
              </w:rPr>
              <w:t>二、</w:t>
            </w:r>
            <w:r>
              <w:rPr>
                <w:rFonts w:hint="default" w:ascii="Times New Roman" w:hAnsi="Times New Roman" w:eastAsia="方正仿宋_GBK" w:cs="Times New Roman"/>
                <w:b/>
                <w:bCs/>
                <w:color w:val="auto"/>
                <w:spacing w:val="-8"/>
                <w:kern w:val="0"/>
                <w:sz w:val="24"/>
                <w:szCs w:val="24"/>
                <w:lang w:bidi="ar"/>
              </w:rPr>
              <w:t>建筑面积在</w:t>
            </w:r>
            <w:r>
              <w:rPr>
                <w:rFonts w:hint="default" w:ascii="Times New Roman" w:hAnsi="Times New Roman" w:eastAsia="方正仿宋_GBK" w:cs="Times New Roman"/>
                <w:b/>
                <w:bCs/>
                <w:color w:val="auto"/>
                <w:spacing w:val="-8"/>
                <w:kern w:val="0"/>
                <w:sz w:val="24"/>
                <w:szCs w:val="24"/>
                <w:lang w:val="en-US" w:eastAsia="zh-CN" w:bidi="ar"/>
              </w:rPr>
              <w:t>300</w:t>
            </w:r>
            <w:r>
              <w:rPr>
                <w:rFonts w:hint="default" w:ascii="Times New Roman" w:hAnsi="Times New Roman" w:eastAsia="方正仿宋_GBK" w:cs="Times New Roman"/>
                <w:b/>
                <w:bCs/>
                <w:color w:val="auto"/>
                <w:spacing w:val="-8"/>
                <w:kern w:val="0"/>
                <w:sz w:val="24"/>
                <w:szCs w:val="24"/>
                <w:lang w:bidi="ar"/>
              </w:rPr>
              <w:t>平方米以下的下列</w:t>
            </w:r>
            <w:r>
              <w:rPr>
                <w:rFonts w:hint="eastAsia" w:ascii="Times New Roman" w:hAnsi="Times New Roman" w:eastAsia="方正仿宋_GBK" w:cs="Times New Roman"/>
                <w:b/>
                <w:bCs/>
                <w:color w:val="auto"/>
                <w:spacing w:val="-8"/>
                <w:kern w:val="0"/>
                <w:sz w:val="24"/>
                <w:szCs w:val="24"/>
                <w:lang w:val="en-US" w:eastAsia="zh-CN" w:bidi="ar"/>
              </w:rPr>
              <w:t>室内营业性休闲</w:t>
            </w:r>
            <w:r>
              <w:rPr>
                <w:rFonts w:hint="default" w:ascii="Times New Roman" w:hAnsi="Times New Roman" w:eastAsia="方正仿宋_GBK" w:cs="Times New Roman"/>
                <w:b/>
                <w:bCs/>
                <w:color w:val="auto"/>
                <w:spacing w:val="-8"/>
                <w:kern w:val="0"/>
                <w:sz w:val="24"/>
                <w:szCs w:val="24"/>
                <w:lang w:bidi="ar"/>
              </w:rPr>
              <w:t>场所：</w:t>
            </w:r>
          </w:p>
          <w:p w14:paraId="0A15BDF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val="en-US" w:eastAsia="zh-CN" w:bidi="ar"/>
              </w:rPr>
            </w:pPr>
            <w:r>
              <w:rPr>
                <w:rFonts w:hint="default" w:ascii="Times New Roman" w:hAnsi="Times New Roman" w:eastAsia="方正仿宋_GBK" w:cs="Times New Roman"/>
                <w:color w:val="auto"/>
                <w:spacing w:val="-8"/>
                <w:kern w:val="0"/>
                <w:sz w:val="24"/>
                <w:szCs w:val="24"/>
                <w:lang w:val="en-US" w:eastAsia="zh-CN" w:bidi="ar"/>
              </w:rPr>
              <w:t>歌舞娱乐、网吧、洗浴、足浴、茶社、美容美发、采耳、健身、汗蒸、台球等。</w:t>
            </w:r>
          </w:p>
          <w:p w14:paraId="167EEF3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b/>
                <w:bCs/>
                <w:color w:val="auto"/>
                <w:spacing w:val="-8"/>
                <w:kern w:val="0"/>
                <w:sz w:val="24"/>
                <w:szCs w:val="24"/>
                <w:lang w:bidi="ar"/>
              </w:rPr>
            </w:pPr>
            <w:r>
              <w:rPr>
                <w:rFonts w:hint="default" w:ascii="Times New Roman" w:hAnsi="Times New Roman" w:eastAsia="方正仿宋_GBK" w:cs="Times New Roman"/>
                <w:b/>
                <w:bCs/>
                <w:color w:val="auto"/>
                <w:spacing w:val="-8"/>
                <w:kern w:val="0"/>
                <w:sz w:val="24"/>
                <w:szCs w:val="24"/>
                <w:lang w:val="en-US" w:eastAsia="zh-CN" w:bidi="ar"/>
              </w:rPr>
              <w:t>三、</w:t>
            </w:r>
            <w:r>
              <w:rPr>
                <w:rFonts w:hint="default" w:ascii="Times New Roman" w:hAnsi="Times New Roman" w:eastAsia="方正仿宋_GBK" w:cs="Times New Roman"/>
                <w:b/>
                <w:bCs/>
                <w:color w:val="auto"/>
                <w:spacing w:val="-8"/>
                <w:kern w:val="0"/>
                <w:sz w:val="24"/>
                <w:szCs w:val="24"/>
                <w:lang w:bidi="ar"/>
              </w:rPr>
              <w:t>建筑面积在</w:t>
            </w:r>
            <w:r>
              <w:rPr>
                <w:rFonts w:hint="default" w:ascii="Times New Roman" w:hAnsi="Times New Roman" w:eastAsia="方正仿宋_GBK" w:cs="Times New Roman"/>
                <w:b/>
                <w:bCs/>
                <w:color w:val="auto"/>
                <w:spacing w:val="-8"/>
                <w:kern w:val="0"/>
                <w:sz w:val="24"/>
                <w:szCs w:val="24"/>
                <w:lang w:val="en-US" w:eastAsia="zh-CN" w:bidi="ar"/>
              </w:rPr>
              <w:t>10</w:t>
            </w:r>
            <w:r>
              <w:rPr>
                <w:rFonts w:hint="default" w:ascii="Times New Roman" w:hAnsi="Times New Roman" w:eastAsia="方正仿宋_GBK" w:cs="Times New Roman"/>
                <w:b/>
                <w:bCs/>
                <w:color w:val="auto"/>
                <w:spacing w:val="-8"/>
                <w:kern w:val="0"/>
                <w:sz w:val="24"/>
                <w:szCs w:val="24"/>
                <w:lang w:bidi="ar"/>
              </w:rPr>
              <w:t>00平方米以下的下列场所：</w:t>
            </w:r>
          </w:p>
          <w:p w14:paraId="35D2BE1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val="en-US" w:eastAsia="zh-CN" w:bidi="ar"/>
              </w:rPr>
            </w:pPr>
            <w:r>
              <w:rPr>
                <w:rFonts w:hint="eastAsia" w:ascii="Times New Roman" w:hAnsi="Times New Roman" w:eastAsia="方正仿宋_GBK" w:cs="Times New Roman"/>
                <w:color w:val="auto"/>
                <w:spacing w:val="-8"/>
                <w:kern w:val="0"/>
                <w:sz w:val="24"/>
                <w:szCs w:val="24"/>
                <w:lang w:val="en-US" w:eastAsia="zh-CN" w:bidi="ar"/>
              </w:rPr>
              <w:t>1.</w:t>
            </w:r>
            <w:r>
              <w:rPr>
                <w:rFonts w:hint="default" w:ascii="Times New Roman" w:hAnsi="Times New Roman" w:eastAsia="方正仿宋_GBK" w:cs="Times New Roman"/>
                <w:color w:val="auto"/>
                <w:spacing w:val="-8"/>
                <w:kern w:val="0"/>
                <w:sz w:val="24"/>
                <w:szCs w:val="24"/>
                <w:lang w:val="en-US" w:eastAsia="zh-CN" w:bidi="ar"/>
              </w:rPr>
              <w:t>“多合一”场所</w:t>
            </w:r>
            <w:r>
              <w:rPr>
                <w:rFonts w:hint="default" w:ascii="Times New Roman" w:hAnsi="Times New Roman" w:eastAsia="方正仿宋_GBK" w:cs="Times New Roman"/>
                <w:color w:val="auto"/>
                <w:spacing w:val="-8"/>
                <w:kern w:val="0"/>
                <w:sz w:val="24"/>
                <w:szCs w:val="24"/>
                <w:lang w:eastAsia="zh-CN" w:bidi="ar"/>
              </w:rPr>
              <w:t>（</w:t>
            </w:r>
            <w:r>
              <w:rPr>
                <w:rFonts w:hint="default" w:ascii="Times New Roman" w:hAnsi="Times New Roman" w:eastAsia="方正仿宋_GBK" w:cs="Times New Roman"/>
                <w:color w:val="auto"/>
                <w:spacing w:val="-8"/>
                <w:kern w:val="0"/>
                <w:sz w:val="24"/>
                <w:szCs w:val="24"/>
                <w:lang w:bidi="ar"/>
              </w:rPr>
              <w:t>住宿与生产、储存、经营等一种或多种用途混合设置的商业店铺、作坊式生产加工场所</w:t>
            </w:r>
            <w:r>
              <w:rPr>
                <w:rFonts w:hint="default" w:ascii="Times New Roman" w:hAnsi="Times New Roman" w:eastAsia="方正仿宋_GBK" w:cs="Times New Roman"/>
                <w:color w:val="auto"/>
                <w:spacing w:val="-8"/>
                <w:kern w:val="0"/>
                <w:sz w:val="24"/>
                <w:szCs w:val="24"/>
                <w:lang w:eastAsia="zh-CN" w:bidi="ar"/>
              </w:rPr>
              <w:t>）</w:t>
            </w:r>
            <w:r>
              <w:rPr>
                <w:rFonts w:hint="default" w:ascii="Times New Roman" w:hAnsi="Times New Roman" w:eastAsia="方正仿宋_GBK" w:cs="Times New Roman"/>
                <w:color w:val="auto"/>
                <w:spacing w:val="-8"/>
                <w:kern w:val="0"/>
                <w:sz w:val="24"/>
                <w:szCs w:val="24"/>
                <w:lang w:val="en-US" w:eastAsia="zh-CN" w:bidi="ar"/>
              </w:rPr>
              <w:t>；</w:t>
            </w:r>
          </w:p>
          <w:p w14:paraId="32A5BD9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bidi="ar"/>
              </w:rPr>
            </w:pPr>
            <w:r>
              <w:rPr>
                <w:rFonts w:hint="eastAsia" w:ascii="Times New Roman" w:hAnsi="Times New Roman" w:eastAsia="方正仿宋_GBK" w:cs="Times New Roman"/>
                <w:color w:val="auto"/>
                <w:spacing w:val="-8"/>
                <w:kern w:val="0"/>
                <w:sz w:val="24"/>
                <w:szCs w:val="24"/>
                <w:lang w:val="en-US" w:eastAsia="zh-CN" w:bidi="ar"/>
              </w:rPr>
              <w:t>2.</w:t>
            </w:r>
            <w:r>
              <w:rPr>
                <w:rFonts w:hint="default" w:ascii="Times New Roman" w:hAnsi="Times New Roman" w:eastAsia="方正仿宋_GBK" w:cs="Times New Roman"/>
                <w:color w:val="auto"/>
                <w:spacing w:val="-8"/>
                <w:kern w:val="0"/>
                <w:sz w:val="24"/>
                <w:szCs w:val="24"/>
                <w:lang w:bidi="ar"/>
              </w:rPr>
              <w:t>出租屋、群租房；</w:t>
            </w:r>
          </w:p>
          <w:p w14:paraId="6C6730B1">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val="en-US" w:eastAsia="zh-CN" w:bidi="ar"/>
              </w:rPr>
            </w:pPr>
            <w:r>
              <w:rPr>
                <w:rFonts w:hint="eastAsia" w:ascii="Times New Roman" w:hAnsi="Times New Roman" w:eastAsia="方正仿宋_GBK" w:cs="Times New Roman"/>
                <w:color w:val="auto"/>
                <w:spacing w:val="-8"/>
                <w:kern w:val="0"/>
                <w:sz w:val="24"/>
                <w:szCs w:val="24"/>
                <w:lang w:val="en-US" w:eastAsia="zh-CN" w:bidi="ar"/>
              </w:rPr>
              <w:t>3.</w:t>
            </w:r>
            <w:r>
              <w:rPr>
                <w:rFonts w:hint="default" w:ascii="Times New Roman" w:hAnsi="Times New Roman" w:eastAsia="方正仿宋_GBK" w:cs="Times New Roman"/>
                <w:color w:val="auto"/>
                <w:spacing w:val="-8"/>
                <w:kern w:val="0"/>
                <w:sz w:val="24"/>
                <w:szCs w:val="24"/>
                <w:lang w:val="en-US" w:eastAsia="zh-CN" w:bidi="ar"/>
              </w:rPr>
              <w:t>商店、集贸市场、宾馆、农家乐、餐饮场所；</w:t>
            </w:r>
          </w:p>
          <w:p w14:paraId="6486172F">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val="en-US" w:eastAsia="zh-CN" w:bidi="ar"/>
              </w:rPr>
            </w:pPr>
            <w:r>
              <w:rPr>
                <w:rFonts w:hint="eastAsia" w:ascii="Times New Roman" w:hAnsi="Times New Roman" w:eastAsia="方正仿宋_GBK" w:cs="Times New Roman"/>
                <w:color w:val="auto"/>
                <w:spacing w:val="-8"/>
                <w:kern w:val="0"/>
                <w:sz w:val="24"/>
                <w:szCs w:val="24"/>
                <w:lang w:val="en-US" w:eastAsia="zh-CN" w:bidi="ar"/>
              </w:rPr>
              <w:t>4.</w:t>
            </w:r>
            <w:r>
              <w:rPr>
                <w:rFonts w:hint="default" w:ascii="Times New Roman" w:hAnsi="Times New Roman" w:eastAsia="方正仿宋_GBK" w:cs="Times New Roman"/>
                <w:color w:val="auto"/>
                <w:spacing w:val="-8"/>
                <w:kern w:val="0"/>
                <w:sz w:val="24"/>
                <w:szCs w:val="24"/>
                <w:lang w:val="en-US" w:eastAsia="zh-CN" w:bidi="ar"/>
              </w:rPr>
              <w:t>教育培训机构、托育、早教、课后托管场所；</w:t>
            </w:r>
          </w:p>
          <w:p w14:paraId="6E0A8DF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bidi="ar"/>
              </w:rPr>
            </w:pPr>
            <w:r>
              <w:rPr>
                <w:rFonts w:hint="eastAsia" w:ascii="Times New Roman" w:hAnsi="Times New Roman" w:eastAsia="方正仿宋_GBK" w:cs="Times New Roman"/>
                <w:color w:val="auto"/>
                <w:spacing w:val="-8"/>
                <w:kern w:val="0"/>
                <w:sz w:val="24"/>
                <w:szCs w:val="24"/>
                <w:lang w:val="en-US" w:eastAsia="zh-CN" w:bidi="ar"/>
              </w:rPr>
              <w:t>5.</w:t>
            </w:r>
            <w:r>
              <w:rPr>
                <w:rFonts w:hint="default" w:ascii="Times New Roman" w:hAnsi="Times New Roman" w:eastAsia="方正仿宋_GBK" w:cs="Times New Roman"/>
                <w:color w:val="auto"/>
                <w:spacing w:val="-8"/>
                <w:kern w:val="0"/>
                <w:sz w:val="24"/>
                <w:szCs w:val="24"/>
                <w:lang w:bidi="ar"/>
              </w:rPr>
              <w:t>邮政、电商、物流（含快递收发点）、金融网点、医疗卫生机构；</w:t>
            </w:r>
          </w:p>
          <w:p w14:paraId="7F06E2E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bidi="ar"/>
              </w:rPr>
            </w:pPr>
            <w:r>
              <w:rPr>
                <w:rFonts w:hint="eastAsia" w:ascii="Times New Roman" w:hAnsi="Times New Roman" w:eastAsia="方正仿宋_GBK" w:cs="Times New Roman"/>
                <w:color w:val="auto"/>
                <w:spacing w:val="-8"/>
                <w:kern w:val="0"/>
                <w:sz w:val="24"/>
                <w:szCs w:val="24"/>
                <w:lang w:val="en-US" w:eastAsia="zh-CN" w:bidi="ar"/>
              </w:rPr>
              <w:t>6.</w:t>
            </w:r>
            <w:r>
              <w:rPr>
                <w:rFonts w:hint="default" w:ascii="Times New Roman" w:hAnsi="Times New Roman" w:eastAsia="方正仿宋_GBK" w:cs="Times New Roman"/>
                <w:color w:val="auto"/>
                <w:spacing w:val="-8"/>
                <w:kern w:val="0"/>
                <w:sz w:val="24"/>
                <w:szCs w:val="24"/>
                <w:lang w:bidi="ar"/>
              </w:rPr>
              <w:t>公共书屋、展示陈列等基层文化服务场所；</w:t>
            </w:r>
          </w:p>
          <w:p w14:paraId="18F9CB6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eastAsia="zh-CN" w:bidi="ar"/>
              </w:rPr>
            </w:pPr>
            <w:r>
              <w:rPr>
                <w:rFonts w:hint="eastAsia" w:ascii="Times New Roman" w:hAnsi="Times New Roman" w:eastAsia="方正仿宋_GBK" w:cs="Times New Roman"/>
                <w:color w:val="auto"/>
                <w:spacing w:val="-8"/>
                <w:kern w:val="0"/>
                <w:sz w:val="24"/>
                <w:szCs w:val="24"/>
                <w:lang w:val="en-US" w:eastAsia="zh-CN" w:bidi="ar"/>
              </w:rPr>
              <w:t>7.</w:t>
            </w:r>
            <w:r>
              <w:rPr>
                <w:rFonts w:hint="default" w:ascii="Times New Roman" w:hAnsi="Times New Roman" w:eastAsia="方正仿宋_GBK" w:cs="Times New Roman"/>
                <w:color w:val="auto"/>
                <w:spacing w:val="-8"/>
                <w:kern w:val="0"/>
                <w:sz w:val="24"/>
                <w:szCs w:val="24"/>
                <w:lang w:bidi="ar"/>
              </w:rPr>
              <w:t>生产、加工、储存非易燃易爆品的工厂、作坊、仓库、堆场等场所</w:t>
            </w:r>
            <w:r>
              <w:rPr>
                <w:rFonts w:hint="default" w:ascii="Times New Roman" w:hAnsi="Times New Roman" w:eastAsia="方正仿宋_GBK" w:cs="Times New Roman"/>
                <w:color w:val="auto"/>
                <w:spacing w:val="-8"/>
                <w:kern w:val="0"/>
                <w:sz w:val="24"/>
                <w:szCs w:val="24"/>
                <w:lang w:eastAsia="zh-CN" w:bidi="ar"/>
              </w:rPr>
              <w:t>；</w:t>
            </w:r>
          </w:p>
          <w:p w14:paraId="2954655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pacing w:val="-8"/>
                <w:kern w:val="0"/>
                <w:sz w:val="24"/>
                <w:szCs w:val="24"/>
                <w:lang w:val="en-US" w:eastAsia="zh-CN" w:bidi="ar"/>
              </w:rPr>
            </w:pPr>
            <w:r>
              <w:rPr>
                <w:rFonts w:hint="eastAsia" w:ascii="Times New Roman" w:hAnsi="Times New Roman" w:eastAsia="方正仿宋_GBK" w:cs="Times New Roman"/>
                <w:color w:val="auto"/>
                <w:spacing w:val="-8"/>
                <w:kern w:val="0"/>
                <w:sz w:val="24"/>
                <w:szCs w:val="24"/>
                <w:lang w:val="en-US" w:eastAsia="zh-CN" w:bidi="ar"/>
              </w:rPr>
              <w:t>8.三级</w:t>
            </w:r>
            <w:r>
              <w:rPr>
                <w:rFonts w:hint="default" w:ascii="Times New Roman" w:hAnsi="Times New Roman" w:eastAsia="方正仿宋_GBK" w:cs="Times New Roman"/>
                <w:color w:val="auto"/>
                <w:spacing w:val="-8"/>
                <w:kern w:val="0"/>
                <w:sz w:val="24"/>
                <w:szCs w:val="24"/>
                <w:lang w:val="en-US" w:eastAsia="zh-CN" w:bidi="ar"/>
              </w:rPr>
              <w:t>加油站、加气站</w:t>
            </w:r>
            <w:r>
              <w:rPr>
                <w:rFonts w:hint="eastAsia" w:ascii="Times New Roman" w:hAnsi="Times New Roman" w:eastAsia="方正仿宋_GBK" w:cs="Times New Roman"/>
                <w:color w:val="auto"/>
                <w:spacing w:val="-8"/>
                <w:kern w:val="0"/>
                <w:sz w:val="24"/>
                <w:szCs w:val="24"/>
                <w:lang w:val="en-US" w:eastAsia="zh-CN" w:bidi="ar"/>
              </w:rPr>
              <w:t>和液化石油气供应销售网点。</w:t>
            </w:r>
          </w:p>
          <w:p w14:paraId="4CCF00A5">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_GBK" w:cs="Times New Roman"/>
                <w:color w:val="auto"/>
                <w:kern w:val="0"/>
                <w:sz w:val="22"/>
                <w:szCs w:val="22"/>
                <w:lang w:bidi="ar"/>
              </w:rPr>
            </w:pPr>
          </w:p>
        </w:tc>
      </w:tr>
      <w:tr w14:paraId="020B9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 w:hRule="atLeast"/>
          <w:jc w:val="center"/>
        </w:trPr>
        <w:tc>
          <w:tcPr>
            <w:tcW w:w="375" w:type="pct"/>
            <w:noWrap w:val="0"/>
            <w:tcMar>
              <w:left w:w="28" w:type="dxa"/>
              <w:right w:w="28" w:type="dxa"/>
            </w:tcMar>
            <w:vAlign w:val="center"/>
          </w:tcPr>
          <w:p w14:paraId="360DE7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21</w:t>
            </w:r>
          </w:p>
        </w:tc>
        <w:tc>
          <w:tcPr>
            <w:tcW w:w="1573" w:type="pct"/>
            <w:noWrap w:val="0"/>
            <w:vAlign w:val="center"/>
          </w:tcPr>
          <w:p w14:paraId="0C913FA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对损坏、挪用或者擅自拆除、停用消防设施、器材的行政处罚</w:t>
            </w:r>
          </w:p>
        </w:tc>
        <w:tc>
          <w:tcPr>
            <w:tcW w:w="622" w:type="pct"/>
            <w:noWrap w:val="0"/>
            <w:vAlign w:val="center"/>
          </w:tcPr>
          <w:p w14:paraId="51251C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2EF3AEB1">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第二十八条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spacing w:val="-6"/>
                <w:kern w:val="0"/>
                <w:sz w:val="24"/>
                <w:szCs w:val="24"/>
                <w:lang w:bidi="ar"/>
              </w:rPr>
              <w:t>第六十条第一款第二项</w:t>
            </w:r>
            <w:r>
              <w:rPr>
                <w:rFonts w:hint="default" w:ascii="Times New Roman" w:hAnsi="Times New Roman" w:eastAsia="方正仿宋_GBK" w:cs="Times New Roman"/>
                <w:color w:val="auto"/>
                <w:spacing w:val="-6"/>
                <w:kern w:val="0"/>
                <w:sz w:val="24"/>
                <w:szCs w:val="24"/>
                <w:lang w:eastAsia="zh-CN" w:bidi="ar"/>
              </w:rPr>
              <w:t>、第六十条</w:t>
            </w:r>
            <w:r>
              <w:rPr>
                <w:rFonts w:hint="default" w:ascii="Times New Roman" w:hAnsi="Times New Roman" w:eastAsia="方正仿宋_GBK" w:cs="Times New Roman"/>
                <w:color w:val="auto"/>
                <w:spacing w:val="-6"/>
                <w:kern w:val="0"/>
                <w:sz w:val="24"/>
                <w:szCs w:val="24"/>
                <w:lang w:bidi="ar"/>
              </w:rPr>
              <w:t>第二款</w:t>
            </w:r>
          </w:p>
        </w:tc>
        <w:tc>
          <w:tcPr>
            <w:tcW w:w="703" w:type="pct"/>
            <w:vMerge w:val="continue"/>
            <w:noWrap w:val="0"/>
            <w:vAlign w:val="center"/>
          </w:tcPr>
          <w:p w14:paraId="6CDCAA6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257E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4" w:hRule="atLeast"/>
          <w:jc w:val="center"/>
        </w:trPr>
        <w:tc>
          <w:tcPr>
            <w:tcW w:w="375" w:type="pct"/>
            <w:noWrap w:val="0"/>
            <w:tcMar>
              <w:left w:w="28" w:type="dxa"/>
              <w:right w:w="28" w:type="dxa"/>
            </w:tcMar>
            <w:vAlign w:val="center"/>
          </w:tcPr>
          <w:p w14:paraId="0C2E9F9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22</w:t>
            </w:r>
          </w:p>
        </w:tc>
        <w:tc>
          <w:tcPr>
            <w:tcW w:w="1573" w:type="pct"/>
            <w:noWrap w:val="0"/>
            <w:vAlign w:val="center"/>
          </w:tcPr>
          <w:p w14:paraId="2C32B3F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对占用、堵塞、封闭疏散通道、安全出口或者有其他妨碍安全疏散行为的行政处罚</w:t>
            </w:r>
          </w:p>
        </w:tc>
        <w:tc>
          <w:tcPr>
            <w:tcW w:w="622" w:type="pct"/>
            <w:noWrap w:val="0"/>
            <w:vAlign w:val="center"/>
          </w:tcPr>
          <w:p w14:paraId="192E9C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130F858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第十六条第一款第四项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第二十八条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spacing w:val="-6"/>
                <w:kern w:val="0"/>
                <w:sz w:val="24"/>
                <w:szCs w:val="24"/>
                <w:lang w:bidi="ar"/>
              </w:rPr>
              <w:t>第六十条第一款第三项</w:t>
            </w:r>
            <w:r>
              <w:rPr>
                <w:rFonts w:hint="default" w:ascii="Times New Roman" w:hAnsi="Times New Roman" w:eastAsia="方正仿宋_GBK" w:cs="Times New Roman"/>
                <w:color w:val="auto"/>
                <w:spacing w:val="-6"/>
                <w:kern w:val="0"/>
                <w:sz w:val="24"/>
                <w:szCs w:val="24"/>
                <w:lang w:eastAsia="zh-CN" w:bidi="ar"/>
              </w:rPr>
              <w:t>、第六十条</w:t>
            </w:r>
            <w:r>
              <w:rPr>
                <w:rFonts w:hint="default" w:ascii="Times New Roman" w:hAnsi="Times New Roman" w:eastAsia="方正仿宋_GBK" w:cs="Times New Roman"/>
                <w:color w:val="auto"/>
                <w:spacing w:val="-6"/>
                <w:kern w:val="0"/>
                <w:sz w:val="24"/>
                <w:szCs w:val="24"/>
                <w:lang w:bidi="ar"/>
              </w:rPr>
              <w:t>第二款</w:t>
            </w:r>
            <w:r>
              <w:rPr>
                <w:rFonts w:hint="default" w:ascii="Times New Roman" w:hAnsi="Times New Roman" w:eastAsia="方正仿宋_GBK" w:cs="Times New Roman"/>
                <w:color w:val="auto"/>
                <w:spacing w:val="-6"/>
                <w:kern w:val="0"/>
                <w:sz w:val="24"/>
                <w:szCs w:val="24"/>
                <w:lang w:eastAsia="zh-CN" w:bidi="ar"/>
              </w:rPr>
              <w:t>、</w:t>
            </w:r>
            <w:r>
              <w:rPr>
                <w:rFonts w:hint="default" w:ascii="Times New Roman" w:hAnsi="Times New Roman" w:eastAsia="方正仿宋_GBK" w:cs="Times New Roman"/>
                <w:color w:val="auto"/>
                <w:kern w:val="0"/>
                <w:sz w:val="24"/>
                <w:szCs w:val="24"/>
                <w:lang w:bidi="ar"/>
              </w:rPr>
              <w:t>第六十七条</w:t>
            </w:r>
          </w:p>
        </w:tc>
        <w:tc>
          <w:tcPr>
            <w:tcW w:w="703" w:type="pct"/>
            <w:vMerge w:val="continue"/>
            <w:noWrap w:val="0"/>
            <w:vAlign w:val="center"/>
          </w:tcPr>
          <w:p w14:paraId="756D836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1ED04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1" w:hRule="atLeast"/>
          <w:jc w:val="center"/>
        </w:trPr>
        <w:tc>
          <w:tcPr>
            <w:tcW w:w="375" w:type="pct"/>
            <w:noWrap w:val="0"/>
            <w:tcMar>
              <w:left w:w="28" w:type="dxa"/>
              <w:right w:w="28" w:type="dxa"/>
            </w:tcMar>
            <w:vAlign w:val="center"/>
          </w:tcPr>
          <w:p w14:paraId="4A88BD7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23</w:t>
            </w:r>
          </w:p>
        </w:tc>
        <w:tc>
          <w:tcPr>
            <w:tcW w:w="1573" w:type="pct"/>
            <w:noWrap w:val="0"/>
            <w:vAlign w:val="center"/>
          </w:tcPr>
          <w:p w14:paraId="3FA531C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对占用、堵塞、封闭消防车通道，妨碍消防车通行的行政处罚</w:t>
            </w:r>
          </w:p>
        </w:tc>
        <w:tc>
          <w:tcPr>
            <w:tcW w:w="622" w:type="pct"/>
            <w:noWrap w:val="0"/>
            <w:vAlign w:val="center"/>
          </w:tcPr>
          <w:p w14:paraId="7D7AB39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16E9E7C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第十六条第一款第四项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第二十八条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spacing w:val="-6"/>
                <w:kern w:val="0"/>
                <w:sz w:val="24"/>
                <w:szCs w:val="24"/>
                <w:lang w:bidi="ar"/>
              </w:rPr>
              <w:t>第六十条第一款第五项</w:t>
            </w:r>
            <w:r>
              <w:rPr>
                <w:rFonts w:hint="default" w:ascii="Times New Roman" w:hAnsi="Times New Roman" w:eastAsia="方正仿宋_GBK" w:cs="Times New Roman"/>
                <w:color w:val="auto"/>
                <w:spacing w:val="-6"/>
                <w:kern w:val="0"/>
                <w:sz w:val="24"/>
                <w:szCs w:val="24"/>
                <w:lang w:eastAsia="zh-CN" w:bidi="ar"/>
              </w:rPr>
              <w:t>、第六十条</w:t>
            </w:r>
            <w:r>
              <w:rPr>
                <w:rFonts w:hint="default" w:ascii="Times New Roman" w:hAnsi="Times New Roman" w:eastAsia="方正仿宋_GBK" w:cs="Times New Roman"/>
                <w:color w:val="auto"/>
                <w:spacing w:val="-6"/>
                <w:kern w:val="0"/>
                <w:sz w:val="24"/>
                <w:szCs w:val="24"/>
                <w:lang w:bidi="ar"/>
              </w:rPr>
              <w:t>第二款</w:t>
            </w:r>
            <w:r>
              <w:rPr>
                <w:rFonts w:hint="default" w:ascii="Times New Roman" w:hAnsi="Times New Roman" w:eastAsia="方正仿宋_GBK" w:cs="Times New Roman"/>
                <w:color w:val="auto"/>
                <w:spacing w:val="-6"/>
                <w:kern w:val="0"/>
                <w:sz w:val="24"/>
                <w:szCs w:val="24"/>
                <w:lang w:eastAsia="zh-CN" w:bidi="ar"/>
              </w:rPr>
              <w:t>、</w:t>
            </w:r>
            <w:r>
              <w:rPr>
                <w:rFonts w:hint="default" w:ascii="Times New Roman" w:hAnsi="Times New Roman" w:eastAsia="方正仿宋_GBK" w:cs="Times New Roman"/>
                <w:color w:val="auto"/>
                <w:kern w:val="0"/>
                <w:sz w:val="24"/>
                <w:szCs w:val="24"/>
                <w:lang w:bidi="ar"/>
              </w:rPr>
              <w:t>第六十七条</w:t>
            </w:r>
          </w:p>
        </w:tc>
        <w:tc>
          <w:tcPr>
            <w:tcW w:w="703" w:type="pct"/>
            <w:vMerge w:val="continue"/>
            <w:noWrap w:val="0"/>
            <w:vAlign w:val="center"/>
          </w:tcPr>
          <w:p w14:paraId="06892C2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12011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2" w:hRule="atLeast"/>
          <w:jc w:val="center"/>
        </w:trPr>
        <w:tc>
          <w:tcPr>
            <w:tcW w:w="375" w:type="pct"/>
            <w:noWrap w:val="0"/>
            <w:tcMar>
              <w:left w:w="28" w:type="dxa"/>
              <w:right w:w="28" w:type="dxa"/>
            </w:tcMar>
            <w:vAlign w:val="center"/>
          </w:tcPr>
          <w:p w14:paraId="389B34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24</w:t>
            </w:r>
          </w:p>
        </w:tc>
        <w:tc>
          <w:tcPr>
            <w:tcW w:w="1573" w:type="pct"/>
            <w:noWrap w:val="0"/>
            <w:vAlign w:val="center"/>
          </w:tcPr>
          <w:p w14:paraId="437C46D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对人员密集场所在门窗上设置影响逃生和灭火救援的障碍物的行政处罚</w:t>
            </w:r>
          </w:p>
        </w:tc>
        <w:tc>
          <w:tcPr>
            <w:tcW w:w="622" w:type="pct"/>
            <w:noWrap w:val="0"/>
            <w:vAlign w:val="center"/>
          </w:tcPr>
          <w:p w14:paraId="0B5E8E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047C0FF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第二十八条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第六十条第一款第六项</w:t>
            </w:r>
          </w:p>
        </w:tc>
        <w:tc>
          <w:tcPr>
            <w:tcW w:w="703" w:type="pct"/>
            <w:vMerge w:val="continue"/>
            <w:noWrap w:val="0"/>
            <w:vAlign w:val="center"/>
          </w:tcPr>
          <w:p w14:paraId="71519FC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048DE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5" w:hRule="atLeast"/>
          <w:jc w:val="center"/>
        </w:trPr>
        <w:tc>
          <w:tcPr>
            <w:tcW w:w="375" w:type="pct"/>
            <w:noWrap w:val="0"/>
            <w:tcMar>
              <w:left w:w="28" w:type="dxa"/>
              <w:right w:w="28" w:type="dxa"/>
            </w:tcMar>
            <w:vAlign w:val="center"/>
          </w:tcPr>
          <w:p w14:paraId="64BF33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25</w:t>
            </w:r>
          </w:p>
        </w:tc>
        <w:tc>
          <w:tcPr>
            <w:tcW w:w="1573" w:type="pct"/>
            <w:noWrap w:val="0"/>
            <w:vAlign w:val="center"/>
          </w:tcPr>
          <w:p w14:paraId="17BE91B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对生产、储存、经营易燃易爆危险品的场所与居住场所设置在同一建筑物内，或者未与居住场所保持安全距离的行政处罚</w:t>
            </w:r>
          </w:p>
        </w:tc>
        <w:tc>
          <w:tcPr>
            <w:tcW w:w="622" w:type="pct"/>
            <w:noWrap w:val="0"/>
            <w:vAlign w:val="center"/>
          </w:tcPr>
          <w:p w14:paraId="2E33C5E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1A5C498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第十九条第一款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第六十一条第一款</w:t>
            </w:r>
          </w:p>
        </w:tc>
        <w:tc>
          <w:tcPr>
            <w:tcW w:w="703" w:type="pct"/>
            <w:vMerge w:val="continue"/>
            <w:noWrap w:val="0"/>
            <w:vAlign w:val="center"/>
          </w:tcPr>
          <w:p w14:paraId="5BC840E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7EEF1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375" w:type="pct"/>
            <w:noWrap w:val="0"/>
            <w:tcMar>
              <w:left w:w="28" w:type="dxa"/>
              <w:right w:w="28" w:type="dxa"/>
            </w:tcMar>
            <w:vAlign w:val="center"/>
          </w:tcPr>
          <w:p w14:paraId="22A2F4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strike/>
                <w:color w:val="auto"/>
                <w:sz w:val="24"/>
                <w:szCs w:val="24"/>
              </w:rPr>
            </w:pPr>
            <w:r>
              <w:rPr>
                <w:rFonts w:hint="default" w:ascii="Times New Roman" w:hAnsi="Times New Roman" w:eastAsia="方正仿宋_GBK" w:cs="Times New Roman"/>
                <w:color w:val="auto"/>
                <w:kern w:val="0"/>
                <w:sz w:val="24"/>
                <w:szCs w:val="24"/>
                <w:lang w:bidi="ar"/>
              </w:rPr>
              <w:t>26</w:t>
            </w:r>
          </w:p>
        </w:tc>
        <w:tc>
          <w:tcPr>
            <w:tcW w:w="1573" w:type="pct"/>
            <w:noWrap w:val="0"/>
            <w:vAlign w:val="center"/>
          </w:tcPr>
          <w:p w14:paraId="337996F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对违反规定使用明火作业或者在具有火灾、爆炸危险的场所吸烟、使用明火的行政处罚</w:t>
            </w:r>
          </w:p>
        </w:tc>
        <w:tc>
          <w:tcPr>
            <w:tcW w:w="622" w:type="pct"/>
            <w:noWrap w:val="0"/>
            <w:vAlign w:val="center"/>
          </w:tcPr>
          <w:p w14:paraId="3E1B47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6B963CA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《中华人民共和国消防法</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第二十一条第一款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第六十三条第二项</w:t>
            </w:r>
          </w:p>
        </w:tc>
        <w:tc>
          <w:tcPr>
            <w:tcW w:w="703" w:type="pct"/>
            <w:vMerge w:val="continue"/>
            <w:noWrap w:val="0"/>
            <w:vAlign w:val="center"/>
          </w:tcPr>
          <w:p w14:paraId="23920B2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4253A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375" w:type="pct"/>
            <w:noWrap w:val="0"/>
            <w:tcMar>
              <w:left w:w="28" w:type="dxa"/>
              <w:right w:w="28" w:type="dxa"/>
            </w:tcMar>
            <w:vAlign w:val="center"/>
          </w:tcPr>
          <w:p w14:paraId="0DBECD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27</w:t>
            </w:r>
          </w:p>
        </w:tc>
        <w:tc>
          <w:tcPr>
            <w:tcW w:w="1573" w:type="pct"/>
            <w:noWrap w:val="0"/>
            <w:vAlign w:val="center"/>
          </w:tcPr>
          <w:p w14:paraId="6905D27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对未依法建立消防组织，进行有针对性的消防演练的行政处罚</w:t>
            </w:r>
          </w:p>
        </w:tc>
        <w:tc>
          <w:tcPr>
            <w:tcW w:w="622" w:type="pct"/>
            <w:noWrap w:val="0"/>
            <w:vAlign w:val="center"/>
          </w:tcPr>
          <w:p w14:paraId="54D9CE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08ACD6D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《河南省消防条例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第十三条第一款第六项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第七十条第二款</w:t>
            </w:r>
          </w:p>
        </w:tc>
        <w:tc>
          <w:tcPr>
            <w:tcW w:w="703" w:type="pct"/>
            <w:vMerge w:val="continue"/>
            <w:noWrap w:val="0"/>
            <w:vAlign w:val="center"/>
          </w:tcPr>
          <w:p w14:paraId="0C50395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kern w:val="0"/>
                <w:sz w:val="24"/>
                <w:szCs w:val="24"/>
                <w:lang w:bidi="ar"/>
              </w:rPr>
            </w:pPr>
          </w:p>
        </w:tc>
      </w:tr>
      <w:tr w14:paraId="34C2F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jc w:val="center"/>
        </w:trPr>
        <w:tc>
          <w:tcPr>
            <w:tcW w:w="375" w:type="pct"/>
            <w:noWrap w:val="0"/>
            <w:tcMar>
              <w:left w:w="28" w:type="dxa"/>
              <w:right w:w="28" w:type="dxa"/>
            </w:tcMar>
            <w:vAlign w:val="center"/>
          </w:tcPr>
          <w:p w14:paraId="543209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28</w:t>
            </w:r>
          </w:p>
        </w:tc>
        <w:tc>
          <w:tcPr>
            <w:tcW w:w="1573" w:type="pct"/>
            <w:noWrap w:val="0"/>
            <w:vAlign w:val="center"/>
          </w:tcPr>
          <w:p w14:paraId="73C2455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对未开展消防宣传教育培训的行政处罚</w:t>
            </w:r>
          </w:p>
        </w:tc>
        <w:tc>
          <w:tcPr>
            <w:tcW w:w="622" w:type="pct"/>
            <w:noWrap w:val="0"/>
            <w:vAlign w:val="center"/>
          </w:tcPr>
          <w:p w14:paraId="0F74113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126FB2E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《河南省消防条例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第十三条第一款第七项</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第七十条第二款</w:t>
            </w:r>
          </w:p>
        </w:tc>
        <w:tc>
          <w:tcPr>
            <w:tcW w:w="703" w:type="pct"/>
            <w:vMerge w:val="continue"/>
            <w:noWrap w:val="0"/>
            <w:vAlign w:val="center"/>
          </w:tcPr>
          <w:p w14:paraId="38CD6D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05818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7" w:hRule="atLeast"/>
          <w:jc w:val="center"/>
        </w:trPr>
        <w:tc>
          <w:tcPr>
            <w:tcW w:w="375" w:type="pct"/>
            <w:noWrap w:val="0"/>
            <w:tcMar>
              <w:left w:w="28" w:type="dxa"/>
              <w:right w:w="28" w:type="dxa"/>
            </w:tcMar>
            <w:vAlign w:val="center"/>
          </w:tcPr>
          <w:p w14:paraId="34BBB40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29</w:t>
            </w:r>
          </w:p>
        </w:tc>
        <w:tc>
          <w:tcPr>
            <w:tcW w:w="1573" w:type="pct"/>
            <w:noWrap w:val="0"/>
            <w:vAlign w:val="center"/>
          </w:tcPr>
          <w:p w14:paraId="0339B0B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对在居住建筑物的公共走道、楼梯间、门厅内为电动自行车、电动三轮车充电，在城市建成区燃放孔明灯等携带明火且不可控制的空中飘移物的行政处罚</w:t>
            </w:r>
          </w:p>
        </w:tc>
        <w:tc>
          <w:tcPr>
            <w:tcW w:w="622" w:type="pct"/>
            <w:noWrap w:val="0"/>
            <w:vAlign w:val="center"/>
          </w:tcPr>
          <w:p w14:paraId="41F5436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2EED3259">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《河南省消防条例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第十七条第二款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第三十四条第二款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第七十一条</w:t>
            </w:r>
          </w:p>
        </w:tc>
        <w:tc>
          <w:tcPr>
            <w:tcW w:w="703" w:type="pct"/>
            <w:vMerge w:val="continue"/>
            <w:noWrap w:val="0"/>
            <w:vAlign w:val="center"/>
          </w:tcPr>
          <w:p w14:paraId="3E305F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31F2B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7" w:hRule="atLeast"/>
          <w:jc w:val="center"/>
        </w:trPr>
        <w:tc>
          <w:tcPr>
            <w:tcW w:w="375" w:type="pct"/>
            <w:noWrap w:val="0"/>
            <w:tcMar>
              <w:left w:w="28" w:type="dxa"/>
              <w:right w:w="28" w:type="dxa"/>
            </w:tcMar>
            <w:vAlign w:val="center"/>
          </w:tcPr>
          <w:p w14:paraId="226BA2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30</w:t>
            </w:r>
          </w:p>
        </w:tc>
        <w:tc>
          <w:tcPr>
            <w:tcW w:w="1573" w:type="pct"/>
            <w:noWrap w:val="0"/>
            <w:vAlign w:val="center"/>
          </w:tcPr>
          <w:p w14:paraId="3E598FC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对人员密集场所的安全出口、疏散通道使用影响疏散的镜面材料的行政处罚</w:t>
            </w:r>
          </w:p>
        </w:tc>
        <w:tc>
          <w:tcPr>
            <w:tcW w:w="622" w:type="pct"/>
            <w:noWrap w:val="0"/>
            <w:vAlign w:val="center"/>
          </w:tcPr>
          <w:p w14:paraId="1392A4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6F7FC68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《河南省消防条例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第三十二条</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第七十二条第二项</w:t>
            </w:r>
          </w:p>
        </w:tc>
        <w:tc>
          <w:tcPr>
            <w:tcW w:w="703" w:type="pct"/>
            <w:vMerge w:val="continue"/>
            <w:noWrap w:val="0"/>
            <w:vAlign w:val="center"/>
          </w:tcPr>
          <w:p w14:paraId="6558DF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3A8E6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1" w:hRule="atLeast"/>
          <w:jc w:val="center"/>
        </w:trPr>
        <w:tc>
          <w:tcPr>
            <w:tcW w:w="375" w:type="pct"/>
            <w:noWrap w:val="0"/>
            <w:tcMar>
              <w:left w:w="28" w:type="dxa"/>
              <w:right w:w="28" w:type="dxa"/>
            </w:tcMar>
            <w:vAlign w:val="center"/>
          </w:tcPr>
          <w:p w14:paraId="5EB2D2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31</w:t>
            </w:r>
          </w:p>
        </w:tc>
        <w:tc>
          <w:tcPr>
            <w:tcW w:w="1573" w:type="pct"/>
            <w:noWrap w:val="0"/>
            <w:vAlign w:val="center"/>
          </w:tcPr>
          <w:p w14:paraId="5B1CDABE">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对在具有火灾危险的车间、商场、集贸市场、仓库和公共娱乐场所内设置员工宿舍的行政处罚</w:t>
            </w:r>
          </w:p>
        </w:tc>
        <w:tc>
          <w:tcPr>
            <w:tcW w:w="622" w:type="pct"/>
            <w:noWrap w:val="0"/>
            <w:vAlign w:val="center"/>
          </w:tcPr>
          <w:p w14:paraId="47E4B1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6B2BF43D">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《河南省消防条例</w:t>
            </w:r>
            <w:r>
              <w:rPr>
                <w:rFonts w:hint="default" w:ascii="Times New Roman" w:hAnsi="Times New Roman"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第三十六条第二款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第七十二条第四项</w:t>
            </w:r>
          </w:p>
        </w:tc>
        <w:tc>
          <w:tcPr>
            <w:tcW w:w="703" w:type="pct"/>
            <w:vMerge w:val="continue"/>
            <w:noWrap w:val="0"/>
            <w:vAlign w:val="center"/>
          </w:tcPr>
          <w:p w14:paraId="5FDCDE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6E1F5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jc w:val="center"/>
        </w:trPr>
        <w:tc>
          <w:tcPr>
            <w:tcW w:w="375" w:type="pct"/>
            <w:noWrap w:val="0"/>
            <w:tcMar>
              <w:left w:w="28" w:type="dxa"/>
              <w:right w:w="28" w:type="dxa"/>
            </w:tcMar>
            <w:vAlign w:val="center"/>
          </w:tcPr>
          <w:p w14:paraId="35CB466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32</w:t>
            </w:r>
          </w:p>
        </w:tc>
        <w:tc>
          <w:tcPr>
            <w:tcW w:w="1573" w:type="pct"/>
            <w:noWrap w:val="0"/>
            <w:vAlign w:val="center"/>
          </w:tcPr>
          <w:p w14:paraId="1CE79FD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对未设置外墙外保温材料提示性和警示性标识，或者未及时修复破损、开裂和脱落的外墙外保温系统的行政处罚</w:t>
            </w:r>
          </w:p>
        </w:tc>
        <w:tc>
          <w:tcPr>
            <w:tcW w:w="622" w:type="pct"/>
            <w:noWrap w:val="0"/>
            <w:vAlign w:val="center"/>
          </w:tcPr>
          <w:p w14:paraId="5B2C1F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51099EE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6"/>
                <w:kern w:val="0"/>
                <w:sz w:val="24"/>
                <w:szCs w:val="24"/>
                <w:lang w:bidi="ar"/>
              </w:rPr>
              <w:t>《高层民用建筑消防安全管理规定》</w:t>
            </w:r>
            <w:r>
              <w:rPr>
                <w:rFonts w:hint="default" w:ascii="Times New Roman" w:hAnsi="Times New Roman" w:eastAsia="方正仿宋_GBK" w:cs="Times New Roman"/>
                <w:color w:val="auto"/>
                <w:spacing w:val="-6"/>
                <w:kern w:val="0"/>
                <w:sz w:val="24"/>
                <w:szCs w:val="24"/>
                <w:lang w:eastAsia="zh-CN" w:bidi="ar"/>
              </w:rPr>
              <w:t>（应急管理部令第</w:t>
            </w:r>
            <w:r>
              <w:rPr>
                <w:rFonts w:hint="default" w:ascii="Times New Roman" w:hAnsi="Times New Roman" w:eastAsia="方正仿宋_GBK" w:cs="Times New Roman"/>
                <w:color w:val="auto"/>
                <w:spacing w:val="-6"/>
                <w:kern w:val="0"/>
                <w:sz w:val="24"/>
                <w:szCs w:val="24"/>
                <w:lang w:val="en-US" w:eastAsia="zh-CN" w:bidi="ar"/>
              </w:rPr>
              <w:t>5号）：</w:t>
            </w:r>
            <w:r>
              <w:rPr>
                <w:rFonts w:hint="default" w:ascii="Times New Roman" w:hAnsi="Times New Roman" w:eastAsia="方正仿宋_GBK" w:cs="Times New Roman"/>
                <w:color w:val="auto"/>
                <w:kern w:val="0"/>
                <w:sz w:val="24"/>
                <w:szCs w:val="24"/>
                <w:lang w:bidi="ar"/>
              </w:rPr>
              <w:t xml:space="preserve">    第十九条第一款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第四十七条第三项</w:t>
            </w:r>
          </w:p>
        </w:tc>
        <w:tc>
          <w:tcPr>
            <w:tcW w:w="703" w:type="pct"/>
            <w:vMerge w:val="continue"/>
            <w:noWrap w:val="0"/>
            <w:vAlign w:val="center"/>
          </w:tcPr>
          <w:p w14:paraId="384392D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2301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jc w:val="center"/>
        </w:trPr>
        <w:tc>
          <w:tcPr>
            <w:tcW w:w="375" w:type="pct"/>
            <w:noWrap w:val="0"/>
            <w:tcMar>
              <w:left w:w="28" w:type="dxa"/>
              <w:right w:w="28" w:type="dxa"/>
            </w:tcMar>
            <w:vAlign w:val="center"/>
          </w:tcPr>
          <w:p w14:paraId="53F8439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33</w:t>
            </w:r>
          </w:p>
        </w:tc>
        <w:tc>
          <w:tcPr>
            <w:tcW w:w="1573" w:type="pct"/>
            <w:noWrap w:val="0"/>
            <w:vAlign w:val="center"/>
          </w:tcPr>
          <w:p w14:paraId="1A0D0FB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对未按照规定落实消防控制室值班制度，或者安排不具备相应条件的人员值班的行政处罚</w:t>
            </w:r>
          </w:p>
        </w:tc>
        <w:tc>
          <w:tcPr>
            <w:tcW w:w="622" w:type="pct"/>
            <w:noWrap w:val="0"/>
            <w:vAlign w:val="center"/>
          </w:tcPr>
          <w:p w14:paraId="396655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087CEAD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《高层民用建筑消防安全管理规定》（应急管理部令第5号）</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第二十六条第一款及第二款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第四十七条第四项</w:t>
            </w:r>
          </w:p>
        </w:tc>
        <w:tc>
          <w:tcPr>
            <w:tcW w:w="703" w:type="pct"/>
            <w:vMerge w:val="continue"/>
            <w:noWrap w:val="0"/>
            <w:vAlign w:val="center"/>
          </w:tcPr>
          <w:p w14:paraId="79A521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r w14:paraId="6908E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0" w:hRule="atLeast"/>
          <w:jc w:val="center"/>
        </w:trPr>
        <w:tc>
          <w:tcPr>
            <w:tcW w:w="375" w:type="pct"/>
            <w:noWrap w:val="0"/>
            <w:tcMar>
              <w:left w:w="28" w:type="dxa"/>
              <w:right w:w="28" w:type="dxa"/>
            </w:tcMar>
            <w:vAlign w:val="center"/>
          </w:tcPr>
          <w:p w14:paraId="6C2806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34</w:t>
            </w:r>
          </w:p>
        </w:tc>
        <w:tc>
          <w:tcPr>
            <w:tcW w:w="1573" w:type="pct"/>
            <w:noWrap w:val="0"/>
            <w:vAlign w:val="center"/>
          </w:tcPr>
          <w:p w14:paraId="7A4B219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对在高层民用建筑公共门厅、疏散走道、楼梯间、安全出口停放电动自行车或者为电动自行车充电的行政处罚</w:t>
            </w:r>
          </w:p>
        </w:tc>
        <w:tc>
          <w:tcPr>
            <w:tcW w:w="622" w:type="pct"/>
            <w:noWrap w:val="0"/>
            <w:vAlign w:val="center"/>
          </w:tcPr>
          <w:p w14:paraId="5AE8B5E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消防救援</w:t>
            </w:r>
          </w:p>
        </w:tc>
        <w:tc>
          <w:tcPr>
            <w:tcW w:w="1725" w:type="pct"/>
            <w:noWrap w:val="0"/>
            <w:vAlign w:val="center"/>
          </w:tcPr>
          <w:p w14:paraId="687C213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lang w:bidi="ar"/>
              </w:rPr>
              <w:t>《高层民用建筑消防安全管理规定》（应急管理部令第5号）</w:t>
            </w:r>
            <w:r>
              <w:rPr>
                <w:rFonts w:hint="default" w:ascii="Times New Roman" w:hAnsi="Times New Roman" w:eastAsia="方正仿宋_GBK" w:cs="Times New Roman"/>
                <w:color w:val="auto"/>
                <w:kern w:val="0"/>
                <w:sz w:val="24"/>
                <w:szCs w:val="24"/>
                <w:lang w:eastAsia="zh-CN" w:bidi="ar"/>
              </w:rPr>
              <w:t>：第</w:t>
            </w:r>
            <w:r>
              <w:rPr>
                <w:rFonts w:hint="default" w:ascii="Times New Roman" w:hAnsi="Times New Roman" w:eastAsia="方正仿宋_GBK" w:cs="Times New Roman"/>
                <w:color w:val="auto"/>
                <w:kern w:val="0"/>
                <w:sz w:val="24"/>
                <w:szCs w:val="24"/>
                <w:lang w:bidi="ar"/>
              </w:rPr>
              <w:t>三十七条第一款</w:t>
            </w:r>
            <w:r>
              <w:rPr>
                <w:rFonts w:hint="default" w:ascii="Times New Roman" w:hAnsi="Times New Roman" w:eastAsia="方正仿宋_GBK" w:cs="Times New Roman"/>
                <w:color w:val="auto"/>
                <w:kern w:val="0"/>
                <w:sz w:val="24"/>
                <w:szCs w:val="24"/>
                <w:lang w:eastAsia="zh-CN" w:bidi="ar"/>
              </w:rPr>
              <w:t>、</w:t>
            </w:r>
            <w:r>
              <w:rPr>
                <w:rFonts w:hint="default" w:ascii="Times New Roman" w:hAnsi="Times New Roman" w:eastAsia="方正仿宋_GBK" w:cs="Times New Roman"/>
                <w:color w:val="auto"/>
                <w:kern w:val="0"/>
                <w:sz w:val="24"/>
                <w:szCs w:val="24"/>
                <w:lang w:bidi="ar"/>
              </w:rPr>
              <w:t>第四十七条第七项</w:t>
            </w:r>
          </w:p>
        </w:tc>
        <w:tc>
          <w:tcPr>
            <w:tcW w:w="703" w:type="pct"/>
            <w:vMerge w:val="continue"/>
            <w:noWrap w:val="0"/>
            <w:vAlign w:val="center"/>
          </w:tcPr>
          <w:p w14:paraId="1B0135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color w:val="auto"/>
                <w:kern w:val="0"/>
                <w:sz w:val="24"/>
                <w:szCs w:val="24"/>
                <w:lang w:bidi="ar"/>
              </w:rPr>
            </w:pPr>
          </w:p>
        </w:tc>
      </w:tr>
    </w:tbl>
    <w:p w14:paraId="0ECDB477">
      <w:pPr>
        <w:spacing w:before="6" w:line="188" w:lineRule="auto"/>
        <w:rPr>
          <w:rFonts w:ascii="Times New Roman" w:hAnsi="Times New Roman" w:eastAsia="Times New Roman" w:cs="Times New Roman"/>
          <w:b w:val="0"/>
          <w:bCs w:val="0"/>
          <w:sz w:val="24"/>
          <w:szCs w:val="24"/>
        </w:rPr>
      </w:pPr>
    </w:p>
    <w:sectPr>
      <w:footerReference r:id="rId5" w:type="default"/>
      <w:pgSz w:w="11906" w:h="16839"/>
      <w:pgMar w:top="2098" w:right="1474" w:bottom="1984"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F91BF1D-1C36-4A82-951D-BC9406A8F0F3}"/>
  </w:font>
  <w:font w:name="黑体">
    <w:panose1 w:val="02010609060101010101"/>
    <w:charset w:val="86"/>
    <w:family w:val="auto"/>
    <w:pitch w:val="default"/>
    <w:sig w:usb0="800002BF" w:usb1="38CF7CFA" w:usb2="00000016" w:usb3="00000000" w:csb0="00040001" w:csb1="00000000"/>
    <w:embedRegular r:id="rId2" w:fontKey="{F3A4B887-AA23-4A86-9E5E-A5F9261280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KaiTi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41A013F6-BFD4-4B12-8CEA-A6424C3D92C6}"/>
  </w:font>
  <w:font w:name="仿宋_GB2312">
    <w:panose1 w:val="02010609030101010101"/>
    <w:charset w:val="86"/>
    <w:family w:val="auto"/>
    <w:pitch w:val="default"/>
    <w:sig w:usb0="00000001" w:usb1="080E0000" w:usb2="00000000" w:usb3="00000000" w:csb0="00040000" w:csb1="00000000"/>
    <w:embedRegular r:id="rId4" w:fontKey="{7EEFF7AA-E9D4-4383-A60E-D25D5B363F08}"/>
  </w:font>
  <w:font w:name="楷体_GB2312">
    <w:panose1 w:val="02010609030101010101"/>
    <w:charset w:val="86"/>
    <w:family w:val="auto"/>
    <w:pitch w:val="default"/>
    <w:sig w:usb0="00000001" w:usb1="080E0000" w:usb2="00000000" w:usb3="00000000" w:csb0="00040000" w:csb1="00000000"/>
    <w:embedRegular r:id="rId5" w:fontKey="{C9329653-3FB9-46F7-B92E-D2E914474185}"/>
  </w:font>
  <w:font w:name="方正仿宋_GBK">
    <w:panose1 w:val="02000000000000000000"/>
    <w:charset w:val="86"/>
    <w:family w:val="auto"/>
    <w:pitch w:val="default"/>
    <w:sig w:usb0="A00002BF" w:usb1="38CF7CFA" w:usb2="00082016" w:usb3="00000000" w:csb0="00040001" w:csb1="00000000"/>
    <w:embedRegular r:id="rId6" w:fontKey="{D542E915-EA37-4DDE-908D-FFB60EA78F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913E6">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zdjMTZiYTM2NzI0ZTkxMDc3MDZlZjFlMjA3YWJhM2IifQ=="/>
  </w:docVars>
  <w:rsids>
    <w:rsidRoot w:val="00000000"/>
    <w:rsid w:val="00863B59"/>
    <w:rsid w:val="00C12DE3"/>
    <w:rsid w:val="02336554"/>
    <w:rsid w:val="04A57A4C"/>
    <w:rsid w:val="0BBE064B"/>
    <w:rsid w:val="0E060087"/>
    <w:rsid w:val="0E66622E"/>
    <w:rsid w:val="134D0507"/>
    <w:rsid w:val="14C20FCC"/>
    <w:rsid w:val="155C2F18"/>
    <w:rsid w:val="17F11DA8"/>
    <w:rsid w:val="1AE6196C"/>
    <w:rsid w:val="1C5E5533"/>
    <w:rsid w:val="2B9176D3"/>
    <w:rsid w:val="2B9920E3"/>
    <w:rsid w:val="2BC37160"/>
    <w:rsid w:val="305D4027"/>
    <w:rsid w:val="30B05F05"/>
    <w:rsid w:val="30BC0D4E"/>
    <w:rsid w:val="31526EF7"/>
    <w:rsid w:val="34C65624"/>
    <w:rsid w:val="37383FEC"/>
    <w:rsid w:val="3A8F1281"/>
    <w:rsid w:val="3DE04754"/>
    <w:rsid w:val="3E75078E"/>
    <w:rsid w:val="3F584CF9"/>
    <w:rsid w:val="401013E5"/>
    <w:rsid w:val="406B48C1"/>
    <w:rsid w:val="479003E6"/>
    <w:rsid w:val="486A0C38"/>
    <w:rsid w:val="48D367DD"/>
    <w:rsid w:val="4AFF39A7"/>
    <w:rsid w:val="4B2B6DA4"/>
    <w:rsid w:val="4C317611"/>
    <w:rsid w:val="4C3D6D8F"/>
    <w:rsid w:val="4E1C4782"/>
    <w:rsid w:val="50F81776"/>
    <w:rsid w:val="51517578"/>
    <w:rsid w:val="51A76C82"/>
    <w:rsid w:val="537806AC"/>
    <w:rsid w:val="53D9615F"/>
    <w:rsid w:val="55A80627"/>
    <w:rsid w:val="55DB1F32"/>
    <w:rsid w:val="5A9F0C15"/>
    <w:rsid w:val="5DEC4171"/>
    <w:rsid w:val="5F8E306F"/>
    <w:rsid w:val="61B22E95"/>
    <w:rsid w:val="64430F34"/>
    <w:rsid w:val="64BD7BB6"/>
    <w:rsid w:val="65C921F7"/>
    <w:rsid w:val="663E7534"/>
    <w:rsid w:val="67D853EE"/>
    <w:rsid w:val="68BB4435"/>
    <w:rsid w:val="6AB630E4"/>
    <w:rsid w:val="70DD3DED"/>
    <w:rsid w:val="729055BB"/>
    <w:rsid w:val="73CD0149"/>
    <w:rsid w:val="76F854DD"/>
    <w:rsid w:val="771D219E"/>
    <w:rsid w:val="790C35BB"/>
    <w:rsid w:val="797F6AD7"/>
    <w:rsid w:val="7B06480D"/>
    <w:rsid w:val="7B7D32A4"/>
    <w:rsid w:val="7DF10ED8"/>
    <w:rsid w:val="7E596D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Body Text 2"/>
    <w:basedOn w:val="1"/>
    <w:autoRedefine/>
    <w:qFormat/>
    <w:uiPriority w:val="99"/>
    <w:pPr>
      <w:adjustRightInd w:val="0"/>
      <w:spacing w:line="360" w:lineRule="auto"/>
    </w:pPr>
    <w:rPr>
      <w:rFonts w:ascii="KaiTi_GB2312" w:eastAsia="Times New Roman" w:cs="KaiTi_GB2312"/>
      <w:kern w:val="44"/>
      <w:sz w:val="28"/>
      <w:szCs w:val="28"/>
    </w:r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微软雅黑" w:hAnsi="微软雅黑" w:eastAsia="微软雅黑" w:cs="微软雅黑"/>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745</Words>
  <Characters>794</Characters>
  <TotalTime>19</TotalTime>
  <ScaleCrop>false</ScaleCrop>
  <LinksUpToDate>false</LinksUpToDate>
  <CharactersWithSpaces>799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2025-09-30T16:36:00Z</dcterms:created>
  <dc:creator>Administrator</dc:creator>
  <cp:lastModifiedBy>啊F的小蝴蝶</cp:lastModifiedBy>
  <cp:lastPrinted>2025-10-15T08:22:00Z</cp:lastPrinted>
  <dcterms:modified xsi:type="dcterms:W3CDTF">2025-11-10T02:35:27Z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2025-10-11T11:31:51Z</vt:filetime>
  </property>
  <property fmtid="{D5CDD505-2E9C-101B-9397-08002B2CF9AE}" pid="4" name="KSOProductBuildVer">
    <vt:lpwstr>2052-12.1.0.23542</vt:lpwstr>
  </property>
  <property fmtid="{D5CDD505-2E9C-101B-9397-08002B2CF9AE}" pid="5" name="ICV">
    <vt:lpwstr>1EEEA1C6DAA94BA4BF3873F5EF938155_12</vt:lpwstr>
  </property>
  <property fmtid="{D5CDD505-2E9C-101B-9397-08002B2CF9AE}" pid="6" name="KSOTemplateDocerSaveRecord">
    <vt:lpwstr>eyJoZGlkIjoiYTMzNWUwMDRjYTgwNzUzZDc2YTg0ZWM4YjcxMzdiYjEiLCJ1c2VySWQiOiI0OTI0NDY1OTcifQ==</vt:lpwstr>
  </property>
</Properties>
</file>