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BE0D"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年“三公”经费支出预算增减变化情况的说明</w:t>
      </w:r>
    </w:p>
    <w:p w14:paraId="26EA5491"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　</w:t>
      </w:r>
    </w:p>
    <w:p w14:paraId="1262FAEB">
      <w:pPr>
        <w:widowControl/>
        <w:shd w:val="clear" w:color="auto" w:fill="FFFFFF"/>
        <w:spacing w:line="540" w:lineRule="atLeast"/>
        <w:ind w:firstLine="640" w:firstLineChars="200"/>
        <w:jc w:val="both"/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年全县一般公共预算安排“三公”经费支出预算1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下降0.6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%。其中：公务接待费</w:t>
      </w:r>
      <w:r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下降0.6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公务用车运行维护费</w:t>
      </w:r>
      <w:r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与上年预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算数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，机关事业单位因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实行车改没有安排公务车辆运行经费支出预算，安排的预算支出主要保障乡镇公务出行、特殊行业公务出行等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因公出国(境)费0万元，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与上年预算数持平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，各单位预计不会发生此项支出。</w:t>
      </w:r>
    </w:p>
    <w:p w14:paraId="6D1595AF">
      <w:pPr>
        <w:jc w:val="both"/>
      </w:pPr>
    </w:p>
    <w:p w14:paraId="3554F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0AFA"/>
    <w:rsid w:val="0C2B7DA7"/>
    <w:rsid w:val="0EB77028"/>
    <w:rsid w:val="19C90AFA"/>
    <w:rsid w:val="47B75973"/>
    <w:rsid w:val="52833022"/>
    <w:rsid w:val="68095BBE"/>
    <w:rsid w:val="69A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0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2025-12-01T03:23:00Z</dcterms:created>
  <dc:creator>有围青年</dc:creator>
  <cp:lastModifiedBy>有围青年</cp:lastModifiedBy>
  <dcterms:modified xsi:type="dcterms:W3CDTF">2025-12-01T08:18:15Z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AE00E30E2788472E908219CFD04E68EA_11</vt:lpwstr>
  </property>
  <property fmtid="{D5CDD505-2E9C-101B-9397-08002B2CF9AE}" pid="4" name="KSOTemplateDocerSaveRecord">
    <vt:lpwstr>eyJoZGlkIjoiNzBiOWU1NjQzOTdmMDViNjFlY2YxYWRkMzQ4M2FjNGMiLCJ1c2VySWQiOiIzNzU0NzUxNjkifQ==</vt:lpwstr>
  </property>
</Properties>
</file>