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rPr>
          <w:rFonts w:hint="eastAsia"/>
        </w:rPr>
      </w:pPr>
      <w:r>
        <w:rPr>
          <w:rFonts w:hint="eastAsia"/>
        </w:rPr>
        <w:t>信阳市港口外水路客运船舶停靠点</w:t>
      </w:r>
    </w:p>
    <w:p>
      <w:pPr>
        <w:pStyle w:val="2"/>
        <w:bidi w:val="0"/>
        <w:rPr>
          <w:rFonts w:hint="eastAsia"/>
        </w:rPr>
      </w:pPr>
      <w:r>
        <w:rPr>
          <w:rFonts w:hint="eastAsia"/>
        </w:rPr>
        <w:t>管理</w:t>
      </w:r>
      <w:r>
        <w:rPr>
          <w:rFonts w:hint="eastAsia"/>
          <w:lang w:eastAsia="zh-CN"/>
        </w:rPr>
        <w:t>规定</w:t>
      </w:r>
      <w:r>
        <w:rPr>
          <w:rFonts w:hint="eastAsia"/>
        </w:rPr>
        <w:t>（试行）</w:t>
      </w:r>
    </w:p>
    <w:p>
      <w:pPr>
        <w:pStyle w:val="18"/>
        <w:bidi w:val="0"/>
        <w:rPr>
          <w:rFonts w:hint="eastAsia"/>
        </w:rPr>
      </w:pPr>
      <w:r>
        <w:rPr>
          <w:rFonts w:hint="eastAsia"/>
        </w:rPr>
        <w:t>（</w:t>
      </w:r>
      <w:r>
        <w:rPr>
          <w:rFonts w:hint="eastAsia"/>
          <w:lang w:eastAsia="zh-CN"/>
        </w:rPr>
        <w:t>征求意见稿</w:t>
      </w:r>
      <w:r>
        <w:rPr>
          <w:rFonts w:hint="eastAsia"/>
        </w:rPr>
        <w:t>）</w:t>
      </w:r>
    </w:p>
    <w:p>
      <w:pPr>
        <w:bidi w:val="0"/>
        <w:rPr>
          <w:rFonts w:hint="eastAsia"/>
        </w:rPr>
      </w:pPr>
    </w:p>
    <w:p>
      <w:pPr>
        <w:bidi w:val="0"/>
        <w:rPr>
          <w:rFonts w:hint="eastAsia" w:eastAsia="方正仿宋_GBK"/>
          <w:lang w:val="en-US" w:eastAsia="zh-CN"/>
        </w:rPr>
      </w:pPr>
      <w:r>
        <w:rPr>
          <w:rFonts w:hint="eastAsia"/>
          <w:lang w:eastAsia="zh-CN"/>
        </w:rPr>
        <w:t>第一条</w:t>
      </w:r>
      <w:r>
        <w:rPr>
          <w:rFonts w:hint="eastAsia"/>
          <w:lang w:val="en-US" w:eastAsia="zh-CN"/>
        </w:rPr>
        <w:t xml:space="preserve"> 为规范信阳市</w:t>
      </w:r>
      <w:r>
        <w:rPr>
          <w:rFonts w:hint="eastAsia"/>
        </w:rPr>
        <w:t>港口外水路客运船舶停靠点</w:t>
      </w:r>
      <w:r>
        <w:rPr>
          <w:rFonts w:hint="eastAsia"/>
          <w:lang w:eastAsia="zh-CN"/>
        </w:rPr>
        <w:t>（以下简称停靠点）</w:t>
      </w:r>
      <w:r>
        <w:rPr>
          <w:rFonts w:hint="eastAsia"/>
        </w:rPr>
        <w:t>管理</w:t>
      </w:r>
      <w:r>
        <w:rPr>
          <w:rFonts w:hint="eastAsia"/>
          <w:lang w:eastAsia="zh-CN"/>
        </w:rPr>
        <w:t>，维护水路运输市场秩序，保障水路客运安全，根据《中华人民共和国安全生产法》《中华人民共和国内河交通安全管理条例》《河南省水路交通运输管理办法》等法律法规要求，结合我市实际，制定本规定。</w:t>
      </w:r>
    </w:p>
    <w:p>
      <w:pPr>
        <w:bidi w:val="0"/>
        <w:rPr>
          <w:rFonts w:hint="eastAsia"/>
          <w:lang w:eastAsia="zh-CN"/>
        </w:rPr>
      </w:pPr>
      <w:r>
        <w:rPr>
          <w:rFonts w:hint="eastAsia"/>
          <w:lang w:eastAsia="zh-CN"/>
        </w:rPr>
        <w:t>第二条</w:t>
      </w:r>
      <w:r>
        <w:rPr>
          <w:rFonts w:hint="eastAsia"/>
          <w:lang w:val="en-US" w:eastAsia="zh-CN"/>
        </w:rPr>
        <w:t xml:space="preserve"> 本规定</w:t>
      </w:r>
      <w:r>
        <w:rPr>
          <w:rFonts w:hint="eastAsia"/>
        </w:rPr>
        <w:t>适用于本市</w:t>
      </w:r>
      <w:r>
        <w:rPr>
          <w:rFonts w:hint="eastAsia"/>
          <w:lang w:eastAsia="zh-CN"/>
        </w:rPr>
        <w:t>行政区内，</w:t>
      </w:r>
      <w:r>
        <w:rPr>
          <w:rFonts w:hint="eastAsia"/>
        </w:rPr>
        <w:t>信阳港总体规划港口以外通航水域及封闭水域内，</w:t>
      </w:r>
      <w:r>
        <w:rPr>
          <w:rFonts w:hint="eastAsia"/>
          <w:lang w:eastAsia="zh-CN"/>
        </w:rPr>
        <w:t>从事停靠点的选址、建设、运营、管理及其相关活动，适用本规定。</w:t>
      </w:r>
    </w:p>
    <w:p>
      <w:pPr>
        <w:bidi w:val="0"/>
        <w:rPr>
          <w:rFonts w:hint="eastAsia"/>
          <w:lang w:val="en-US" w:eastAsia="zh-CN"/>
        </w:rPr>
      </w:pPr>
      <w:r>
        <w:rPr>
          <w:rFonts w:hint="eastAsia"/>
          <w:lang w:eastAsia="zh-CN"/>
        </w:rPr>
        <w:t>第三条</w:t>
      </w:r>
      <w:r>
        <w:rPr>
          <w:rFonts w:hint="eastAsia"/>
          <w:lang w:val="en-US" w:eastAsia="zh-CN"/>
        </w:rPr>
        <w:t xml:space="preserve"> 本规定下列术语的含义为：</w:t>
      </w:r>
    </w:p>
    <w:p>
      <w:pPr>
        <w:bidi w:val="0"/>
        <w:rPr>
          <w:rFonts w:hint="eastAsia"/>
          <w:lang w:val="en-US" w:eastAsia="zh-CN"/>
        </w:rPr>
      </w:pPr>
      <w:r>
        <w:rPr>
          <w:rFonts w:hint="eastAsia"/>
          <w:lang w:val="en-US" w:eastAsia="zh-CN"/>
        </w:rPr>
        <w:t>水路客运船舶是指纳入水路运输管理、核发《船舶营业运输证》的客运船舶；</w:t>
      </w:r>
    </w:p>
    <w:p>
      <w:pPr>
        <w:bidi w:val="0"/>
        <w:rPr>
          <w:rFonts w:hint="eastAsia"/>
          <w:lang w:eastAsia="zh-CN"/>
        </w:rPr>
      </w:pPr>
      <w:r>
        <w:rPr>
          <w:rFonts w:hint="eastAsia"/>
          <w:lang w:val="en-US" w:eastAsia="zh-CN"/>
        </w:rPr>
        <w:t>停靠点是由一定的水域及相关陆域组成，具有相应的配套设施，用于水路客运船舶</w:t>
      </w:r>
      <w:r>
        <w:rPr>
          <w:rFonts w:hint="eastAsia"/>
        </w:rPr>
        <w:t>进出、停泊、靠泊</w:t>
      </w:r>
      <w:r>
        <w:rPr>
          <w:rFonts w:hint="eastAsia"/>
          <w:lang w:eastAsia="zh-CN"/>
        </w:rPr>
        <w:t>的平台</w:t>
      </w:r>
      <w:r>
        <w:rPr>
          <w:rFonts w:hint="eastAsia"/>
        </w:rPr>
        <w:t>和人员上下</w:t>
      </w:r>
      <w:r>
        <w:rPr>
          <w:rFonts w:hint="eastAsia"/>
          <w:lang w:eastAsia="zh-CN"/>
        </w:rPr>
        <w:t>的通道及其附属设施；</w:t>
      </w:r>
    </w:p>
    <w:p>
      <w:pPr>
        <w:bidi w:val="0"/>
        <w:rPr>
          <w:rFonts w:hint="eastAsia"/>
          <w:lang w:eastAsia="zh-CN"/>
        </w:rPr>
      </w:pPr>
      <w:r>
        <w:rPr>
          <w:rFonts w:hint="eastAsia"/>
          <w:lang w:eastAsia="zh-CN"/>
        </w:rPr>
        <w:t>港口是指《信阳港总体规划》中的港口作业区所辖区域。</w:t>
      </w:r>
    </w:p>
    <w:p>
      <w:pPr>
        <w:bidi w:val="0"/>
        <w:rPr>
          <w:rFonts w:hint="default"/>
          <w:lang w:val="en-US" w:eastAsia="zh-CN"/>
        </w:rPr>
      </w:pPr>
      <w:r>
        <w:rPr>
          <w:rFonts w:hint="eastAsia"/>
          <w:lang w:eastAsia="zh-CN"/>
        </w:rPr>
        <w:t>第四条</w:t>
      </w:r>
      <w:r>
        <w:rPr>
          <w:rFonts w:hint="eastAsia"/>
          <w:lang w:val="en-US" w:eastAsia="zh-CN"/>
        </w:rPr>
        <w:t xml:space="preserve"> 停靠点选址</w:t>
      </w:r>
      <w:r>
        <w:rPr>
          <w:rFonts w:hint="eastAsia"/>
        </w:rPr>
        <w:t>应当结合岸线资源、旅游资源、便民需求、陆域交通状况、水路交通状况等综合确定，宜选在水流平缓、水深足够、岸坡稳定、视</w:t>
      </w:r>
      <w:bookmarkStart w:id="0" w:name="_GoBack"/>
      <w:bookmarkEnd w:id="0"/>
      <w:r>
        <w:rPr>
          <w:rFonts w:hint="eastAsia"/>
        </w:rPr>
        <w:t>野开阔、适宜船舶停靠的地点，远离危险物品生产、堆放场所，并应具备船舶安全运营条件的非碍航河段。</w:t>
      </w:r>
    </w:p>
    <w:p>
      <w:pPr>
        <w:bidi w:val="0"/>
        <w:rPr>
          <w:rFonts w:hint="eastAsia"/>
          <w:lang w:val="en-US" w:eastAsia="zh-CN"/>
        </w:rPr>
      </w:pPr>
      <w:r>
        <w:rPr>
          <w:rFonts w:hint="eastAsia"/>
          <w:lang w:eastAsia="zh-CN"/>
        </w:rPr>
        <w:t>第五条</w:t>
      </w:r>
      <w:r>
        <w:rPr>
          <w:rFonts w:hint="eastAsia"/>
          <w:lang w:val="en-US" w:eastAsia="zh-CN"/>
        </w:rPr>
        <w:t xml:space="preserve"> 新建、改建、扩建停靠点，可单独立项建设，也可作为市政、交通、水利、旅游等项目配套一并实施。</w:t>
      </w:r>
    </w:p>
    <w:p>
      <w:pPr>
        <w:bidi w:val="0"/>
        <w:rPr>
          <w:rFonts w:hint="eastAsia"/>
          <w:lang w:val="en-US" w:eastAsia="zh-CN"/>
        </w:rPr>
      </w:pPr>
      <w:r>
        <w:rPr>
          <w:rFonts w:hint="eastAsia"/>
          <w:lang w:val="en-US" w:eastAsia="zh-CN"/>
        </w:rPr>
        <w:t>第六条 新建、改建、扩建停靠点应当按规定履行基本建设程序，新建、改建、扩建停靠点的安全及防污染设施，必须与主体工程同时设计、同时施工、同时投入使用。</w:t>
      </w:r>
    </w:p>
    <w:p>
      <w:pPr>
        <w:bidi w:val="0"/>
        <w:rPr>
          <w:rFonts w:hint="default"/>
          <w:lang w:val="en-US" w:eastAsia="zh-CN"/>
        </w:rPr>
      </w:pPr>
      <w:r>
        <w:rPr>
          <w:rFonts w:hint="eastAsia"/>
          <w:lang w:val="en-US" w:eastAsia="zh-CN"/>
        </w:rPr>
        <w:t>第七条 新建、改建、扩建停靠点建设完成后，建设单位应当按照相关规定组织开展验收工作，验收合格后方可投入使用。</w:t>
      </w:r>
    </w:p>
    <w:p>
      <w:pPr>
        <w:bidi w:val="0"/>
        <w:rPr>
          <w:rFonts w:hint="default"/>
          <w:lang w:val="en-US" w:eastAsia="zh-CN"/>
        </w:rPr>
      </w:pPr>
      <w:r>
        <w:rPr>
          <w:rFonts w:hint="eastAsia"/>
          <w:lang w:val="en-US" w:eastAsia="zh-CN"/>
        </w:rPr>
        <w:t xml:space="preserve">第八条 </w:t>
      </w:r>
      <w:r>
        <w:rPr>
          <w:rFonts w:hint="eastAsia"/>
        </w:rPr>
        <w:t>配备趸船的停靠点，趸船应当符合国家有关设计规范和技术标准，取得船舶检验部门的检验证书，并经过船舶检验部门的检验。</w:t>
      </w:r>
    </w:p>
    <w:p>
      <w:pPr>
        <w:bidi w:val="0"/>
        <w:rPr>
          <w:rFonts w:hint="eastAsia"/>
          <w:lang w:val="en-US" w:eastAsia="zh-CN"/>
        </w:rPr>
      </w:pPr>
      <w:r>
        <w:rPr>
          <w:rFonts w:hint="eastAsia"/>
          <w:lang w:eastAsia="zh-CN"/>
        </w:rPr>
        <w:t>第九条</w:t>
      </w:r>
      <w:r>
        <w:rPr>
          <w:rFonts w:hint="eastAsia"/>
          <w:lang w:val="en-US" w:eastAsia="zh-CN"/>
        </w:rPr>
        <w:t xml:space="preserve"> 本规定实施前已建成投产的停靠点，运营单位应当委托有资质的单位对停靠站点的选址、结构、船舶适靠性等安全使用条件开展安全评估（论证），经专家评审通过后，由所在地县（区）交通运输主管部门向社会公布停靠站点名录，同步向市级交通运输主管部门报备。</w:t>
      </w:r>
    </w:p>
    <w:p>
      <w:pPr>
        <w:bidi w:val="0"/>
        <w:rPr>
          <w:rFonts w:hint="eastAsia"/>
          <w:lang w:val="en-US" w:eastAsia="zh-CN"/>
        </w:rPr>
      </w:pPr>
      <w:r>
        <w:rPr>
          <w:rFonts w:hint="eastAsia"/>
          <w:lang w:val="en-US" w:eastAsia="zh-CN"/>
        </w:rPr>
        <w:t>已建的停靠站点应当按照设计船型运营，若没有原始设计文件、原始设计文件中未明确设计船型或者新增船型超过设计船型的，经靠泊能力核算论证通过，可按照论证允许的船型运营。</w:t>
      </w:r>
    </w:p>
    <w:p>
      <w:pPr>
        <w:bidi w:val="0"/>
        <w:rPr>
          <w:rFonts w:hint="default"/>
          <w:lang w:val="en-US" w:eastAsia="zh-CN"/>
        </w:rPr>
      </w:pPr>
      <w:r>
        <w:rPr>
          <w:rFonts w:hint="eastAsia"/>
          <w:lang w:val="en-US" w:eastAsia="zh-CN"/>
        </w:rPr>
        <w:t>第十条 停靠点运营单位应当履行安全生产主体责任，按照相关法律法规要求做好安全生产管理工作，</w:t>
      </w:r>
      <w:r>
        <w:rPr>
          <w:rFonts w:hint="eastAsia"/>
        </w:rPr>
        <w:t>依法接受相关部门的监督管理，服从调度</w:t>
      </w:r>
      <w:r>
        <w:rPr>
          <w:rFonts w:hint="eastAsia"/>
          <w:lang w:val="en-US" w:eastAsia="zh-CN"/>
        </w:rPr>
        <w:t>。</w:t>
      </w:r>
    </w:p>
    <w:p>
      <w:pPr>
        <w:bidi w:val="0"/>
        <w:rPr>
          <w:rFonts w:hint="eastAsia"/>
          <w:lang w:eastAsia="zh-CN"/>
        </w:rPr>
      </w:pPr>
      <w:r>
        <w:rPr>
          <w:rFonts w:hint="eastAsia"/>
          <w:lang w:val="en-US" w:eastAsia="zh-CN"/>
        </w:rPr>
        <w:t xml:space="preserve">第十一条 </w:t>
      </w:r>
      <w:r>
        <w:rPr>
          <w:rFonts w:hint="eastAsia"/>
        </w:rPr>
        <w:t>停靠点应当按照国家有关规定配备有效的安全、消防、救生、环保、防疫、防污染和监控等设施设备。从事夜间运营的停靠点，照明设施的照度应当满足船舶靠离泊、人员上下船和其他相关作业的安全要求，沿线跨河或临河设施应设置满足夜航要求的导助航设施。</w:t>
      </w:r>
      <w:r>
        <w:rPr>
          <w:rFonts w:hint="eastAsia"/>
          <w:lang w:eastAsia="zh-CN"/>
        </w:rPr>
        <w:t>停靠点运营管理单位应当做好停靠点及附属设施设备的日常管理维护，使其保持性能完好状态。</w:t>
      </w:r>
    </w:p>
    <w:p>
      <w:pPr>
        <w:bidi w:val="0"/>
        <w:rPr>
          <w:rFonts w:hint="eastAsia" w:eastAsia="方正仿宋_GBK"/>
          <w:lang w:val="en-US" w:eastAsia="zh-CN"/>
        </w:rPr>
      </w:pPr>
      <w:r>
        <w:rPr>
          <w:rFonts w:hint="eastAsia"/>
          <w:lang w:val="en-US" w:eastAsia="zh-CN"/>
        </w:rPr>
        <w:t xml:space="preserve">第十二条 </w:t>
      </w:r>
      <w:r>
        <w:rPr>
          <w:rFonts w:hint="eastAsia"/>
          <w:lang w:eastAsia="zh-CN"/>
        </w:rPr>
        <w:t>停靠点运营管理单位</w:t>
      </w:r>
      <w:r>
        <w:rPr>
          <w:rFonts w:hint="eastAsia"/>
        </w:rPr>
        <w:t>应按要求做好船岸生活垃圾、生活污水、油污水等污染物的存储、转运、处置工作</w:t>
      </w:r>
      <w:r>
        <w:rPr>
          <w:rFonts w:hint="eastAsia"/>
          <w:lang w:val="en-US" w:eastAsia="zh-CN"/>
        </w:rPr>
        <w:t>。</w:t>
      </w:r>
    </w:p>
    <w:p>
      <w:pPr>
        <w:bidi w:val="0"/>
        <w:rPr>
          <w:rFonts w:hint="eastAsia"/>
          <w:lang w:val="en-US" w:eastAsia="zh-CN"/>
        </w:rPr>
      </w:pPr>
      <w:r>
        <w:rPr>
          <w:rFonts w:hint="eastAsia"/>
          <w:lang w:val="en-US" w:eastAsia="zh-CN"/>
        </w:rPr>
        <w:t>第十三条 停靠点的使用权或经营权发生变更的，运营单位应当及时向市交通运输主管部门按要求办理变更手续。</w:t>
      </w:r>
    </w:p>
    <w:p>
      <w:pPr>
        <w:bidi w:val="0"/>
        <w:rPr>
          <w:rFonts w:hint="eastAsia"/>
          <w:lang w:val="en-US" w:eastAsia="zh-CN"/>
        </w:rPr>
      </w:pPr>
      <w:r>
        <w:rPr>
          <w:rFonts w:hint="eastAsia"/>
          <w:lang w:val="en-US" w:eastAsia="zh-CN"/>
        </w:rPr>
        <w:t>第十四条 停靠点运营单位应当定期开展人员落水搜救、水污染防治、人员疏散、疫情处置等演习演练，提高应急处置能力。</w:t>
      </w:r>
    </w:p>
    <w:p>
      <w:pPr>
        <w:bidi w:val="0"/>
        <w:rPr>
          <w:rFonts w:hint="eastAsia" w:eastAsia="方正仿宋_GBK"/>
          <w:lang w:val="en-US" w:eastAsia="zh-CN"/>
        </w:rPr>
      </w:pPr>
      <w:r>
        <w:rPr>
          <w:rFonts w:hint="eastAsia"/>
          <w:lang w:val="en-US" w:eastAsia="zh-CN"/>
        </w:rPr>
        <w:t>第十五条 各级交通运输主管部门应根据职责分工要求，加强对属地停靠站点的监督检查。对监督检查中发现安全隐患的，应当按照有关规定，督促被检查人立即整改或者限期整改</w:t>
      </w:r>
      <w:r>
        <w:rPr>
          <w:rFonts w:hint="eastAsia"/>
          <w:lang w:eastAsia="zh-CN"/>
        </w:rPr>
        <w:t>。</w:t>
      </w:r>
    </w:p>
    <w:p>
      <w:pPr>
        <w:bidi w:val="0"/>
        <w:rPr>
          <w:rFonts w:hint="eastAsia"/>
          <w:lang w:val="en-US" w:eastAsia="zh-CN"/>
        </w:rPr>
      </w:pPr>
      <w:r>
        <w:rPr>
          <w:rFonts w:hint="eastAsia"/>
          <w:lang w:val="en-US" w:eastAsia="zh-CN"/>
        </w:rPr>
        <w:t>第十六条 体育运动船艇、公务船艇、渔业船舶等停靠点管理不适用本办法。</w:t>
      </w:r>
    </w:p>
    <w:p>
      <w:pPr>
        <w:bidi w:val="0"/>
        <w:rPr>
          <w:rFonts w:hint="eastAsia"/>
        </w:rPr>
      </w:pPr>
      <w:r>
        <w:rPr>
          <w:rFonts w:hint="eastAsia"/>
          <w:lang w:eastAsia="zh-CN"/>
        </w:rPr>
        <w:t>第十七条</w:t>
      </w:r>
      <w:r>
        <w:rPr>
          <w:rFonts w:hint="eastAsia"/>
          <w:lang w:val="en-US" w:eastAsia="zh-CN"/>
        </w:rPr>
        <w:t xml:space="preserve"> </w:t>
      </w:r>
      <w:r>
        <w:rPr>
          <w:rFonts w:hint="eastAsia"/>
        </w:rPr>
        <w:t>本</w:t>
      </w:r>
      <w:r>
        <w:rPr>
          <w:rFonts w:hint="eastAsia"/>
          <w:lang w:eastAsia="zh-CN"/>
        </w:rPr>
        <w:t>规定</w:t>
      </w:r>
      <w:r>
        <w:rPr>
          <w:rFonts w:hint="eastAsia"/>
        </w:rPr>
        <w:t>自</w:t>
      </w:r>
      <w:r>
        <w:rPr>
          <w:rFonts w:hint="eastAsia"/>
          <w:lang w:eastAsia="zh-CN"/>
        </w:rPr>
        <w:t>公布之日起</w:t>
      </w:r>
      <w:r>
        <w:rPr>
          <w:rFonts w:hint="eastAsia"/>
        </w:rPr>
        <w:t>施行，有效期2年。试行期间，法律法规、规章以及国家和省、市另有规定的，从其规定。</w:t>
      </w:r>
    </w:p>
    <w:sectPr>
      <w:footerReference r:id="rId5" w:type="default"/>
      <w:pgSz w:w="11906" w:h="16838"/>
      <w:pgMar w:top="2098" w:right="1531" w:bottom="1814" w:left="1531"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sz w:val="24"/>
        <w:szCs w:val="36"/>
      </w:rPr>
    </w:pPr>
    <w:r>
      <w:rPr>
        <w:sz w:val="24"/>
        <w:szCs w:val="36"/>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ind w:left="0" w:leftChars="0" w:firstLine="0" w:firstLineChars="0"/>
                            <w:rPr>
                              <w:rFonts w:hint="eastAsia" w:eastAsia="方正仿宋_GBK"/>
                              <w:sz w:val="24"/>
                              <w:szCs w:val="36"/>
                              <w:lang w:eastAsia="zh-CN"/>
                            </w:rPr>
                          </w:pPr>
                          <w:r>
                            <w:rPr>
                              <w:rFonts w:hint="eastAsia"/>
                              <w:sz w:val="24"/>
                              <w:szCs w:val="36"/>
                              <w:lang w:eastAsia="zh-CN"/>
                            </w:rPr>
                            <w:t>—</w:t>
                          </w:r>
                          <w:r>
                            <w:rPr>
                              <w:sz w:val="24"/>
                              <w:szCs w:val="36"/>
                            </w:rPr>
                            <w:fldChar w:fldCharType="begin"/>
                          </w:r>
                          <w:r>
                            <w:rPr>
                              <w:sz w:val="24"/>
                              <w:szCs w:val="36"/>
                            </w:rPr>
                            <w:instrText xml:space="preserve"> PAGE  \* MERGEFORMAT </w:instrText>
                          </w:r>
                          <w:r>
                            <w:rPr>
                              <w:sz w:val="24"/>
                              <w:szCs w:val="36"/>
                            </w:rPr>
                            <w:fldChar w:fldCharType="separate"/>
                          </w:r>
                          <w:r>
                            <w:rPr>
                              <w:sz w:val="24"/>
                              <w:szCs w:val="36"/>
                            </w:rPr>
                            <w:t>1</w:t>
                          </w:r>
                          <w:r>
                            <w:rPr>
                              <w:sz w:val="24"/>
                              <w:szCs w:val="36"/>
                            </w:rPr>
                            <w:fldChar w:fldCharType="end"/>
                          </w:r>
                          <w:r>
                            <w:rPr>
                              <w:rFonts w:hint="eastAsia"/>
                              <w:sz w:val="24"/>
                              <w:szCs w:val="36"/>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7"/>
                      <w:ind w:left="0" w:leftChars="0" w:firstLine="0" w:firstLineChars="0"/>
                      <w:rPr>
                        <w:rFonts w:hint="eastAsia" w:eastAsia="方正仿宋_GBK"/>
                        <w:sz w:val="24"/>
                        <w:szCs w:val="36"/>
                        <w:lang w:eastAsia="zh-CN"/>
                      </w:rPr>
                    </w:pPr>
                    <w:r>
                      <w:rPr>
                        <w:rFonts w:hint="eastAsia"/>
                        <w:sz w:val="24"/>
                        <w:szCs w:val="36"/>
                        <w:lang w:eastAsia="zh-CN"/>
                      </w:rPr>
                      <w:t>—</w:t>
                    </w:r>
                    <w:r>
                      <w:rPr>
                        <w:sz w:val="24"/>
                        <w:szCs w:val="36"/>
                      </w:rPr>
                      <w:fldChar w:fldCharType="begin"/>
                    </w:r>
                    <w:r>
                      <w:rPr>
                        <w:sz w:val="24"/>
                        <w:szCs w:val="36"/>
                      </w:rPr>
                      <w:instrText xml:space="preserve"> PAGE  \* MERGEFORMAT </w:instrText>
                    </w:r>
                    <w:r>
                      <w:rPr>
                        <w:sz w:val="24"/>
                        <w:szCs w:val="36"/>
                      </w:rPr>
                      <w:fldChar w:fldCharType="separate"/>
                    </w:r>
                    <w:r>
                      <w:rPr>
                        <w:sz w:val="24"/>
                        <w:szCs w:val="36"/>
                      </w:rPr>
                      <w:t>1</w:t>
                    </w:r>
                    <w:r>
                      <w:rPr>
                        <w:sz w:val="24"/>
                        <w:szCs w:val="36"/>
                      </w:rPr>
                      <w:fldChar w:fldCharType="end"/>
                    </w:r>
                    <w:r>
                      <w:rPr>
                        <w:rFonts w:hint="eastAsia"/>
                        <w:sz w:val="24"/>
                        <w:szCs w:val="36"/>
                        <w:lang w:eastAsia="zh-CN"/>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iZTA1ZTMwZGYzYzBhMDI2M2EzZDM5NjIwMzY5YjMifQ=="/>
  </w:docVars>
  <w:rsids>
    <w:rsidRoot w:val="00000000"/>
    <w:rsid w:val="01E66FA5"/>
    <w:rsid w:val="020C7CFE"/>
    <w:rsid w:val="06064A9A"/>
    <w:rsid w:val="06B30F85"/>
    <w:rsid w:val="0FE8D354"/>
    <w:rsid w:val="11BE1AC5"/>
    <w:rsid w:val="136D5A0C"/>
    <w:rsid w:val="151D2728"/>
    <w:rsid w:val="16F22582"/>
    <w:rsid w:val="17FFDB32"/>
    <w:rsid w:val="18CE7660"/>
    <w:rsid w:val="21C23D87"/>
    <w:rsid w:val="24EF62DA"/>
    <w:rsid w:val="25132C6E"/>
    <w:rsid w:val="27807F6F"/>
    <w:rsid w:val="27CB15ED"/>
    <w:rsid w:val="2CC85E5E"/>
    <w:rsid w:val="2F7D2448"/>
    <w:rsid w:val="325C7919"/>
    <w:rsid w:val="35CD1D0F"/>
    <w:rsid w:val="37E18BB3"/>
    <w:rsid w:val="382347CC"/>
    <w:rsid w:val="3BB42DBC"/>
    <w:rsid w:val="3BBF3F56"/>
    <w:rsid w:val="3C640E0B"/>
    <w:rsid w:val="3D6B38A2"/>
    <w:rsid w:val="3F2FFAED"/>
    <w:rsid w:val="3F7E0214"/>
    <w:rsid w:val="480D2D5E"/>
    <w:rsid w:val="48773D47"/>
    <w:rsid w:val="49A0297F"/>
    <w:rsid w:val="4DD50BDE"/>
    <w:rsid w:val="4DFBF834"/>
    <w:rsid w:val="528B5F21"/>
    <w:rsid w:val="5319290B"/>
    <w:rsid w:val="54A56824"/>
    <w:rsid w:val="560A1917"/>
    <w:rsid w:val="56FFBC7A"/>
    <w:rsid w:val="59FE4114"/>
    <w:rsid w:val="5AE16F34"/>
    <w:rsid w:val="5CAD4AAE"/>
    <w:rsid w:val="5E473A9D"/>
    <w:rsid w:val="60C07B37"/>
    <w:rsid w:val="6300421A"/>
    <w:rsid w:val="65C63237"/>
    <w:rsid w:val="66EF8362"/>
    <w:rsid w:val="6E364463"/>
    <w:rsid w:val="6E5A6ED5"/>
    <w:rsid w:val="6F7B459C"/>
    <w:rsid w:val="71AF12E6"/>
    <w:rsid w:val="72514A93"/>
    <w:rsid w:val="749B51FF"/>
    <w:rsid w:val="75D31962"/>
    <w:rsid w:val="77DF0C21"/>
    <w:rsid w:val="7999369C"/>
    <w:rsid w:val="7B81780E"/>
    <w:rsid w:val="7B9744D9"/>
    <w:rsid w:val="7BDDBEA6"/>
    <w:rsid w:val="7FC7B9D3"/>
    <w:rsid w:val="7FF9D847"/>
    <w:rsid w:val="B7DA0F6A"/>
    <w:rsid w:val="BB59C2CF"/>
    <w:rsid w:val="BBC74432"/>
    <w:rsid w:val="BFB7C347"/>
    <w:rsid w:val="DA3E9427"/>
    <w:rsid w:val="DDF73A8A"/>
    <w:rsid w:val="FBB47592"/>
    <w:rsid w:val="FFFFE5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0" w:lineRule="exact"/>
      <w:ind w:firstLine="200" w:firstLineChars="200"/>
      <w:jc w:val="both"/>
    </w:pPr>
    <w:rPr>
      <w:rFonts w:ascii="Times New Roman" w:hAnsi="Times New Roman" w:eastAsia="方正仿宋_GBK" w:cs="宋体"/>
      <w:kern w:val="2"/>
      <w:sz w:val="32"/>
      <w:szCs w:val="22"/>
      <w:lang w:val="en-US" w:eastAsia="zh-CN" w:bidi="ar-SA"/>
    </w:rPr>
  </w:style>
  <w:style w:type="paragraph" w:styleId="2">
    <w:name w:val="heading 1"/>
    <w:next w:val="1"/>
    <w:link w:val="13"/>
    <w:qFormat/>
    <w:uiPriority w:val="0"/>
    <w:pPr>
      <w:keepNext/>
      <w:keepLines/>
      <w:spacing w:line="700" w:lineRule="exact"/>
      <w:jc w:val="center"/>
      <w:outlineLvl w:val="0"/>
    </w:pPr>
    <w:rPr>
      <w:rFonts w:ascii="方正小标宋简体" w:hAnsi="方正小标宋简体" w:eastAsia="方正小标宋_GBK" w:cstheme="minorBidi"/>
      <w:bCs/>
      <w:kern w:val="44"/>
      <w:sz w:val="44"/>
      <w:szCs w:val="44"/>
    </w:rPr>
  </w:style>
  <w:style w:type="paragraph" w:styleId="3">
    <w:name w:val="heading 2"/>
    <w:next w:val="1"/>
    <w:link w:val="14"/>
    <w:unhideWhenUsed/>
    <w:qFormat/>
    <w:uiPriority w:val="0"/>
    <w:pPr>
      <w:keepNext/>
      <w:keepLines/>
      <w:spacing w:line="580" w:lineRule="exact"/>
      <w:ind w:firstLine="640" w:firstLineChars="200"/>
      <w:outlineLvl w:val="1"/>
    </w:pPr>
    <w:rPr>
      <w:rFonts w:ascii="Times New Roman" w:hAnsi="Times New Roman" w:eastAsia="黑体" w:cstheme="majorBidi"/>
      <w:bCs/>
      <w:kern w:val="2"/>
      <w:sz w:val="32"/>
      <w:szCs w:val="26"/>
      <w:lang w:val="en-US" w:eastAsia="zh-CN" w:bidi="ar-SA"/>
    </w:rPr>
  </w:style>
  <w:style w:type="paragraph" w:styleId="4">
    <w:name w:val="heading 3"/>
    <w:basedOn w:val="1"/>
    <w:next w:val="1"/>
    <w:semiHidden/>
    <w:unhideWhenUsed/>
    <w:qFormat/>
    <w:uiPriority w:val="0"/>
    <w:pPr>
      <w:keepNext/>
      <w:keepLines/>
      <w:spacing w:beforeLines="0" w:beforeAutospacing="0" w:afterLines="0" w:afterAutospacing="0" w:line="580" w:lineRule="exact"/>
      <w:outlineLvl w:val="2"/>
    </w:pPr>
    <w:rPr>
      <w:rFonts w:ascii="Times New Roman" w:hAnsi="Times New Roman" w:eastAsia="方正楷体_GBK" w:cs="宋体"/>
    </w:rPr>
  </w:style>
  <w:style w:type="paragraph" w:styleId="5">
    <w:name w:val="heading 4"/>
    <w:basedOn w:val="1"/>
    <w:next w:val="1"/>
    <w:link w:val="12"/>
    <w:semiHidden/>
    <w:unhideWhenUsed/>
    <w:qFormat/>
    <w:uiPriority w:val="0"/>
    <w:pPr>
      <w:keepNext/>
      <w:keepLines/>
      <w:spacing w:line="580" w:lineRule="exact"/>
      <w:outlineLvl w:val="3"/>
    </w:pPr>
    <w:rPr>
      <w:rFonts w:ascii="Times New Roman" w:hAnsi="Times New Roman" w:cstheme="majorBidi"/>
      <w:b/>
      <w:bCs/>
      <w:sz w:val="32"/>
      <w:szCs w:val="28"/>
    </w:rPr>
  </w:style>
  <w:style w:type="character" w:default="1" w:styleId="10">
    <w:name w:val="Default Paragraph Font"/>
    <w:semiHidden/>
    <w:unhideWhenUsed/>
    <w:qFormat/>
    <w:uiPriority w:val="1"/>
  </w:style>
  <w:style w:type="table" w:default="1" w:styleId="9">
    <w:name w:val="Normal Table"/>
    <w:semiHidden/>
    <w:qFormat/>
    <w:uiPriority w:val="0"/>
    <w:tblPr>
      <w:tblCellMar>
        <w:top w:w="0" w:type="dxa"/>
        <w:left w:w="108" w:type="dxa"/>
        <w:bottom w:w="0" w:type="dxa"/>
        <w:right w:w="108" w:type="dxa"/>
      </w:tblCellMar>
    </w:tblPr>
  </w:style>
  <w:style w:type="paragraph" w:styleId="6">
    <w:name w:val="Body Text"/>
    <w:basedOn w:val="1"/>
    <w:next w:val="1"/>
    <w:qFormat/>
    <w:uiPriority w:val="0"/>
    <w:pPr>
      <w:spacing w:after="120" w:afterLines="0" w:afterAutospacing="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1">
    <w:name w:val="表格"/>
    <w:basedOn w:val="1"/>
    <w:qFormat/>
    <w:uiPriority w:val="0"/>
    <w:pPr>
      <w:widowControl/>
      <w:jc w:val="center"/>
    </w:pPr>
    <w:rPr>
      <w:rFonts w:ascii="Times New Roman" w:hAnsi="Times New Roman" w:eastAsia="仿宋"/>
      <w:bCs/>
      <w:color w:val="000000"/>
      <w:kern w:val="0"/>
      <w:sz w:val="21"/>
      <w:szCs w:val="21"/>
    </w:rPr>
  </w:style>
  <w:style w:type="character" w:customStyle="1" w:styleId="12">
    <w:name w:val="标题 4 Char"/>
    <w:link w:val="5"/>
    <w:semiHidden/>
    <w:qFormat/>
    <w:uiPriority w:val="9"/>
    <w:rPr>
      <w:rFonts w:ascii="Times New Roman" w:hAnsi="Times New Roman" w:eastAsia="仿宋" w:cstheme="majorBidi"/>
      <w:b/>
      <w:bCs/>
      <w:kern w:val="2"/>
      <w:sz w:val="32"/>
      <w:szCs w:val="28"/>
    </w:rPr>
  </w:style>
  <w:style w:type="character" w:customStyle="1" w:styleId="13">
    <w:name w:val="标题 1 Char"/>
    <w:basedOn w:val="10"/>
    <w:link w:val="2"/>
    <w:qFormat/>
    <w:uiPriority w:val="9"/>
    <w:rPr>
      <w:rFonts w:ascii="方正小标宋简体" w:hAnsi="方正小标宋简体" w:eastAsia="方正小标宋_GBK"/>
      <w:bCs/>
      <w:kern w:val="44"/>
      <w:sz w:val="44"/>
      <w:szCs w:val="44"/>
    </w:rPr>
  </w:style>
  <w:style w:type="character" w:customStyle="1" w:styleId="14">
    <w:name w:val="标题 2 Char"/>
    <w:basedOn w:val="10"/>
    <w:link w:val="3"/>
    <w:qFormat/>
    <w:uiPriority w:val="9"/>
    <w:rPr>
      <w:rFonts w:ascii="Times New Roman" w:hAnsi="Times New Roman" w:eastAsia="黑体" w:cstheme="majorBidi"/>
      <w:bCs/>
      <w:sz w:val="32"/>
      <w:szCs w:val="26"/>
    </w:rPr>
  </w:style>
  <w:style w:type="paragraph" w:customStyle="1" w:styleId="15">
    <w:name w:val="标头"/>
    <w:next w:val="1"/>
    <w:qFormat/>
    <w:uiPriority w:val="0"/>
    <w:pPr>
      <w:tabs>
        <w:tab w:val="left" w:pos="7040"/>
      </w:tabs>
      <w:spacing w:line="580" w:lineRule="exact"/>
      <w:ind w:left="0" w:firstLine="0" w:firstLineChars="0"/>
    </w:pPr>
    <w:rPr>
      <w:rFonts w:ascii="黑体" w:hAnsi="黑体" w:eastAsia="黑体" w:cstheme="minorBidi"/>
      <w:sz w:val="26"/>
    </w:rPr>
  </w:style>
  <w:style w:type="paragraph" w:customStyle="1" w:styleId="16">
    <w:name w:val="汇报单位"/>
    <w:next w:val="1"/>
    <w:qFormat/>
    <w:uiPriority w:val="0"/>
    <w:pPr>
      <w:spacing w:line="580" w:lineRule="exact"/>
      <w:jc w:val="center"/>
    </w:pPr>
    <w:rPr>
      <w:rFonts w:ascii="楷体" w:hAnsi="楷体" w:eastAsia="楷体" w:cs="楷体_GB2312"/>
      <w:sz w:val="32"/>
      <w:szCs w:val="32"/>
    </w:rPr>
  </w:style>
  <w:style w:type="paragraph" w:customStyle="1" w:styleId="17">
    <w:name w:val="图表"/>
    <w:next w:val="1"/>
    <w:qFormat/>
    <w:uiPriority w:val="0"/>
    <w:pPr>
      <w:widowControl/>
      <w:jc w:val="center"/>
      <w:textAlignment w:val="center"/>
    </w:pPr>
    <w:rPr>
      <w:rFonts w:hint="default" w:ascii="Times New Roman" w:hAnsi="Times New Roman" w:eastAsia="仿宋" w:cs="宋体"/>
      <w:color w:val="000000"/>
      <w:kern w:val="0"/>
      <w:sz w:val="28"/>
      <w:u w:val="none"/>
      <w:lang w:bidi="ar"/>
    </w:rPr>
  </w:style>
  <w:style w:type="paragraph" w:customStyle="1" w:styleId="18">
    <w:name w:val="题头"/>
    <w:basedOn w:val="1"/>
    <w:next w:val="1"/>
    <w:qFormat/>
    <w:uiPriority w:val="0"/>
    <w:pPr>
      <w:ind w:firstLine="0" w:firstLineChars="0"/>
      <w:jc w:val="center"/>
    </w:pPr>
    <w:rPr>
      <w:rFonts w:hint="eastAsia" w:ascii="Times New Roman" w:hAnsi="Times New Roman" w:eastAsia="方正楷体_GBK"/>
    </w:rPr>
  </w:style>
  <w:style w:type="paragraph" w:customStyle="1" w:styleId="19">
    <w:name w:val="常务会头"/>
    <w:next w:val="1"/>
    <w:qFormat/>
    <w:uiPriority w:val="0"/>
    <w:pPr>
      <w:spacing w:line="580" w:lineRule="exact"/>
    </w:pPr>
    <w:rPr>
      <w:rFonts w:hint="default" w:ascii="Times New Roman" w:hAnsi="Times New Roman" w:eastAsia="黑体" w:cstheme="minorBidi"/>
      <w:sz w:val="26"/>
    </w:rPr>
  </w:style>
  <w:style w:type="paragraph" w:customStyle="1" w:styleId="20">
    <w:name w:val="附件"/>
    <w:basedOn w:val="1"/>
    <w:qFormat/>
    <w:uiPriority w:val="0"/>
    <w:pPr>
      <w:ind w:left="1600" w:leftChars="500" w:firstLine="0" w:firstLineChars="0"/>
    </w:pPr>
    <w:rPr>
      <w:rFonts w:ascii="Times New Roman" w:hAnsi="Times New Roman"/>
    </w:rPr>
  </w:style>
  <w:style w:type="paragraph" w:customStyle="1" w:styleId="21">
    <w:name w:val="附件题头"/>
    <w:basedOn w:val="1"/>
    <w:qFormat/>
    <w:uiPriority w:val="0"/>
    <w:pPr>
      <w:ind w:firstLine="0" w:firstLineChars="0"/>
    </w:pPr>
    <w:rPr>
      <w:rFonts w:hint="default" w:ascii="Times New Roman" w:hAnsi="Times New Roman" w:eastAsia="黑体"/>
    </w:rPr>
  </w:style>
  <w:style w:type="paragraph" w:customStyle="1" w:styleId="22">
    <w:name w:val="10正文"/>
    <w:basedOn w:val="1"/>
    <w:qFormat/>
    <w:uiPriority w:val="0"/>
    <w:pPr>
      <w:spacing w:line="580" w:lineRule="exact"/>
      <w:ind w:firstLine="200" w:firstLineChars="200"/>
    </w:pPr>
    <w:rPr>
      <w:rFonts w:ascii="Times New Roman" w:hAnsi="Times New Roman" w:eastAsia="仿宋"/>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2965</Words>
  <Characters>2981</Characters>
  <Lines>1</Lines>
  <Paragraphs>1</Paragraphs>
  <TotalTime>0</TotalTime>
  <ScaleCrop>false</ScaleCrop>
  <LinksUpToDate>false</LinksUpToDate>
  <CharactersWithSpaces>3073</CharactersWithSpaces>
  <Application>WPS Office_11.8.2.1122_F1E327BC-269C-435d-A152-05C5408002CA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2023-09-26T16:31:00Z</dcterms:created>
  <dc:creator>lenovo</dc:creator>
  <cp:lastModifiedBy>hsj1</cp:lastModifiedBy>
  <dcterms:modified xsi:type="dcterms:W3CDTF">2025-07-01T17:40:54Z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2052-11.8.2.1122</vt:lpwstr>
  </property>
  <property fmtid="{D5CDD505-2E9C-101B-9397-08002B2CF9AE}" pid="3" name="ICV">
    <vt:lpwstr>2D2AE246F531445084E9E70532871406_12</vt:lpwstr>
  </property>
</Properties>
</file>