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E9A5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b w:val="0"/>
          <w:bCs w:val="0"/>
          <w:color w:val="0C0C0C"/>
          <w:spacing w:val="62"/>
          <w:sz w:val="30"/>
          <w:szCs w:val="30"/>
          <w:lang w:val="en-US" w:eastAsia="zh-CN"/>
        </w:rPr>
      </w:pPr>
      <w:bookmarkStart w:id="0" w:name="_GoBack"/>
      <w:bookmarkEnd w:id="0"/>
      <w:r>
        <w:rPr>
          <w:rFonts w:hint="default" w:ascii="Times New Roman" w:hAnsi="Times New Roman" w:eastAsia="黑体" w:cs="Times New Roman"/>
          <w:b w:val="0"/>
          <w:bCs w:val="0"/>
          <w:color w:val="0C0C0C"/>
          <w:spacing w:val="62"/>
          <w:sz w:val="30"/>
          <w:szCs w:val="30"/>
          <w:lang w:val="en-US" w:eastAsia="zh-CN"/>
        </w:rPr>
        <w:t>区六届人大常委会</w:t>
      </w:r>
    </w:p>
    <w:p w14:paraId="45B1254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b w:val="0"/>
          <w:bCs w:val="0"/>
          <w:color w:val="0C0C0C"/>
          <w:spacing w:val="0"/>
          <w:sz w:val="30"/>
          <w:szCs w:val="30"/>
          <w:lang w:val="en-US" w:eastAsia="zh-CN"/>
        </w:rPr>
      </w:pPr>
      <w:r>
        <w:rPr>
          <w:rFonts w:hint="default" w:ascii="Times New Roman" w:hAnsi="Times New Roman" w:eastAsia="黑体" w:cs="Times New Roman"/>
          <w:b w:val="0"/>
          <w:bCs w:val="0"/>
          <w:color w:val="0C0C0C"/>
          <w:spacing w:val="0"/>
          <w:sz w:val="30"/>
          <w:szCs w:val="30"/>
          <w:lang w:val="en-US" w:eastAsia="zh-CN"/>
        </w:rPr>
        <w:t>第</w:t>
      </w:r>
      <w:r>
        <w:rPr>
          <w:rFonts w:hint="eastAsia" w:ascii="Times New Roman" w:hAnsi="Times New Roman" w:eastAsia="黑体" w:cs="Times New Roman"/>
          <w:b w:val="0"/>
          <w:bCs w:val="0"/>
          <w:color w:val="0C0C0C"/>
          <w:spacing w:val="0"/>
          <w:sz w:val="30"/>
          <w:szCs w:val="30"/>
          <w:lang w:val="en-US" w:eastAsia="zh-CN"/>
        </w:rPr>
        <w:t>二十八</w:t>
      </w:r>
      <w:r>
        <w:rPr>
          <w:rFonts w:hint="default" w:ascii="Times New Roman" w:hAnsi="Times New Roman" w:eastAsia="黑体" w:cs="Times New Roman"/>
          <w:b w:val="0"/>
          <w:bCs w:val="0"/>
          <w:color w:val="0C0C0C"/>
          <w:spacing w:val="0"/>
          <w:sz w:val="30"/>
          <w:szCs w:val="30"/>
          <w:lang w:val="en-US" w:eastAsia="zh-CN"/>
        </w:rPr>
        <w:t>次会议材料之</w:t>
      </w:r>
      <w:r>
        <w:rPr>
          <w:rFonts w:hint="eastAsia" w:ascii="Times New Roman" w:hAnsi="Times New Roman" w:eastAsia="黑体" w:cs="Times New Roman"/>
          <w:b w:val="0"/>
          <w:bCs w:val="0"/>
          <w:color w:val="0C0C0C"/>
          <w:spacing w:val="0"/>
          <w:sz w:val="30"/>
          <w:szCs w:val="30"/>
          <w:lang w:val="en-US" w:eastAsia="zh-CN"/>
        </w:rPr>
        <w:t>三</w:t>
      </w:r>
    </w:p>
    <w:p w14:paraId="4BFE48F8">
      <w:pPr>
        <w:keepNext w:val="0"/>
        <w:keepLines w:val="0"/>
        <w:pageBreakBefore w:val="0"/>
        <w:widowControl w:val="0"/>
        <w:kinsoku/>
        <w:wordWrap/>
        <w:overflowPunct/>
        <w:topLinePunct w:val="0"/>
        <w:autoSpaceDE/>
        <w:autoSpaceDN w:val="0"/>
        <w:bidi w:val="0"/>
        <w:adjustRightInd/>
        <w:snapToGrid w:val="0"/>
        <w:spacing w:line="620" w:lineRule="exact"/>
        <w:ind w:left="0" w:right="0" w:rightChars="0"/>
        <w:jc w:val="center"/>
        <w:textAlignment w:val="baseline"/>
        <w:rPr>
          <w:rFonts w:hint="eastAsia" w:ascii="方正大标宋_GBK" w:hAnsi="方正大标宋_GBK" w:eastAsia="方正大标宋_GBK" w:cs="方正大标宋_GBK"/>
          <w:b w:val="0"/>
          <w:bCs/>
          <w:color w:val="000000"/>
          <w:spacing w:val="0"/>
          <w:w w:val="96"/>
          <w:kern w:val="0"/>
          <w:sz w:val="44"/>
          <w:szCs w:val="44"/>
          <w:lang w:eastAsia="zh-CN"/>
        </w:rPr>
      </w:pPr>
    </w:p>
    <w:p w14:paraId="431BEDAB">
      <w:pPr>
        <w:keepNext w:val="0"/>
        <w:keepLines w:val="0"/>
        <w:pageBreakBefore w:val="0"/>
        <w:widowControl w:val="0"/>
        <w:kinsoku/>
        <w:wordWrap/>
        <w:overflowPunct/>
        <w:topLinePunct w:val="0"/>
        <w:autoSpaceDE/>
        <w:autoSpaceDN w:val="0"/>
        <w:bidi w:val="0"/>
        <w:adjustRightInd/>
        <w:snapToGrid w:val="0"/>
        <w:spacing w:line="620" w:lineRule="exact"/>
        <w:ind w:left="0" w:right="0" w:rightChars="0"/>
        <w:jc w:val="center"/>
        <w:textAlignment w:val="baseline"/>
        <w:rPr>
          <w:rFonts w:hint="eastAsia" w:ascii="方正大标宋_GBK" w:hAnsi="方正大标宋_GBK" w:eastAsia="方正大标宋_GBK" w:cs="方正大标宋_GBK"/>
          <w:b w:val="0"/>
          <w:bCs/>
          <w:color w:val="000000"/>
          <w:spacing w:val="0"/>
          <w:w w:val="96"/>
          <w:kern w:val="0"/>
          <w:sz w:val="44"/>
          <w:szCs w:val="44"/>
          <w:lang w:eastAsia="zh-CN"/>
        </w:rPr>
      </w:pPr>
      <w:r>
        <w:rPr>
          <w:rFonts w:hint="eastAsia" w:ascii="方正大标宋_GBK" w:hAnsi="方正大标宋_GBK" w:eastAsia="方正大标宋_GBK" w:cs="方正大标宋_GBK"/>
          <w:b w:val="0"/>
          <w:bCs/>
          <w:color w:val="000000"/>
          <w:spacing w:val="0"/>
          <w:w w:val="96"/>
          <w:kern w:val="0"/>
          <w:sz w:val="44"/>
          <w:szCs w:val="44"/>
          <w:lang w:eastAsia="zh-CN"/>
        </w:rPr>
        <w:t>浉河区人民政府</w:t>
      </w:r>
    </w:p>
    <w:p w14:paraId="35CBC95D">
      <w:pPr>
        <w:keepNext w:val="0"/>
        <w:keepLines w:val="0"/>
        <w:pageBreakBefore w:val="0"/>
        <w:widowControl w:val="0"/>
        <w:kinsoku/>
        <w:wordWrap/>
        <w:overflowPunct/>
        <w:topLinePunct w:val="0"/>
        <w:autoSpaceDE/>
        <w:autoSpaceDN w:val="0"/>
        <w:bidi w:val="0"/>
        <w:adjustRightInd/>
        <w:snapToGrid w:val="0"/>
        <w:spacing w:line="620" w:lineRule="exact"/>
        <w:ind w:left="0" w:right="0" w:rightChars="0"/>
        <w:jc w:val="center"/>
        <w:textAlignment w:val="baseline"/>
        <w:rPr>
          <w:rFonts w:hint="eastAsia" w:ascii="方正大标宋_GBK" w:hAnsi="方正大标宋_GBK" w:eastAsia="方正大标宋_GBK" w:cs="方正大标宋_GBK"/>
          <w:b w:val="0"/>
          <w:bCs/>
          <w:color w:val="000000"/>
          <w:spacing w:val="0"/>
          <w:w w:val="96"/>
          <w:kern w:val="0"/>
          <w:sz w:val="44"/>
          <w:szCs w:val="44"/>
        </w:rPr>
      </w:pPr>
      <w:r>
        <w:rPr>
          <w:rFonts w:hint="eastAsia" w:ascii="方正大标宋_GBK" w:hAnsi="方正大标宋_GBK" w:eastAsia="方正大标宋_GBK" w:cs="方正大标宋_GBK"/>
          <w:b w:val="0"/>
          <w:bCs/>
          <w:color w:val="000000"/>
          <w:spacing w:val="0"/>
          <w:w w:val="96"/>
          <w:kern w:val="0"/>
          <w:sz w:val="44"/>
          <w:szCs w:val="44"/>
        </w:rPr>
        <w:t>关于202</w:t>
      </w:r>
      <w:r>
        <w:rPr>
          <w:rFonts w:hint="eastAsia" w:ascii="方正大标宋_GBK" w:hAnsi="方正大标宋_GBK" w:eastAsia="方正大标宋_GBK" w:cs="方正大标宋_GBK"/>
          <w:b w:val="0"/>
          <w:bCs/>
          <w:color w:val="000000"/>
          <w:spacing w:val="0"/>
          <w:w w:val="96"/>
          <w:kern w:val="0"/>
          <w:sz w:val="44"/>
          <w:szCs w:val="44"/>
          <w:lang w:val="en-US" w:eastAsia="zh-CN"/>
        </w:rPr>
        <w:t>4</w:t>
      </w:r>
      <w:r>
        <w:rPr>
          <w:rFonts w:hint="eastAsia" w:ascii="方正大标宋_GBK" w:hAnsi="方正大标宋_GBK" w:eastAsia="方正大标宋_GBK" w:cs="方正大标宋_GBK"/>
          <w:b w:val="0"/>
          <w:bCs/>
          <w:color w:val="000000"/>
          <w:spacing w:val="0"/>
          <w:w w:val="96"/>
          <w:kern w:val="0"/>
          <w:sz w:val="44"/>
          <w:szCs w:val="44"/>
        </w:rPr>
        <w:t>年财政</w:t>
      </w:r>
      <w:r>
        <w:rPr>
          <w:rFonts w:hint="eastAsia" w:ascii="方正大标宋_GBK" w:hAnsi="方正大标宋_GBK" w:eastAsia="方正大标宋_GBK" w:cs="方正大标宋_GBK"/>
          <w:b w:val="0"/>
          <w:bCs/>
          <w:color w:val="000000"/>
          <w:spacing w:val="0"/>
          <w:w w:val="96"/>
          <w:kern w:val="0"/>
          <w:sz w:val="44"/>
          <w:szCs w:val="44"/>
          <w:lang w:val="en-US" w:eastAsia="zh-CN"/>
        </w:rPr>
        <w:t>决算（草案）</w:t>
      </w:r>
      <w:r>
        <w:rPr>
          <w:rFonts w:hint="eastAsia" w:ascii="方正大标宋_GBK" w:hAnsi="方正大标宋_GBK" w:eastAsia="方正大标宋_GBK" w:cs="方正大标宋_GBK"/>
          <w:b w:val="0"/>
          <w:bCs/>
          <w:color w:val="000000"/>
          <w:spacing w:val="0"/>
          <w:w w:val="96"/>
          <w:kern w:val="0"/>
          <w:sz w:val="44"/>
          <w:szCs w:val="44"/>
        </w:rPr>
        <w:t>和202</w:t>
      </w:r>
      <w:r>
        <w:rPr>
          <w:rFonts w:hint="eastAsia" w:ascii="方正大标宋_GBK" w:hAnsi="方正大标宋_GBK" w:eastAsia="方正大标宋_GBK" w:cs="方正大标宋_GBK"/>
          <w:b w:val="0"/>
          <w:bCs/>
          <w:color w:val="000000"/>
          <w:spacing w:val="0"/>
          <w:w w:val="96"/>
          <w:kern w:val="0"/>
          <w:sz w:val="44"/>
          <w:szCs w:val="44"/>
          <w:lang w:val="en-US" w:eastAsia="zh-CN"/>
        </w:rPr>
        <w:t>5</w:t>
      </w:r>
      <w:r>
        <w:rPr>
          <w:rFonts w:hint="eastAsia" w:ascii="方正大标宋_GBK" w:hAnsi="方正大标宋_GBK" w:eastAsia="方正大标宋_GBK" w:cs="方正大标宋_GBK"/>
          <w:b w:val="0"/>
          <w:bCs/>
          <w:color w:val="000000"/>
          <w:spacing w:val="0"/>
          <w:w w:val="96"/>
          <w:kern w:val="0"/>
          <w:sz w:val="44"/>
          <w:szCs w:val="44"/>
        </w:rPr>
        <w:t>年</w:t>
      </w:r>
      <w:r>
        <w:rPr>
          <w:rFonts w:hint="eastAsia" w:ascii="方正大标宋_GBK" w:hAnsi="方正大标宋_GBK" w:eastAsia="方正大标宋_GBK" w:cs="方正大标宋_GBK"/>
          <w:b w:val="0"/>
          <w:bCs/>
          <w:color w:val="000000"/>
          <w:spacing w:val="0"/>
          <w:w w:val="96"/>
          <w:kern w:val="0"/>
          <w:sz w:val="44"/>
          <w:szCs w:val="44"/>
          <w:lang w:val="en-US" w:eastAsia="zh-CN"/>
        </w:rPr>
        <w:t>上半年</w:t>
      </w:r>
      <w:r>
        <w:rPr>
          <w:rFonts w:hint="eastAsia" w:ascii="方正大标宋_GBK" w:hAnsi="方正大标宋_GBK" w:eastAsia="方正大标宋_GBK" w:cs="方正大标宋_GBK"/>
          <w:b w:val="0"/>
          <w:bCs/>
          <w:color w:val="000000"/>
          <w:spacing w:val="0"/>
          <w:w w:val="96"/>
          <w:kern w:val="0"/>
          <w:sz w:val="44"/>
          <w:szCs w:val="44"/>
        </w:rPr>
        <w:t>财政</w:t>
      </w:r>
      <w:r>
        <w:rPr>
          <w:rFonts w:hint="eastAsia" w:ascii="方正大标宋_GBK" w:hAnsi="方正大标宋_GBK" w:eastAsia="方正大标宋_GBK" w:cs="方正大标宋_GBK"/>
          <w:b w:val="0"/>
          <w:bCs/>
          <w:color w:val="000000"/>
          <w:spacing w:val="0"/>
          <w:w w:val="96"/>
          <w:kern w:val="0"/>
          <w:sz w:val="44"/>
          <w:szCs w:val="44"/>
          <w:lang w:val="en-US" w:eastAsia="zh-CN"/>
        </w:rPr>
        <w:t>预算执行情况</w:t>
      </w:r>
      <w:r>
        <w:rPr>
          <w:rFonts w:hint="eastAsia" w:ascii="方正大标宋_GBK" w:hAnsi="方正大标宋_GBK" w:eastAsia="方正大标宋_GBK" w:cs="方正大标宋_GBK"/>
          <w:b w:val="0"/>
          <w:bCs/>
          <w:color w:val="000000"/>
          <w:spacing w:val="0"/>
          <w:w w:val="96"/>
          <w:kern w:val="0"/>
          <w:sz w:val="44"/>
          <w:szCs w:val="44"/>
        </w:rPr>
        <w:t>的报告</w:t>
      </w:r>
    </w:p>
    <w:p w14:paraId="12AE827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bCs w:val="0"/>
          <w:color w:val="000000"/>
          <w:sz w:val="32"/>
          <w:szCs w:val="32"/>
          <w:lang w:val="en-US" w:eastAsia="zh-CN"/>
        </w:rPr>
        <w:t>202</w:t>
      </w:r>
      <w:r>
        <w:rPr>
          <w:rFonts w:hint="eastAsia" w:ascii="Times New Roman" w:hAnsi="Times New Roman" w:eastAsia="楷体_GB2312" w:cs="Times New Roman"/>
          <w:b/>
          <w:bCs w:val="0"/>
          <w:color w:val="000000"/>
          <w:sz w:val="32"/>
          <w:szCs w:val="32"/>
          <w:lang w:val="en-US" w:eastAsia="zh-CN"/>
        </w:rPr>
        <w:t>5</w:t>
      </w:r>
      <w:r>
        <w:rPr>
          <w:rFonts w:hint="default" w:ascii="Times New Roman" w:hAnsi="Times New Roman" w:eastAsia="楷体_GB2312" w:cs="Times New Roman"/>
          <w:b/>
          <w:bCs w:val="0"/>
          <w:color w:val="000000"/>
          <w:sz w:val="32"/>
          <w:szCs w:val="32"/>
          <w:lang w:val="en-US" w:eastAsia="zh-CN"/>
        </w:rPr>
        <w:t>年</w:t>
      </w:r>
      <w:r>
        <w:rPr>
          <w:rFonts w:hint="eastAsia" w:ascii="Times New Roman" w:hAnsi="Times New Roman" w:eastAsia="楷体_GB2312" w:cs="Times New Roman"/>
          <w:b/>
          <w:bCs w:val="0"/>
          <w:color w:val="000000"/>
          <w:sz w:val="32"/>
          <w:szCs w:val="32"/>
          <w:lang w:val="en-US" w:eastAsia="zh-CN"/>
        </w:rPr>
        <w:t>8</w:t>
      </w:r>
      <w:r>
        <w:rPr>
          <w:rFonts w:hint="default" w:ascii="Times New Roman" w:hAnsi="Times New Roman" w:eastAsia="楷体_GB2312" w:cs="Times New Roman"/>
          <w:b/>
          <w:bCs w:val="0"/>
          <w:color w:val="000000"/>
          <w:sz w:val="32"/>
          <w:szCs w:val="32"/>
          <w:lang w:val="en-US" w:eastAsia="zh-CN"/>
        </w:rPr>
        <w:t>月</w:t>
      </w:r>
      <w:r>
        <w:rPr>
          <w:rFonts w:hint="eastAsia" w:ascii="Times New Roman" w:hAnsi="Times New Roman" w:eastAsia="楷体_GB2312" w:cs="Times New Roman"/>
          <w:b/>
          <w:bCs w:val="0"/>
          <w:color w:val="000000"/>
          <w:sz w:val="32"/>
          <w:szCs w:val="32"/>
          <w:lang w:val="en-US" w:eastAsia="zh-CN"/>
        </w:rPr>
        <w:t>25</w:t>
      </w:r>
      <w:r>
        <w:rPr>
          <w:rFonts w:hint="default" w:ascii="Times New Roman" w:hAnsi="Times New Roman" w:eastAsia="楷体_GB2312" w:cs="Times New Roman"/>
          <w:b/>
          <w:bCs w:val="0"/>
          <w:color w:val="000000"/>
          <w:sz w:val="32"/>
          <w:szCs w:val="32"/>
          <w:lang w:val="en-US" w:eastAsia="zh-CN"/>
        </w:rPr>
        <w:t>日</w:t>
      </w:r>
      <w:r>
        <w:rPr>
          <w:rFonts w:hint="default" w:ascii="Times New Roman" w:hAnsi="Times New Roman" w:eastAsia="楷体_GB2312" w:cs="Times New Roman"/>
          <w:b/>
          <w:color w:val="000000"/>
          <w:sz w:val="32"/>
          <w:szCs w:val="32"/>
        </w:rPr>
        <w:t>在区六届人大常委会第</w:t>
      </w:r>
      <w:r>
        <w:rPr>
          <w:rFonts w:hint="eastAsia" w:ascii="Times New Roman" w:hAnsi="Times New Roman" w:eastAsia="楷体_GB2312" w:cs="Times New Roman"/>
          <w:b/>
          <w:color w:val="000000"/>
          <w:sz w:val="32"/>
          <w:szCs w:val="32"/>
          <w:lang w:eastAsia="zh-CN"/>
        </w:rPr>
        <w:t>二十八</w:t>
      </w:r>
      <w:r>
        <w:rPr>
          <w:rFonts w:hint="default" w:ascii="Times New Roman" w:hAnsi="Times New Roman" w:eastAsia="楷体_GB2312" w:cs="Times New Roman"/>
          <w:b/>
          <w:color w:val="000000"/>
          <w:sz w:val="32"/>
          <w:szCs w:val="32"/>
        </w:rPr>
        <w:t>次会议上</w:t>
      </w:r>
    </w:p>
    <w:p w14:paraId="2482711B">
      <w:pPr>
        <w:keepNext w:val="0"/>
        <w:keepLines w:val="0"/>
        <w:pageBreakBefore w:val="0"/>
        <w:widowControl w:val="0"/>
        <w:kinsoku/>
        <w:wordWrap/>
        <w:overflowPunct/>
        <w:topLinePunct w:val="0"/>
        <w:autoSpaceDE/>
        <w:autoSpaceDN w:val="0"/>
        <w:bidi w:val="0"/>
        <w:adjustRightInd/>
        <w:snapToGrid w:val="0"/>
        <w:spacing w:line="620" w:lineRule="exact"/>
        <w:ind w:left="0" w:right="0" w:rightChars="0"/>
        <w:jc w:val="center"/>
        <w:textAlignment w:val="baseline"/>
        <w:rPr>
          <w:rFonts w:hint="eastAsia" w:ascii="Times New Roman" w:hAnsi="Times New Roman" w:eastAsia="楷体_GB2312" w:cs="Times New Roman"/>
          <w:b/>
          <w:color w:val="auto"/>
          <w:kern w:val="2"/>
          <w:sz w:val="32"/>
          <w:szCs w:val="32"/>
          <w:highlight w:val="none"/>
          <w:lang w:val="en-US" w:eastAsia="zh-CN" w:bidi="ar-SA"/>
        </w:rPr>
      </w:pPr>
      <w:r>
        <w:rPr>
          <w:rFonts w:hint="eastAsia" w:ascii="Times New Roman" w:hAnsi="Times New Roman" w:eastAsia="楷体_GB2312" w:cs="Times New Roman"/>
          <w:b/>
          <w:color w:val="auto"/>
          <w:kern w:val="2"/>
          <w:sz w:val="32"/>
          <w:szCs w:val="32"/>
          <w:highlight w:val="none"/>
          <w:lang w:val="en-US" w:eastAsia="zh-CN" w:bidi="ar-SA"/>
        </w:rPr>
        <w:t>浉河区财政局局长   张  兵</w:t>
      </w:r>
    </w:p>
    <w:p w14:paraId="2A3CFD34">
      <w:pPr>
        <w:keepNext w:val="0"/>
        <w:keepLines w:val="0"/>
        <w:pageBreakBefore w:val="0"/>
        <w:widowControl w:val="0"/>
        <w:kinsoku/>
        <w:wordWrap/>
        <w:overflowPunct/>
        <w:topLinePunct w:val="0"/>
        <w:autoSpaceDE/>
        <w:autoSpaceDN/>
        <w:bidi w:val="0"/>
        <w:adjustRightInd/>
        <w:snapToGrid/>
        <w:spacing w:before="0" w:after="0" w:line="620" w:lineRule="exact"/>
        <w:ind w:left="0"/>
        <w:jc w:val="both"/>
        <w:textAlignment w:val="auto"/>
        <w:outlineLvl w:val="1"/>
        <w:rPr>
          <w:rFonts w:hint="eastAsia" w:ascii="仿宋_GB2312" w:hAnsi="仿宋_GB2312" w:eastAsia="仿宋_GB2312" w:cs="仿宋_GB2312"/>
          <w:b w:val="0"/>
          <w:bCs/>
          <w:color w:val="auto"/>
          <w:kern w:val="2"/>
          <w:sz w:val="32"/>
          <w:szCs w:val="32"/>
          <w:lang w:val="en-US" w:eastAsia="zh-CN" w:bidi="ar-SA"/>
        </w:rPr>
      </w:pPr>
    </w:p>
    <w:p w14:paraId="6060B280">
      <w:pPr>
        <w:keepNext w:val="0"/>
        <w:keepLines w:val="0"/>
        <w:pageBreakBefore w:val="0"/>
        <w:widowControl w:val="0"/>
        <w:kinsoku/>
        <w:wordWrap/>
        <w:overflowPunct/>
        <w:topLinePunct w:val="0"/>
        <w:autoSpaceDE/>
        <w:autoSpaceDN/>
        <w:bidi w:val="0"/>
        <w:adjustRightInd/>
        <w:snapToGrid/>
        <w:spacing w:before="0" w:after="0" w:line="620" w:lineRule="exact"/>
        <w:ind w:left="0"/>
        <w:jc w:val="both"/>
        <w:textAlignment w:val="auto"/>
        <w:outlineLvl w:val="1"/>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主任，各位副主任，各位委员：</w:t>
      </w:r>
    </w:p>
    <w:p w14:paraId="0FD71428">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我</w:t>
      </w:r>
      <w:r>
        <w:rPr>
          <w:rFonts w:hint="eastAsia" w:ascii="仿宋_GB2312" w:hAnsi="仿宋_GB2312" w:eastAsia="仿宋_GB2312" w:cs="仿宋_GB2312"/>
          <w:color w:val="auto"/>
          <w:sz w:val="32"/>
          <w:szCs w:val="32"/>
        </w:rPr>
        <w:t>受区人民政府委托，向区</w:t>
      </w:r>
      <w:r>
        <w:rPr>
          <w:rFonts w:hint="eastAsia" w:ascii="仿宋_GB2312" w:hAnsi="仿宋_GB2312" w:eastAsia="仿宋_GB2312" w:cs="仿宋_GB2312"/>
          <w:color w:val="auto"/>
          <w:sz w:val="32"/>
          <w:szCs w:val="32"/>
          <w:lang w:eastAsia="zh-CN"/>
        </w:rPr>
        <w:t>六届</w:t>
      </w:r>
      <w:r>
        <w:rPr>
          <w:rFonts w:hint="eastAsia" w:ascii="仿宋_GB2312" w:hAnsi="仿宋_GB2312" w:eastAsia="仿宋_GB2312" w:cs="仿宋_GB2312"/>
          <w:color w:val="auto"/>
          <w:sz w:val="32"/>
          <w:szCs w:val="32"/>
        </w:rPr>
        <w:t>人大常委会</w:t>
      </w:r>
      <w:r>
        <w:rPr>
          <w:rFonts w:hint="eastAsia" w:ascii="仿宋_GB2312" w:hAnsi="仿宋_GB2312" w:eastAsia="仿宋_GB2312" w:cs="仿宋_GB2312"/>
          <w:color w:val="auto"/>
          <w:sz w:val="32"/>
          <w:szCs w:val="32"/>
          <w:lang w:eastAsia="zh-CN"/>
        </w:rPr>
        <w:t>第二十八次会议</w:t>
      </w:r>
      <w:r>
        <w:rPr>
          <w:rFonts w:hint="eastAsia" w:ascii="仿宋_GB2312" w:hAnsi="仿宋_GB2312" w:eastAsia="仿宋_GB2312" w:cs="仿宋_GB2312"/>
          <w:color w:val="auto"/>
          <w:sz w:val="32"/>
          <w:szCs w:val="32"/>
        </w:rPr>
        <w:t>报告浉河区2024年财政决算（草案）和2025年上半年财政预算执行情况，请予审议。</w:t>
      </w:r>
    </w:p>
    <w:p w14:paraId="3932B567">
      <w:pPr>
        <w:keepNext w:val="0"/>
        <w:keepLines w:val="0"/>
        <w:pageBreakBefore w:val="0"/>
        <w:widowControl w:val="0"/>
        <w:kinsoku/>
        <w:wordWrap/>
        <w:overflowPunct/>
        <w:topLinePunct w:val="0"/>
        <w:autoSpaceDE/>
        <w:bidi w:val="0"/>
        <w:adjustRightInd/>
        <w:snapToGrid w:val="0"/>
        <w:spacing w:line="620" w:lineRule="exact"/>
        <w:ind w:left="0" w:right="0" w:rightChars="0" w:firstLine="643" w:firstLineChars="200"/>
        <w:jc w:val="both"/>
        <w:rPr>
          <w:rFonts w:hint="eastAsia" w:ascii="黑体" w:hAnsi="黑体" w:eastAsia="黑体" w:cs="黑体"/>
          <w:b/>
          <w:color w:val="0C0C0C"/>
          <w:spacing w:val="0"/>
          <w:kern w:val="0"/>
          <w:sz w:val="32"/>
          <w:szCs w:val="32"/>
        </w:rPr>
      </w:pPr>
      <w:r>
        <w:rPr>
          <w:rStyle w:val="12"/>
          <w:rFonts w:hint="eastAsia" w:ascii="黑体" w:hAnsi="黑体" w:eastAsia="黑体" w:cs="黑体"/>
          <w:color w:val="0C0C0C"/>
          <w:spacing w:val="0"/>
          <w:sz w:val="32"/>
          <w:szCs w:val="32"/>
        </w:rPr>
        <w:t>一</w:t>
      </w:r>
      <w:r>
        <w:rPr>
          <w:rFonts w:hint="eastAsia" w:ascii="黑体" w:hAnsi="黑体" w:eastAsia="黑体" w:cs="黑体"/>
          <w:color w:val="0C0C0C"/>
          <w:spacing w:val="0"/>
          <w:kern w:val="0"/>
          <w:sz w:val="32"/>
          <w:szCs w:val="32"/>
        </w:rPr>
        <w:t>、202</w:t>
      </w:r>
      <w:r>
        <w:rPr>
          <w:rFonts w:hint="eastAsia" w:ascii="黑体" w:hAnsi="黑体" w:eastAsia="黑体" w:cs="黑体"/>
          <w:color w:val="0C0C0C"/>
          <w:spacing w:val="0"/>
          <w:kern w:val="0"/>
          <w:sz w:val="32"/>
          <w:szCs w:val="32"/>
          <w:lang w:val="en-US" w:eastAsia="zh-CN"/>
        </w:rPr>
        <w:t>4</w:t>
      </w:r>
      <w:r>
        <w:rPr>
          <w:rFonts w:hint="eastAsia" w:ascii="黑体" w:hAnsi="黑体" w:eastAsia="黑体" w:cs="黑体"/>
          <w:color w:val="0C0C0C"/>
          <w:spacing w:val="0"/>
          <w:kern w:val="0"/>
          <w:sz w:val="32"/>
          <w:szCs w:val="32"/>
        </w:rPr>
        <w:t>年</w:t>
      </w:r>
      <w:r>
        <w:rPr>
          <w:rFonts w:hint="eastAsia" w:ascii="黑体" w:hAnsi="黑体" w:eastAsia="黑体" w:cs="黑体"/>
          <w:color w:val="0C0C0C"/>
          <w:spacing w:val="0"/>
          <w:kern w:val="0"/>
          <w:sz w:val="32"/>
          <w:szCs w:val="32"/>
          <w:lang w:val="en-US" w:eastAsia="zh-CN"/>
        </w:rPr>
        <w:t>全区财政决算</w:t>
      </w:r>
      <w:r>
        <w:rPr>
          <w:rFonts w:hint="eastAsia" w:ascii="黑体" w:hAnsi="黑体" w:eastAsia="黑体" w:cs="黑体"/>
          <w:color w:val="0C0C0C"/>
          <w:spacing w:val="0"/>
          <w:kern w:val="0"/>
          <w:sz w:val="32"/>
          <w:szCs w:val="32"/>
        </w:rPr>
        <w:t>情况</w:t>
      </w:r>
    </w:p>
    <w:p w14:paraId="56A1B3C0">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color w:val="0C0C0C"/>
          <w:spacing w:val="0"/>
          <w:kern w:val="0"/>
          <w:sz w:val="32"/>
          <w:szCs w:val="32"/>
          <w:lang w:val="en-US" w:eastAsia="zh-CN"/>
        </w:rPr>
      </w:pPr>
      <w:r>
        <w:rPr>
          <w:rFonts w:hint="eastAsia" w:ascii="楷体_GB2312" w:hAnsi="楷体_GB2312" w:eastAsia="楷体_GB2312" w:cs="楷体_GB2312"/>
          <w:b/>
          <w:color w:val="0C0C0C"/>
          <w:spacing w:val="0"/>
          <w:kern w:val="0"/>
          <w:sz w:val="32"/>
          <w:szCs w:val="32"/>
          <w:lang w:val="en-US" w:eastAsia="zh-CN"/>
        </w:rPr>
        <w:t>（一）一般公共财政预算收支决算情况</w:t>
      </w:r>
    </w:p>
    <w:p w14:paraId="7EEAFD95">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0" w:firstLineChars="200"/>
        <w:jc w:val="both"/>
        <w:textAlignment w:val="auto"/>
        <w:rPr>
          <w:rFonts w:hint="eastAsia" w:ascii="仿宋_GB2312" w:hAnsi="仿宋_GB2312" w:eastAsia="仿宋_GB2312" w:cs="仿宋_GB2312"/>
          <w:color w:val="000000"/>
          <w:spacing w:val="0"/>
          <w:kern w:val="0"/>
          <w:sz w:val="32"/>
          <w:szCs w:val="32"/>
          <w:highlight w:val="none"/>
          <w:lang w:val="en-US" w:eastAsia="zh-CN"/>
        </w:rPr>
      </w:pPr>
      <w:r>
        <w:rPr>
          <w:rFonts w:hint="eastAsia" w:ascii="仿宋_GB2312" w:hAnsi="仿宋_GB2312" w:eastAsia="仿宋_GB2312" w:cs="仿宋_GB2312"/>
          <w:color w:val="000000"/>
          <w:spacing w:val="0"/>
          <w:kern w:val="0"/>
          <w:sz w:val="32"/>
          <w:szCs w:val="32"/>
          <w:lang w:val="en-US" w:eastAsia="zh-CN"/>
        </w:rPr>
        <w:t>2024年，全区一般公共预算收入完成126797万元，</w:t>
      </w:r>
      <w:r>
        <w:rPr>
          <w:rFonts w:hint="eastAsia" w:ascii="仿宋_GB2312" w:hAnsi="仿宋_GB2312" w:eastAsia="仿宋_GB2312" w:cs="仿宋_GB2312"/>
          <w:color w:val="000000"/>
          <w:spacing w:val="0"/>
          <w:kern w:val="0"/>
          <w:sz w:val="32"/>
          <w:szCs w:val="32"/>
          <w:highlight w:val="none"/>
          <w:lang w:val="en-US" w:eastAsia="zh-CN"/>
        </w:rPr>
        <w:t>同比下降4.7%，</w:t>
      </w:r>
      <w:r>
        <w:rPr>
          <w:rFonts w:hint="eastAsia" w:ascii="仿宋_GB2312" w:hAnsi="仿宋_GB2312" w:eastAsia="仿宋_GB2312" w:cs="仿宋_GB2312"/>
          <w:color w:val="000000"/>
          <w:spacing w:val="0"/>
          <w:kern w:val="0"/>
          <w:sz w:val="32"/>
          <w:szCs w:val="32"/>
          <w:lang w:val="en-US" w:eastAsia="zh-CN"/>
        </w:rPr>
        <w:t>为调整预算数的102%，加上上级补助收入、发行地</w:t>
      </w:r>
      <w:r>
        <w:rPr>
          <w:rFonts w:hint="eastAsia" w:ascii="仿宋_GB2312" w:hAnsi="仿宋_GB2312" w:eastAsia="仿宋_GB2312" w:cs="仿宋_GB2312"/>
          <w:color w:val="000000"/>
          <w:spacing w:val="0"/>
          <w:kern w:val="0"/>
          <w:sz w:val="32"/>
          <w:szCs w:val="32"/>
          <w:highlight w:val="none"/>
          <w:lang w:val="en-US" w:eastAsia="zh-CN"/>
        </w:rPr>
        <w:t>方一般债券、动用预算稳定调节基金、调入资金等收入，公共财政预算收入合计505904万元；全区一般公共预算支出完成410063万元，同比增长10.2%，为调整预算数的105.1%，加上上解上级支出、债券还本等支出，公共财政预算支出合计505904万元。</w:t>
      </w:r>
    </w:p>
    <w:p w14:paraId="0B10EBBB">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bCs/>
          <w:color w:val="0C0C0C"/>
          <w:spacing w:val="0"/>
          <w:kern w:val="0"/>
          <w:sz w:val="32"/>
          <w:szCs w:val="32"/>
          <w:lang w:val="en-US" w:eastAsia="zh-CN"/>
        </w:rPr>
      </w:pPr>
      <w:r>
        <w:rPr>
          <w:rFonts w:hint="eastAsia" w:ascii="楷体_GB2312" w:hAnsi="楷体_GB2312" w:eastAsia="楷体_GB2312" w:cs="楷体_GB2312"/>
          <w:b/>
          <w:bCs/>
          <w:color w:val="000000"/>
          <w:spacing w:val="0"/>
          <w:kern w:val="0"/>
          <w:sz w:val="32"/>
          <w:szCs w:val="32"/>
          <w:highlight w:val="none"/>
          <w:lang w:val="en-US" w:eastAsia="zh-CN"/>
        </w:rPr>
        <w:t>（二）</w:t>
      </w:r>
      <w:r>
        <w:rPr>
          <w:rFonts w:hint="eastAsia" w:ascii="楷体_GB2312" w:hAnsi="楷体_GB2312" w:eastAsia="楷体_GB2312" w:cs="楷体_GB2312"/>
          <w:b/>
          <w:bCs/>
          <w:color w:val="0C0C0C"/>
          <w:spacing w:val="0"/>
          <w:kern w:val="0"/>
          <w:sz w:val="32"/>
          <w:szCs w:val="32"/>
          <w:lang w:val="en-US" w:eastAsia="zh-CN"/>
        </w:rPr>
        <w:t>政府性基金预算收支决算情况</w:t>
      </w:r>
    </w:p>
    <w:p w14:paraId="55623E6A">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0" w:firstLineChars="200"/>
        <w:jc w:val="both"/>
        <w:textAlignment w:val="auto"/>
        <w:rPr>
          <w:rFonts w:hint="eastAsia" w:ascii="仿宋_GB2312" w:hAnsi="仿宋_GB2312" w:eastAsia="仿宋_GB2312" w:cs="仿宋_GB2312"/>
          <w:color w:val="000000"/>
          <w:spacing w:val="0"/>
          <w:kern w:val="0"/>
          <w:sz w:val="32"/>
          <w:szCs w:val="32"/>
          <w:highlight w:val="none"/>
          <w:lang w:val="en-US" w:eastAsia="zh-CN"/>
        </w:rPr>
      </w:pPr>
      <w:r>
        <w:rPr>
          <w:rFonts w:hint="eastAsia" w:ascii="仿宋_GB2312" w:hAnsi="仿宋_GB2312" w:eastAsia="仿宋_GB2312" w:cs="仿宋_GB2312"/>
          <w:color w:val="000000"/>
          <w:spacing w:val="0"/>
          <w:kern w:val="0"/>
          <w:sz w:val="32"/>
          <w:szCs w:val="32"/>
          <w:highlight w:val="none"/>
          <w:lang w:val="en-US" w:eastAsia="zh-CN"/>
        </w:rPr>
        <w:t>2024年政府性基金收入完成9838万元，为调整预算数的100%，加上上级补助收入、发行地方专项债券、调入资金等收入，政府性基金收入合计191278万元；政府性基金支出完成83519万元，为调整预算数的117.2%，加上债券还本支出、调出资金、上解上级等支出，政府性基金支出合计191278万元。</w:t>
      </w:r>
    </w:p>
    <w:p w14:paraId="2578451E">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bCs/>
          <w:color w:val="0C0C0C"/>
          <w:spacing w:val="0"/>
          <w:kern w:val="0"/>
          <w:sz w:val="32"/>
          <w:szCs w:val="32"/>
          <w:highlight w:val="none"/>
          <w:lang w:val="en-US" w:eastAsia="zh-CN"/>
        </w:rPr>
      </w:pPr>
      <w:r>
        <w:rPr>
          <w:rFonts w:hint="eastAsia" w:ascii="楷体_GB2312" w:hAnsi="楷体_GB2312" w:eastAsia="楷体_GB2312" w:cs="楷体_GB2312"/>
          <w:b/>
          <w:bCs/>
          <w:color w:val="000000"/>
          <w:spacing w:val="0"/>
          <w:kern w:val="0"/>
          <w:sz w:val="32"/>
          <w:szCs w:val="32"/>
          <w:highlight w:val="none"/>
          <w:lang w:val="en-US" w:eastAsia="zh-CN"/>
        </w:rPr>
        <w:t>（三）</w:t>
      </w:r>
      <w:r>
        <w:rPr>
          <w:rFonts w:hint="eastAsia" w:ascii="楷体_GB2312" w:hAnsi="楷体_GB2312" w:eastAsia="楷体_GB2312" w:cs="楷体_GB2312"/>
          <w:b/>
          <w:bCs/>
          <w:color w:val="0C0C0C"/>
          <w:spacing w:val="0"/>
          <w:kern w:val="0"/>
          <w:sz w:val="32"/>
          <w:szCs w:val="32"/>
          <w:highlight w:val="none"/>
          <w:lang w:val="en-US" w:eastAsia="zh-CN"/>
        </w:rPr>
        <w:t>国有资本经营收支决算情况</w:t>
      </w:r>
    </w:p>
    <w:p w14:paraId="5BFD7401">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0" w:firstLineChars="200"/>
        <w:jc w:val="both"/>
        <w:textAlignment w:val="auto"/>
        <w:rPr>
          <w:rFonts w:hint="eastAsia" w:ascii="仿宋_GB2312" w:hAnsi="仿宋_GB2312" w:eastAsia="仿宋_GB2312" w:cs="仿宋_GB2312"/>
          <w:b w:val="0"/>
          <w:bCs/>
          <w:color w:val="000000"/>
          <w:spacing w:val="0"/>
          <w:kern w:val="0"/>
          <w:sz w:val="32"/>
          <w:szCs w:val="32"/>
          <w:highlight w:val="none"/>
          <w:lang w:val="en-US" w:eastAsia="zh-CN"/>
        </w:rPr>
      </w:pPr>
      <w:r>
        <w:rPr>
          <w:rFonts w:hint="eastAsia" w:ascii="仿宋_GB2312" w:hAnsi="仿宋_GB2312" w:eastAsia="仿宋_GB2312" w:cs="仿宋_GB2312"/>
          <w:b w:val="0"/>
          <w:bCs/>
          <w:color w:val="000000"/>
          <w:spacing w:val="0"/>
          <w:kern w:val="0"/>
          <w:sz w:val="32"/>
          <w:szCs w:val="32"/>
          <w:highlight w:val="none"/>
          <w:lang w:val="en-US" w:eastAsia="zh-CN"/>
        </w:rPr>
        <w:t>2024年，</w:t>
      </w:r>
      <w:r>
        <w:rPr>
          <w:rFonts w:hint="eastAsia" w:ascii="仿宋_GB2312" w:hAnsi="仿宋_GB2312" w:eastAsia="仿宋_GB2312" w:cs="仿宋_GB2312"/>
          <w:color w:val="000000"/>
          <w:spacing w:val="0"/>
          <w:kern w:val="0"/>
          <w:sz w:val="32"/>
          <w:szCs w:val="32"/>
          <w:lang w:val="en-US" w:eastAsia="zh-CN"/>
        </w:rPr>
        <w:t>区属三家国有企业仍旧以承接政府性项目为主，缺乏营利性现金流项目，自身“造血”功能相对不足，对区财政收入的贡献度有限。</w:t>
      </w:r>
      <w:r>
        <w:rPr>
          <w:rFonts w:hint="eastAsia" w:ascii="仿宋_GB2312" w:hAnsi="仿宋_GB2312" w:eastAsia="仿宋_GB2312" w:cs="仿宋_GB2312"/>
          <w:b w:val="0"/>
          <w:bCs/>
          <w:color w:val="000000"/>
          <w:spacing w:val="0"/>
          <w:kern w:val="0"/>
          <w:sz w:val="32"/>
          <w:szCs w:val="32"/>
          <w:highlight w:val="none"/>
          <w:lang w:val="en-US" w:eastAsia="zh-CN"/>
        </w:rPr>
        <w:t>国有资本经营决算收入780万元，其中上级补助收入361万元，上年结转419万元；国有资本经营决算支出780万元，其中本年支出780万元。</w:t>
      </w:r>
    </w:p>
    <w:p w14:paraId="57013D13">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bCs/>
          <w:color w:val="000000"/>
          <w:spacing w:val="0"/>
          <w:kern w:val="0"/>
          <w:sz w:val="32"/>
          <w:szCs w:val="32"/>
          <w:highlight w:val="none"/>
          <w:lang w:val="en-US" w:eastAsia="zh-CN"/>
        </w:rPr>
      </w:pPr>
      <w:r>
        <w:rPr>
          <w:rFonts w:hint="eastAsia" w:ascii="楷体_GB2312" w:hAnsi="楷体_GB2312" w:eastAsia="楷体_GB2312" w:cs="楷体_GB2312"/>
          <w:b/>
          <w:bCs/>
          <w:color w:val="000000"/>
          <w:spacing w:val="0"/>
          <w:kern w:val="0"/>
          <w:sz w:val="32"/>
          <w:szCs w:val="32"/>
          <w:highlight w:val="none"/>
          <w:lang w:val="en-US" w:eastAsia="zh-CN"/>
        </w:rPr>
        <w:t>（四）社会保险基金预算收支决算情况</w:t>
      </w:r>
    </w:p>
    <w:p w14:paraId="7A7B015B">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0" w:firstLineChars="200"/>
        <w:jc w:val="both"/>
        <w:textAlignment w:val="auto"/>
        <w:rPr>
          <w:rFonts w:hint="eastAsia" w:ascii="仿宋_GB2312" w:hAnsi="仿宋_GB2312" w:eastAsia="仿宋_GB2312" w:cs="仿宋_GB2312"/>
          <w:color w:val="000000"/>
          <w:spacing w:val="0"/>
          <w:kern w:val="0"/>
          <w:sz w:val="32"/>
          <w:szCs w:val="32"/>
          <w:highlight w:val="none"/>
          <w:lang w:val="en-US" w:eastAsia="zh-CN"/>
        </w:rPr>
      </w:pPr>
      <w:r>
        <w:rPr>
          <w:rFonts w:hint="eastAsia" w:ascii="仿宋_GB2312" w:hAnsi="仿宋_GB2312" w:eastAsia="仿宋_GB2312" w:cs="仿宋_GB2312"/>
          <w:color w:val="000000"/>
          <w:spacing w:val="0"/>
          <w:kern w:val="0"/>
          <w:sz w:val="32"/>
          <w:szCs w:val="32"/>
          <w:highlight w:val="none"/>
          <w:lang w:val="en-US" w:eastAsia="zh-CN"/>
        </w:rPr>
        <w:t>2024年，社会保险基金决算收入26893万元，为年预算收入的126.1%，同比增长47.3%；社会保险基金决算支出20686万元，为年预算支出的127%，同比增长26.5%。</w:t>
      </w:r>
    </w:p>
    <w:p w14:paraId="14488629">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bCs/>
          <w:color w:val="000000"/>
          <w:spacing w:val="0"/>
          <w:kern w:val="0"/>
          <w:sz w:val="32"/>
          <w:szCs w:val="32"/>
          <w:highlight w:val="none"/>
          <w:lang w:val="en-US" w:eastAsia="zh-CN"/>
        </w:rPr>
      </w:pPr>
      <w:r>
        <w:rPr>
          <w:rFonts w:hint="eastAsia" w:ascii="楷体_GB2312" w:hAnsi="楷体_GB2312" w:eastAsia="楷体_GB2312" w:cs="楷体_GB2312"/>
          <w:b/>
          <w:bCs/>
          <w:color w:val="000000"/>
          <w:spacing w:val="0"/>
          <w:kern w:val="0"/>
          <w:sz w:val="32"/>
          <w:szCs w:val="32"/>
          <w:highlight w:val="none"/>
          <w:lang w:val="en-US" w:eastAsia="zh-CN"/>
        </w:rPr>
        <w:t>（五）地方政府债券使用情况</w:t>
      </w:r>
    </w:p>
    <w:p w14:paraId="00F1E00F">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0" w:firstLineChars="200"/>
        <w:jc w:val="both"/>
        <w:textAlignment w:val="auto"/>
        <w:rPr>
          <w:rFonts w:hint="eastAsia" w:ascii="仿宋_GB2312" w:hAnsi="仿宋_GB2312" w:eastAsia="仿宋_GB2312" w:cs="仿宋_GB2312"/>
          <w:color w:val="000000"/>
          <w:spacing w:val="0"/>
          <w:kern w:val="0"/>
          <w:sz w:val="32"/>
          <w:szCs w:val="32"/>
          <w:highlight w:val="none"/>
        </w:rPr>
      </w:pPr>
      <w:r>
        <w:rPr>
          <w:rFonts w:hint="eastAsia" w:ascii="仿宋_GB2312" w:hAnsi="仿宋_GB2312" w:eastAsia="仿宋_GB2312" w:cs="仿宋_GB2312"/>
          <w:color w:val="000000"/>
          <w:spacing w:val="0"/>
          <w:kern w:val="0"/>
          <w:sz w:val="32"/>
          <w:szCs w:val="32"/>
          <w:highlight w:val="none"/>
        </w:rPr>
        <w:t>2024年发行地方新增政府债务104600万元，其中：一般债务4100万元，专项债务100500万元。地方政府一般债务资金分别用于中心城区雨水支管网新建工程、四条市政道路雨水管网提标改造工程、城市道路排水设施改造工程、城区内涝治理能力提升项目；专项债务资金分别用于高标准农田示范区建设项目、红二十五军长征穿越平汉铁路文化展示带项目、棚户区改造项目、国家农业科技园核心区建设项目、中心城区老旧小区改造项目、停车场建设项目、鸡公山大街</w:t>
      </w:r>
      <w:r>
        <w:rPr>
          <w:rFonts w:hint="eastAsia" w:ascii="仿宋_GB2312" w:hAnsi="仿宋_GB2312" w:eastAsia="仿宋_GB2312" w:cs="仿宋_GB2312"/>
          <w:color w:val="000000"/>
          <w:spacing w:val="0"/>
          <w:kern w:val="0"/>
          <w:sz w:val="32"/>
          <w:szCs w:val="32"/>
          <w:highlight w:val="none"/>
          <w:lang w:eastAsia="zh-CN"/>
        </w:rPr>
        <w:t>（</w:t>
      </w:r>
      <w:r>
        <w:rPr>
          <w:rFonts w:hint="eastAsia" w:ascii="仿宋_GB2312" w:hAnsi="仿宋_GB2312" w:eastAsia="仿宋_GB2312" w:cs="仿宋_GB2312"/>
          <w:color w:val="000000"/>
          <w:spacing w:val="0"/>
          <w:kern w:val="0"/>
          <w:sz w:val="32"/>
          <w:szCs w:val="32"/>
          <w:highlight w:val="none"/>
        </w:rPr>
        <w:t>宝石桥至市监狱戒毒所南侧</w:t>
      </w:r>
      <w:r>
        <w:rPr>
          <w:rFonts w:hint="eastAsia" w:ascii="仿宋_GB2312" w:hAnsi="仿宋_GB2312" w:eastAsia="仿宋_GB2312" w:cs="仿宋_GB2312"/>
          <w:color w:val="000000"/>
          <w:spacing w:val="0"/>
          <w:kern w:val="0"/>
          <w:sz w:val="32"/>
          <w:szCs w:val="32"/>
          <w:highlight w:val="none"/>
          <w:lang w:eastAsia="zh-CN"/>
        </w:rPr>
        <w:t>）</w:t>
      </w:r>
      <w:r>
        <w:rPr>
          <w:rFonts w:hint="eastAsia" w:ascii="仿宋_GB2312" w:hAnsi="仿宋_GB2312" w:eastAsia="仿宋_GB2312" w:cs="仿宋_GB2312"/>
          <w:color w:val="000000"/>
          <w:spacing w:val="0"/>
          <w:kern w:val="0"/>
          <w:sz w:val="32"/>
          <w:szCs w:val="32"/>
          <w:highlight w:val="none"/>
        </w:rPr>
        <w:t>管线入地建设项目、中心城区供水管网改造工程、农村公益性公墓建设项目、停车场及配套设施建设项目、城乡交通一体化、社区居家养老服务网络建设项目、李家寨镇两所幼儿园建设项目、化债项目、置换隐债项目。</w:t>
      </w:r>
    </w:p>
    <w:p w14:paraId="26855A15">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楷体_GB2312" w:hAnsi="楷体_GB2312" w:eastAsia="楷体_GB2312" w:cs="楷体_GB2312"/>
          <w:b/>
          <w:bCs/>
          <w:color w:val="000000"/>
          <w:spacing w:val="0"/>
          <w:kern w:val="0"/>
          <w:sz w:val="32"/>
          <w:szCs w:val="32"/>
          <w:highlight w:val="none"/>
          <w:lang w:val="en-US" w:eastAsia="zh-CN"/>
        </w:rPr>
      </w:pPr>
      <w:r>
        <w:rPr>
          <w:rFonts w:hint="eastAsia" w:ascii="楷体_GB2312" w:hAnsi="楷体_GB2312" w:eastAsia="楷体_GB2312" w:cs="楷体_GB2312"/>
          <w:b/>
          <w:bCs/>
          <w:color w:val="000000"/>
          <w:spacing w:val="0"/>
          <w:kern w:val="0"/>
          <w:sz w:val="32"/>
          <w:szCs w:val="32"/>
          <w:highlight w:val="none"/>
          <w:lang w:val="en-US" w:eastAsia="zh-CN"/>
        </w:rPr>
        <w:t>（六）地方政府债务情况</w:t>
      </w:r>
    </w:p>
    <w:p w14:paraId="2CF7F78C">
      <w:pPr>
        <w:keepNext w:val="0"/>
        <w:keepLines w:val="0"/>
        <w:pageBreakBefore w:val="0"/>
        <w:widowControl w:val="0"/>
        <w:kinsoku/>
        <w:wordWrap/>
        <w:overflowPunct/>
        <w:topLinePunct w:val="0"/>
        <w:autoSpaceDE/>
        <w:bidi w:val="0"/>
        <w:adjustRightInd/>
        <w:snapToGrid w:val="0"/>
        <w:spacing w:line="620" w:lineRule="exact"/>
        <w:ind w:left="0" w:right="0" w:rightChars="0" w:firstLine="640" w:firstLineChars="200"/>
        <w:jc w:val="both"/>
        <w:rPr>
          <w:rFonts w:hint="eastAsia" w:ascii="仿宋_GB2312" w:hAnsi="仿宋_GB2312" w:eastAsia="仿宋_GB2312" w:cs="仿宋_GB2312"/>
          <w:color w:val="000000"/>
          <w:spacing w:val="0"/>
          <w:kern w:val="0"/>
          <w:sz w:val="32"/>
          <w:szCs w:val="32"/>
          <w:highlight w:val="yellow"/>
        </w:rPr>
      </w:pPr>
      <w:r>
        <w:rPr>
          <w:rFonts w:hint="eastAsia" w:ascii="仿宋_GB2312" w:hAnsi="仿宋_GB2312" w:eastAsia="仿宋_GB2312" w:cs="仿宋_GB2312"/>
          <w:color w:val="000000"/>
          <w:spacing w:val="0"/>
          <w:kern w:val="0"/>
          <w:sz w:val="32"/>
          <w:szCs w:val="32"/>
          <w:highlight w:val="none"/>
        </w:rPr>
        <w:t>按照预算法规定，国家对地方政府债务实行限额管理。</w:t>
      </w:r>
      <w:r>
        <w:rPr>
          <w:rFonts w:hint="eastAsia" w:ascii="仿宋_GB2312" w:hAnsi="仿宋_GB2312" w:eastAsia="仿宋_GB2312" w:cs="仿宋_GB2312"/>
          <w:color w:val="000000"/>
          <w:spacing w:val="0"/>
          <w:kern w:val="0"/>
          <w:sz w:val="32"/>
          <w:szCs w:val="32"/>
          <w:highlight w:val="none"/>
          <w:lang w:val="en-US" w:eastAsia="zh-CN"/>
        </w:rPr>
        <w:t>根据</w:t>
      </w:r>
      <w:r>
        <w:rPr>
          <w:rFonts w:hint="eastAsia" w:ascii="仿宋_GB2312" w:hAnsi="仿宋_GB2312" w:eastAsia="仿宋_GB2312" w:cs="仿宋_GB2312"/>
          <w:color w:val="000000"/>
          <w:spacing w:val="0"/>
          <w:kern w:val="0"/>
          <w:sz w:val="32"/>
          <w:szCs w:val="32"/>
          <w:highlight w:val="none"/>
        </w:rPr>
        <w:t>上级财政部门核定</w:t>
      </w:r>
      <w:r>
        <w:rPr>
          <w:rFonts w:hint="eastAsia" w:ascii="仿宋_GB2312" w:hAnsi="仿宋_GB2312" w:eastAsia="仿宋_GB2312" w:cs="仿宋_GB2312"/>
          <w:color w:val="000000"/>
          <w:spacing w:val="0"/>
          <w:kern w:val="0"/>
          <w:sz w:val="32"/>
          <w:szCs w:val="32"/>
          <w:highlight w:val="none"/>
          <w:lang w:eastAsia="zh-CN"/>
        </w:rPr>
        <w:t>，</w:t>
      </w:r>
      <w:r>
        <w:rPr>
          <w:rFonts w:hint="eastAsia" w:ascii="仿宋_GB2312" w:hAnsi="仿宋_GB2312" w:eastAsia="仿宋_GB2312" w:cs="仿宋_GB2312"/>
          <w:color w:val="000000"/>
          <w:spacing w:val="0"/>
          <w:kern w:val="0"/>
          <w:sz w:val="32"/>
          <w:szCs w:val="32"/>
          <w:highlight w:val="none"/>
        </w:rPr>
        <w:t>我区2024年政府债务限额</w:t>
      </w:r>
      <w:r>
        <w:rPr>
          <w:rFonts w:hint="eastAsia" w:ascii="仿宋_GB2312" w:hAnsi="仿宋_GB2312" w:eastAsia="仿宋_GB2312" w:cs="仿宋_GB2312"/>
          <w:color w:val="000000"/>
          <w:spacing w:val="0"/>
          <w:kern w:val="0"/>
          <w:sz w:val="32"/>
          <w:szCs w:val="32"/>
          <w:highlight w:val="none"/>
          <w:lang w:val="en-US" w:eastAsia="zh-CN"/>
        </w:rPr>
        <w:t>754506</w:t>
      </w:r>
      <w:r>
        <w:rPr>
          <w:rFonts w:hint="eastAsia" w:ascii="仿宋_GB2312" w:hAnsi="仿宋_GB2312" w:eastAsia="仿宋_GB2312" w:cs="仿宋_GB2312"/>
          <w:color w:val="000000"/>
          <w:spacing w:val="0"/>
          <w:kern w:val="0"/>
          <w:sz w:val="32"/>
          <w:szCs w:val="32"/>
          <w:highlight w:val="none"/>
        </w:rPr>
        <w:t>万元，其中：一般债务</w:t>
      </w:r>
      <w:r>
        <w:rPr>
          <w:rFonts w:hint="eastAsia" w:ascii="仿宋_GB2312" w:hAnsi="仿宋_GB2312" w:eastAsia="仿宋_GB2312" w:cs="仿宋_GB2312"/>
          <w:color w:val="000000"/>
          <w:spacing w:val="0"/>
          <w:kern w:val="0"/>
          <w:sz w:val="32"/>
          <w:szCs w:val="32"/>
          <w:highlight w:val="none"/>
          <w:lang w:val="en-US" w:eastAsia="zh-CN"/>
        </w:rPr>
        <w:t>97423</w:t>
      </w:r>
      <w:r>
        <w:rPr>
          <w:rFonts w:hint="eastAsia" w:ascii="仿宋_GB2312" w:hAnsi="仿宋_GB2312" w:eastAsia="仿宋_GB2312" w:cs="仿宋_GB2312"/>
          <w:color w:val="000000"/>
          <w:spacing w:val="0"/>
          <w:kern w:val="0"/>
          <w:sz w:val="32"/>
          <w:szCs w:val="32"/>
          <w:highlight w:val="none"/>
        </w:rPr>
        <w:t>万元，专项债务</w:t>
      </w:r>
      <w:r>
        <w:rPr>
          <w:rFonts w:hint="eastAsia" w:ascii="仿宋_GB2312" w:hAnsi="仿宋_GB2312" w:eastAsia="仿宋_GB2312" w:cs="仿宋_GB2312"/>
          <w:color w:val="000000"/>
          <w:spacing w:val="0"/>
          <w:kern w:val="0"/>
          <w:sz w:val="32"/>
          <w:szCs w:val="32"/>
          <w:highlight w:val="none"/>
          <w:lang w:val="en-US" w:eastAsia="zh-CN"/>
        </w:rPr>
        <w:t>657083</w:t>
      </w:r>
      <w:r>
        <w:rPr>
          <w:rFonts w:hint="eastAsia" w:ascii="仿宋_GB2312" w:hAnsi="仿宋_GB2312" w:eastAsia="仿宋_GB2312" w:cs="仿宋_GB2312"/>
          <w:color w:val="000000"/>
          <w:spacing w:val="0"/>
          <w:kern w:val="0"/>
          <w:sz w:val="32"/>
          <w:szCs w:val="32"/>
          <w:highlight w:val="none"/>
        </w:rPr>
        <w:t>万元。</w:t>
      </w:r>
      <w:r>
        <w:rPr>
          <w:rFonts w:hint="eastAsia" w:ascii="仿宋_GB2312" w:hAnsi="仿宋_GB2312" w:eastAsia="仿宋_GB2312" w:cs="仿宋_GB2312"/>
          <w:color w:val="000000"/>
          <w:spacing w:val="0"/>
          <w:kern w:val="0"/>
          <w:sz w:val="32"/>
          <w:szCs w:val="32"/>
          <w:highlight w:val="none"/>
          <w:lang w:eastAsia="zh-CN"/>
        </w:rPr>
        <w:t>截至</w:t>
      </w:r>
      <w:r>
        <w:rPr>
          <w:rFonts w:hint="eastAsia" w:ascii="仿宋_GB2312" w:hAnsi="仿宋_GB2312" w:eastAsia="仿宋_GB2312" w:cs="仿宋_GB2312"/>
          <w:color w:val="000000"/>
          <w:spacing w:val="0"/>
          <w:kern w:val="0"/>
          <w:sz w:val="32"/>
          <w:szCs w:val="32"/>
          <w:highlight w:val="none"/>
        </w:rPr>
        <w:t>2024年底，我区地方政府债务余额746730万元，均为地方政府债券，其中：一般债务余额95823万元，专项债务余额65090</w:t>
      </w:r>
      <w:r>
        <w:rPr>
          <w:rFonts w:hint="eastAsia" w:ascii="仿宋_GB2312" w:hAnsi="仿宋_GB2312" w:eastAsia="仿宋_GB2312" w:cs="仿宋_GB2312"/>
          <w:color w:val="000000"/>
          <w:spacing w:val="0"/>
          <w:kern w:val="0"/>
          <w:sz w:val="32"/>
          <w:szCs w:val="32"/>
          <w:highlight w:val="none"/>
          <w:lang w:val="en-US" w:eastAsia="zh-CN"/>
        </w:rPr>
        <w:t>7</w:t>
      </w:r>
      <w:r>
        <w:rPr>
          <w:rFonts w:hint="eastAsia" w:ascii="仿宋_GB2312" w:hAnsi="仿宋_GB2312" w:eastAsia="仿宋_GB2312" w:cs="仿宋_GB2312"/>
          <w:color w:val="000000"/>
          <w:spacing w:val="0"/>
          <w:kern w:val="0"/>
          <w:sz w:val="32"/>
          <w:szCs w:val="32"/>
          <w:highlight w:val="none"/>
        </w:rPr>
        <w:t>万元。202</w:t>
      </w:r>
      <w:r>
        <w:rPr>
          <w:rFonts w:hint="eastAsia" w:ascii="仿宋_GB2312" w:hAnsi="仿宋_GB2312" w:eastAsia="仿宋_GB2312" w:cs="仿宋_GB2312"/>
          <w:color w:val="000000"/>
          <w:spacing w:val="0"/>
          <w:kern w:val="0"/>
          <w:sz w:val="32"/>
          <w:szCs w:val="32"/>
          <w:highlight w:val="none"/>
          <w:lang w:val="en-US" w:eastAsia="zh-CN"/>
        </w:rPr>
        <w:t>4</w:t>
      </w:r>
      <w:r>
        <w:rPr>
          <w:rFonts w:hint="eastAsia" w:ascii="仿宋_GB2312" w:hAnsi="仿宋_GB2312" w:eastAsia="仿宋_GB2312" w:cs="仿宋_GB2312"/>
          <w:color w:val="000000"/>
          <w:spacing w:val="0"/>
          <w:kern w:val="0"/>
          <w:sz w:val="32"/>
          <w:szCs w:val="32"/>
          <w:highlight w:val="none"/>
        </w:rPr>
        <w:t>年，发行地方政府债券</w:t>
      </w:r>
      <w:r>
        <w:rPr>
          <w:rFonts w:hint="eastAsia" w:ascii="仿宋_GB2312" w:hAnsi="仿宋_GB2312" w:eastAsia="仿宋_GB2312" w:cs="仿宋_GB2312"/>
          <w:color w:val="000000"/>
          <w:spacing w:val="0"/>
          <w:kern w:val="0"/>
          <w:sz w:val="32"/>
          <w:szCs w:val="32"/>
          <w:highlight w:val="none"/>
          <w:lang w:val="en-US" w:eastAsia="zh-CN"/>
        </w:rPr>
        <w:t>104600</w:t>
      </w:r>
      <w:r>
        <w:rPr>
          <w:rFonts w:hint="eastAsia" w:ascii="仿宋_GB2312" w:hAnsi="仿宋_GB2312" w:eastAsia="仿宋_GB2312" w:cs="仿宋_GB2312"/>
          <w:color w:val="000000"/>
          <w:spacing w:val="0"/>
          <w:kern w:val="0"/>
          <w:sz w:val="32"/>
          <w:szCs w:val="32"/>
          <w:highlight w:val="none"/>
        </w:rPr>
        <w:t>万元，</w:t>
      </w:r>
      <w:r>
        <w:rPr>
          <w:rFonts w:hint="eastAsia" w:ascii="仿宋_GB2312" w:hAnsi="仿宋_GB2312" w:eastAsia="仿宋_GB2312" w:cs="仿宋_GB2312"/>
          <w:color w:val="000000"/>
          <w:spacing w:val="-6"/>
          <w:kern w:val="0"/>
          <w:sz w:val="32"/>
          <w:szCs w:val="32"/>
          <w:highlight w:val="none"/>
        </w:rPr>
        <w:t>偿还到期债券本金</w:t>
      </w:r>
      <w:r>
        <w:rPr>
          <w:rFonts w:hint="eastAsia" w:ascii="仿宋_GB2312" w:hAnsi="仿宋_GB2312" w:eastAsia="仿宋_GB2312" w:cs="仿宋_GB2312"/>
          <w:color w:val="000000"/>
          <w:spacing w:val="-6"/>
          <w:kern w:val="0"/>
          <w:sz w:val="32"/>
          <w:szCs w:val="32"/>
          <w:highlight w:val="none"/>
          <w:lang w:val="en-US" w:eastAsia="zh-CN"/>
        </w:rPr>
        <w:t>19068</w:t>
      </w:r>
      <w:r>
        <w:rPr>
          <w:rFonts w:hint="eastAsia" w:ascii="仿宋_GB2312" w:hAnsi="仿宋_GB2312" w:eastAsia="仿宋_GB2312" w:cs="仿宋_GB2312"/>
          <w:color w:val="000000"/>
          <w:spacing w:val="-6"/>
          <w:kern w:val="0"/>
          <w:sz w:val="32"/>
          <w:szCs w:val="32"/>
          <w:highlight w:val="none"/>
        </w:rPr>
        <w:t>万元，区地方政府债务余额均不超过上级财政部门规定的政府债务限额，政府债务风险总体可控</w:t>
      </w:r>
      <w:r>
        <w:rPr>
          <w:rFonts w:hint="eastAsia" w:ascii="仿宋_GB2312" w:hAnsi="仿宋_GB2312" w:eastAsia="仿宋_GB2312" w:cs="仿宋_GB2312"/>
          <w:color w:val="000000"/>
          <w:spacing w:val="0"/>
          <w:kern w:val="0"/>
          <w:sz w:val="32"/>
          <w:szCs w:val="32"/>
          <w:highlight w:val="none"/>
        </w:rPr>
        <w:t>。</w:t>
      </w:r>
    </w:p>
    <w:p w14:paraId="257710E5">
      <w:pPr>
        <w:keepNext w:val="0"/>
        <w:keepLines w:val="0"/>
        <w:pageBreakBefore w:val="0"/>
        <w:widowControl w:val="0"/>
        <w:kinsoku/>
        <w:wordWrap/>
        <w:overflowPunct/>
        <w:topLinePunct w:val="0"/>
        <w:autoSpaceDE/>
        <w:bidi w:val="0"/>
        <w:adjustRightInd/>
        <w:snapToGrid w:val="0"/>
        <w:spacing w:line="620" w:lineRule="exact"/>
        <w:ind w:left="0" w:right="0" w:rightChars="0" w:firstLine="640" w:firstLineChars="200"/>
        <w:jc w:val="both"/>
        <w:rPr>
          <w:rFonts w:hint="eastAsia" w:ascii="黑体" w:hAnsi="黑体" w:eastAsia="黑体" w:cs="黑体"/>
          <w:b w:val="0"/>
          <w:bCs/>
          <w:color w:val="000000"/>
          <w:spacing w:val="0"/>
          <w:sz w:val="32"/>
          <w:szCs w:val="32"/>
        </w:rPr>
      </w:pPr>
      <w:r>
        <w:rPr>
          <w:rFonts w:hint="eastAsia" w:ascii="黑体" w:hAnsi="黑体" w:eastAsia="黑体" w:cs="黑体"/>
          <w:b w:val="0"/>
          <w:bCs/>
          <w:color w:val="000000"/>
          <w:spacing w:val="0"/>
          <w:sz w:val="32"/>
          <w:szCs w:val="32"/>
          <w:lang w:val="en-US" w:eastAsia="zh-CN"/>
        </w:rPr>
        <w:t>二、</w:t>
      </w:r>
      <w:r>
        <w:rPr>
          <w:rFonts w:hint="eastAsia" w:ascii="黑体" w:hAnsi="黑体" w:eastAsia="黑体" w:cs="黑体"/>
          <w:b w:val="0"/>
          <w:bCs/>
          <w:color w:val="000000"/>
          <w:spacing w:val="0"/>
          <w:sz w:val="32"/>
          <w:szCs w:val="32"/>
        </w:rPr>
        <w:t>202</w:t>
      </w:r>
      <w:r>
        <w:rPr>
          <w:rFonts w:hint="eastAsia" w:ascii="黑体" w:hAnsi="黑体" w:eastAsia="黑体" w:cs="黑体"/>
          <w:b w:val="0"/>
          <w:bCs/>
          <w:color w:val="000000"/>
          <w:spacing w:val="0"/>
          <w:sz w:val="32"/>
          <w:szCs w:val="32"/>
          <w:lang w:val="en-US" w:eastAsia="zh-CN"/>
        </w:rPr>
        <w:t>4</w:t>
      </w:r>
      <w:r>
        <w:rPr>
          <w:rFonts w:hint="eastAsia" w:ascii="黑体" w:hAnsi="黑体" w:eastAsia="黑体" w:cs="黑体"/>
          <w:b w:val="0"/>
          <w:bCs/>
          <w:color w:val="000000"/>
          <w:spacing w:val="0"/>
          <w:sz w:val="32"/>
          <w:szCs w:val="32"/>
        </w:rPr>
        <w:t>年重点财政工作情况</w:t>
      </w:r>
    </w:p>
    <w:p w14:paraId="068FE53D">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0" w:firstLineChars="200"/>
        <w:jc w:val="both"/>
        <w:textAlignment w:val="auto"/>
        <w:rPr>
          <w:rFonts w:hint="eastAsia" w:ascii="仿宋_GB2312" w:hAnsi="仿宋_GB2312" w:eastAsia="仿宋_GB2312" w:cs="仿宋_GB2312"/>
          <w:color w:val="000000"/>
          <w:spacing w:val="0"/>
          <w:kern w:val="32"/>
          <w:sz w:val="32"/>
          <w:szCs w:val="32"/>
          <w:highlight w:val="none"/>
          <w:lang w:val="en-US" w:eastAsia="zh-CN"/>
        </w:rPr>
      </w:pPr>
      <w:r>
        <w:rPr>
          <w:rFonts w:hint="eastAsia" w:ascii="仿宋_GB2312" w:hAnsi="仿宋_GB2312" w:eastAsia="仿宋_GB2312" w:cs="仿宋_GB2312"/>
          <w:color w:val="000000"/>
          <w:spacing w:val="0"/>
          <w:kern w:val="32"/>
          <w:sz w:val="32"/>
          <w:szCs w:val="32"/>
          <w:highlight w:val="none"/>
          <w:lang w:val="en-US" w:eastAsia="zh-CN"/>
        </w:rPr>
        <w:t>2024年是实现“十四五”规划目标任务的关键一年，在区委的正确领导下，区财政工作始终坚持以习近平新时代中国特色社会主义思想为指导，以“增收、节支、防风险”为主线，以增强财政保障能力为中心，以稳中求进工作总基调，知重负重、攻坚克难、顶压前行，有效克服趋紧经济形势带来的负面影响，有力保障全区重大战略、重大任务、基层“三保”和基本民生等重点领域支出，较好完成各项目标任务，以扎实稳健的财政工作助力全区经济平稳健康发展。</w:t>
      </w:r>
    </w:p>
    <w:p w14:paraId="5ACA37DC">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（一）压实财税收入，夯实民生资金保障</w:t>
      </w:r>
    </w:p>
    <w:p w14:paraId="7240F271">
      <w:pPr>
        <w:keepNext w:val="0"/>
        <w:keepLines w:val="0"/>
        <w:pageBreakBefore w:val="0"/>
        <w:widowControl w:val="0"/>
        <w:numPr>
          <w:ilvl w:val="0"/>
          <w:numId w:val="0"/>
        </w:numPr>
        <w:kinsoku/>
        <w:wordWrap/>
        <w:overflowPunct/>
        <w:topLinePunct w:val="0"/>
        <w:autoSpaceDE/>
        <w:autoSpaceDN/>
        <w:bidi w:val="0"/>
        <w:adjustRightInd w:val="0"/>
        <w:snapToGrid w:val="0"/>
        <w:spacing w:line="620" w:lineRule="exact"/>
        <w:ind w:left="0" w:right="0" w:rightChars="0" w:firstLine="643" w:firstLineChars="200"/>
        <w:jc w:val="both"/>
        <w:textAlignment w:val="baseline"/>
        <w:rPr>
          <w:rFonts w:hint="eastAsia" w:ascii="仿宋_GB2312" w:hAnsi="仿宋_GB2312" w:eastAsia="仿宋_GB2312" w:cs="仿宋_GB2312"/>
          <w:b w:val="0"/>
          <w:bCs w:val="0"/>
          <w:color w:val="000000"/>
          <w:spacing w:val="0"/>
          <w:kern w:val="0"/>
          <w:sz w:val="32"/>
          <w:szCs w:val="32"/>
          <w:highlight w:val="none"/>
          <w:lang w:val="en-US" w:eastAsia="zh-CN"/>
        </w:rPr>
      </w:pPr>
      <w:r>
        <w:rPr>
          <w:rFonts w:hint="eastAsia" w:ascii="仿宋_GB2312" w:hAnsi="仿宋_GB2312" w:eastAsia="仿宋_GB2312" w:cs="仿宋_GB2312"/>
          <w:b/>
          <w:bCs/>
          <w:color w:val="000000"/>
          <w:spacing w:val="0"/>
          <w:kern w:val="0"/>
          <w:sz w:val="32"/>
          <w:szCs w:val="32"/>
          <w:highlight w:val="none"/>
          <w:u w:val="none"/>
          <w:lang w:val="en-US" w:eastAsia="zh-CN"/>
        </w:rPr>
        <w:t>一是</w:t>
      </w:r>
      <w:r>
        <w:rPr>
          <w:rFonts w:hint="eastAsia" w:ascii="仿宋_GB2312" w:hAnsi="仿宋_GB2312" w:eastAsia="仿宋_GB2312" w:cs="仿宋_GB2312"/>
          <w:color w:val="000000"/>
          <w:kern w:val="2"/>
          <w:sz w:val="32"/>
          <w:szCs w:val="32"/>
          <w:highlight w:val="none"/>
          <w:lang w:val="en-US" w:eastAsia="zh-CN" w:bidi="ar-SA"/>
        </w:rPr>
        <w:t>扎实做好财税工作，落实积极财政政策，培育涵养可持续税源。充分发挥财税联动，强化税收征管，确保“颗粒归仓”。</w:t>
      </w:r>
      <w:r>
        <w:rPr>
          <w:rFonts w:hint="eastAsia" w:ascii="仿宋_GB2312" w:hAnsi="仿宋_GB2312" w:eastAsia="仿宋_GB2312" w:cs="仿宋_GB2312"/>
          <w:b w:val="0"/>
          <w:bCs w:val="0"/>
          <w:color w:val="000000"/>
          <w:kern w:val="0"/>
          <w:sz w:val="32"/>
          <w:szCs w:val="32"/>
          <w:highlight w:val="none"/>
          <w:u w:val="none"/>
          <w:lang w:val="en-US" w:eastAsia="zh-CN" w:bidi="ar-SA"/>
        </w:rPr>
        <w:t>2024年</w:t>
      </w:r>
      <w:r>
        <w:rPr>
          <w:rFonts w:hint="eastAsia" w:ascii="仿宋_GB2312" w:hAnsi="仿宋_GB2312" w:eastAsia="仿宋_GB2312" w:cs="仿宋_GB2312"/>
          <w:bCs/>
          <w:color w:val="000000"/>
          <w:kern w:val="0"/>
          <w:sz w:val="32"/>
          <w:szCs w:val="32"/>
          <w:highlight w:val="none"/>
          <w:u w:val="none"/>
          <w:lang w:val="en-US" w:eastAsia="zh-CN" w:bidi="ar-SA"/>
        </w:rPr>
        <w:t>，全区一般公</w:t>
      </w:r>
      <w:r>
        <w:rPr>
          <w:rFonts w:hint="eastAsia" w:ascii="仿宋_GB2312" w:hAnsi="仿宋_GB2312" w:eastAsia="仿宋_GB2312" w:cs="仿宋_GB2312"/>
          <w:bCs/>
          <w:color w:val="000000"/>
          <w:kern w:val="0"/>
          <w:sz w:val="32"/>
          <w:szCs w:val="32"/>
          <w:highlight w:val="none"/>
          <w:lang w:val="en-US" w:eastAsia="zh-CN" w:bidi="ar-SA"/>
        </w:rPr>
        <w:t>共预算收入累计完成12.7亿元，同比下降4.7%；全区地方级税收收入完成10.3亿元，同比下降4.9%，税收</w:t>
      </w:r>
      <w:r>
        <w:rPr>
          <w:rFonts w:hint="eastAsia" w:ascii="仿宋_GB2312" w:hAnsi="仿宋_GB2312" w:eastAsia="仿宋_GB2312" w:cs="仿宋_GB2312"/>
          <w:b w:val="0"/>
          <w:bCs w:val="0"/>
          <w:color w:val="000000"/>
          <w:sz w:val="32"/>
          <w:szCs w:val="32"/>
          <w:highlight w:val="none"/>
          <w:lang w:val="en-US" w:eastAsia="zh-CN"/>
        </w:rPr>
        <w:t>占一般公共预算收入的比重达81.2%；全区非税收入完成2.3亿元</w:t>
      </w:r>
      <w:r>
        <w:rPr>
          <w:rFonts w:hint="eastAsia" w:ascii="仿宋_GB2312" w:hAnsi="仿宋_GB2312" w:eastAsia="仿宋_GB2312" w:cs="仿宋_GB2312"/>
          <w:bCs/>
          <w:color w:val="000000"/>
          <w:kern w:val="0"/>
          <w:sz w:val="32"/>
          <w:szCs w:val="32"/>
          <w:highlight w:val="none"/>
          <w:lang w:val="en-US" w:eastAsia="zh-CN" w:bidi="ar-SA"/>
        </w:rPr>
        <w:t>，同比增长16.7%。二</w:t>
      </w:r>
      <w:r>
        <w:rPr>
          <w:rFonts w:hint="eastAsia" w:ascii="仿宋_GB2312" w:hAnsi="仿宋_GB2312" w:eastAsia="仿宋_GB2312" w:cs="仿宋_GB2312"/>
          <w:b/>
          <w:bCs w:val="0"/>
          <w:color w:val="000000"/>
          <w:kern w:val="0"/>
          <w:sz w:val="32"/>
          <w:szCs w:val="32"/>
          <w:highlight w:val="none"/>
          <w:lang w:val="en-US" w:eastAsia="zh-CN" w:bidi="ar-SA"/>
        </w:rPr>
        <w:t>是</w:t>
      </w:r>
      <w:r>
        <w:rPr>
          <w:rFonts w:hint="eastAsia" w:ascii="仿宋_GB2312" w:hAnsi="仿宋_GB2312" w:eastAsia="仿宋_GB2312" w:cs="仿宋_GB2312"/>
          <w:b w:val="0"/>
          <w:bCs w:val="0"/>
          <w:color w:val="000000"/>
          <w:sz w:val="32"/>
          <w:szCs w:val="32"/>
          <w:highlight w:val="none"/>
          <w:lang w:val="en-US" w:eastAsia="zh-CN"/>
        </w:rPr>
        <w:t>坚持以加强民生保障、增进民生福祉为原则，科学统筹财力，持续加大民生领域资金投入。2024年全区一般公共预算支出完成41亿元，同比增长10.2%，其中民生支出完成31.2亿元，同比增长4.1%，占一般公共财政预算支出比重达76%（卫生支出4.17亿元，同比增长71.8%；教育支出8.27亿元，同比增长28.5%；城乡社区支出4.34亿元，同比增长9.2%；农林水支出4.69亿元，同比增长3%；社会保障支出5.98亿元，同比增长0.7%）。</w:t>
      </w:r>
    </w:p>
    <w:p w14:paraId="7E3F94A2">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（二）扛稳政治责任，兜牢“三保”稳运行</w:t>
      </w:r>
    </w:p>
    <w:p w14:paraId="423E2B94">
      <w:pPr>
        <w:keepNext w:val="0"/>
        <w:keepLines w:val="0"/>
        <w:pageBreakBefore w:val="0"/>
        <w:widowControl w:val="0"/>
        <w:kinsoku/>
        <w:wordWrap/>
        <w:overflowPunct/>
        <w:topLinePunct w:val="0"/>
        <w:autoSpaceDE/>
        <w:autoSpaceDN/>
        <w:bidi w:val="0"/>
        <w:adjustRightInd w:val="0"/>
        <w:snapToGrid w:val="0"/>
        <w:spacing w:line="620" w:lineRule="exact"/>
        <w:ind w:left="0" w:right="0" w:rightChars="0" w:firstLine="640" w:firstLineChars="200"/>
        <w:jc w:val="both"/>
        <w:textAlignment w:val="auto"/>
        <w:rPr>
          <w:rFonts w:hint="eastAsia" w:ascii="仿宋_GB2312" w:hAnsi="仿宋_GB2312" w:eastAsia="仿宋_GB2312" w:cs="仿宋_GB2312"/>
          <w:color w:val="000000"/>
          <w:sz w:val="32"/>
          <w:szCs w:val="32"/>
          <w:highlight w:val="none"/>
          <w:u w:val="single"/>
          <w:lang w:val="en-US" w:eastAsia="zh-CN"/>
        </w:rPr>
      </w:pPr>
      <w:r>
        <w:rPr>
          <w:rFonts w:hint="eastAsia" w:ascii="仿宋_GB2312" w:hAnsi="仿宋_GB2312" w:eastAsia="仿宋_GB2312" w:cs="仿宋_GB2312"/>
          <w:color w:val="000000"/>
          <w:spacing w:val="0"/>
          <w:sz w:val="32"/>
          <w:szCs w:val="32"/>
          <w:lang w:val="en-US" w:eastAsia="zh-CN"/>
        </w:rPr>
        <w:t>始终将兜牢“三保”作为首要任务、重中之重抓实抓牢。</w:t>
      </w:r>
      <w:r>
        <w:rPr>
          <w:rFonts w:hint="eastAsia" w:ascii="仿宋_GB2312" w:hAnsi="仿宋_GB2312" w:eastAsia="仿宋_GB2312" w:cs="仿宋_GB2312"/>
          <w:b/>
          <w:bCs/>
          <w:color w:val="000000"/>
          <w:spacing w:val="0"/>
          <w:sz w:val="32"/>
          <w:szCs w:val="32"/>
          <w:lang w:val="en-US" w:eastAsia="zh-CN"/>
        </w:rPr>
        <w:t>一是</w:t>
      </w:r>
      <w:r>
        <w:rPr>
          <w:rFonts w:hint="eastAsia" w:ascii="仿宋_GB2312" w:hAnsi="仿宋_GB2312" w:eastAsia="仿宋_GB2312" w:cs="仿宋_GB2312"/>
          <w:color w:val="000000"/>
          <w:spacing w:val="0"/>
          <w:sz w:val="32"/>
          <w:szCs w:val="32"/>
          <w:lang w:val="en-US" w:eastAsia="zh-CN"/>
        </w:rPr>
        <w:t>贯彻节俭原则，严控非刚性支出。坚持政府过紧日子，严控“三公”经费，大力压减一般性支出，腾出更多财政资源，确保国家标准的“三保”支出足额安排，不留缺口，2024年压减一般性项目支出1.8亿元；</w:t>
      </w:r>
      <w:r>
        <w:rPr>
          <w:rFonts w:hint="eastAsia" w:ascii="仿宋_GB2312" w:hAnsi="仿宋_GB2312" w:eastAsia="仿宋_GB2312" w:cs="仿宋_GB2312"/>
          <w:color w:val="000000"/>
          <w:spacing w:val="0"/>
          <w:sz w:val="32"/>
          <w:szCs w:val="32"/>
          <w:highlight w:val="none"/>
          <w:lang w:val="en-US" w:eastAsia="zh-CN"/>
        </w:rPr>
        <w:t>累计完成各类评审项目217个，审减金额3.71亿元，审减率16%。</w:t>
      </w:r>
      <w:r>
        <w:rPr>
          <w:rFonts w:hint="eastAsia" w:ascii="仿宋_GB2312" w:hAnsi="仿宋_GB2312" w:eastAsia="仿宋_GB2312" w:cs="仿宋_GB2312"/>
          <w:b/>
          <w:bCs w:val="0"/>
          <w:snapToGrid w:val="0"/>
          <w:color w:val="000000"/>
          <w:kern w:val="0"/>
          <w:sz w:val="32"/>
          <w:szCs w:val="32"/>
          <w:lang w:val="en-US" w:eastAsia="zh-CN" w:bidi="ar-SA"/>
        </w:rPr>
        <w:t>二是</w:t>
      </w:r>
      <w:r>
        <w:rPr>
          <w:rFonts w:hint="eastAsia" w:ascii="仿宋_GB2312" w:hAnsi="仿宋_GB2312" w:eastAsia="仿宋_GB2312" w:cs="仿宋_GB2312"/>
          <w:bCs/>
          <w:snapToGrid w:val="0"/>
          <w:color w:val="000000"/>
          <w:kern w:val="0"/>
          <w:sz w:val="32"/>
          <w:szCs w:val="32"/>
          <w:lang w:val="en-US" w:eastAsia="zh-CN" w:bidi="ar-SA"/>
        </w:rPr>
        <w:t>大力清理盘活存量资金，完善资金收回机制，及时清理收回闲置沉淀资金、低效无效资金、预算结余资金，优先用于</w:t>
      </w:r>
      <w:r>
        <w:rPr>
          <w:rFonts w:hint="eastAsia" w:ascii="仿宋_GB2312" w:hAnsi="仿宋_GB2312" w:eastAsia="仿宋_GB2312" w:cs="仿宋_GB2312"/>
          <w:color w:val="000000"/>
          <w:spacing w:val="0"/>
          <w:sz w:val="32"/>
          <w:szCs w:val="32"/>
          <w:lang w:val="en-US" w:eastAsia="zh-CN"/>
        </w:rPr>
        <w:t>“三保”</w:t>
      </w:r>
      <w:r>
        <w:rPr>
          <w:rFonts w:hint="eastAsia" w:ascii="仿宋_GB2312" w:hAnsi="仿宋_GB2312" w:eastAsia="仿宋_GB2312" w:cs="仿宋_GB2312"/>
          <w:bCs/>
          <w:snapToGrid w:val="0"/>
          <w:color w:val="000000"/>
          <w:kern w:val="0"/>
          <w:sz w:val="32"/>
          <w:szCs w:val="32"/>
          <w:lang w:val="en-US" w:eastAsia="zh-CN" w:bidi="ar-SA"/>
        </w:rPr>
        <w:t>支出。</w:t>
      </w:r>
      <w:r>
        <w:rPr>
          <w:rFonts w:hint="eastAsia" w:ascii="仿宋_GB2312" w:hAnsi="仿宋_GB2312" w:eastAsia="仿宋_GB2312" w:cs="仿宋_GB2312"/>
          <w:b/>
          <w:bCs w:val="0"/>
          <w:snapToGrid w:val="0"/>
          <w:color w:val="000000"/>
          <w:kern w:val="0"/>
          <w:sz w:val="32"/>
          <w:szCs w:val="32"/>
          <w:lang w:val="en-US" w:eastAsia="zh-CN" w:bidi="ar-SA"/>
        </w:rPr>
        <w:t>三是</w:t>
      </w:r>
      <w:r>
        <w:rPr>
          <w:rFonts w:hint="eastAsia" w:ascii="仿宋_GB2312" w:hAnsi="仿宋_GB2312" w:eastAsia="仿宋_GB2312" w:cs="仿宋_GB2312"/>
          <w:bCs/>
          <w:snapToGrid w:val="0"/>
          <w:color w:val="000000"/>
          <w:kern w:val="0"/>
          <w:sz w:val="32"/>
          <w:szCs w:val="32"/>
          <w:lang w:val="en-US" w:eastAsia="zh-CN" w:bidi="ar-SA"/>
        </w:rPr>
        <w:t>充分发挥财政资金直达机制作用，增强直达资金分配的时效性、科学性和精准性，更大力度向基层倾斜，强化预算执行监控，严格贯彻落实“三保”要求，用紧用实财政资金，最大限度发挥资金效益，确保“三保”资金来源得到有效保障。2024年我区“三保”支出已达到省定目标，全年“三保”累计支出24.2亿元，</w:t>
      </w:r>
      <w:r>
        <w:rPr>
          <w:rFonts w:hint="eastAsia" w:ascii="仿宋_GB2312" w:hAnsi="仿宋_GB2312" w:eastAsia="仿宋_GB2312" w:cs="仿宋_GB2312"/>
          <w:bCs/>
          <w:snapToGrid w:val="0"/>
          <w:color w:val="000000"/>
          <w:spacing w:val="-6"/>
          <w:kern w:val="0"/>
          <w:sz w:val="32"/>
          <w:szCs w:val="32"/>
          <w:lang w:val="en-US" w:eastAsia="zh-CN" w:bidi="ar-SA"/>
        </w:rPr>
        <w:t>其中保基本民生10.1亿元、保工资13亿元、保运转1.1亿元</w:t>
      </w:r>
      <w:r>
        <w:rPr>
          <w:rFonts w:hint="eastAsia" w:ascii="仿宋_GB2312" w:hAnsi="仿宋_GB2312" w:eastAsia="仿宋_GB2312" w:cs="仿宋_GB2312"/>
          <w:bCs/>
          <w:snapToGrid w:val="0"/>
          <w:color w:val="000000"/>
          <w:kern w:val="0"/>
          <w:sz w:val="32"/>
          <w:szCs w:val="32"/>
          <w:lang w:val="en-US" w:eastAsia="zh-CN" w:bidi="ar-SA"/>
        </w:rPr>
        <w:t>。</w:t>
      </w:r>
    </w:p>
    <w:p w14:paraId="6E176865">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（三）坚持项目为王，为高质量发展添动力</w:t>
      </w:r>
    </w:p>
    <w:p w14:paraId="30F0144B">
      <w:pPr>
        <w:pStyle w:val="3"/>
        <w:keepNext w:val="0"/>
        <w:keepLines w:val="0"/>
        <w:pageBreakBefore w:val="0"/>
        <w:widowControl w:val="0"/>
        <w:kinsoku/>
        <w:wordWrap/>
        <w:overflowPunct/>
        <w:topLinePunct w:val="0"/>
        <w:autoSpaceDE/>
        <w:autoSpaceDN/>
        <w:bidi w:val="0"/>
        <w:spacing w:line="62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000000"/>
          <w:sz w:val="32"/>
          <w:szCs w:val="32"/>
          <w:highlight w:val="none"/>
          <w:u w:val="none"/>
          <w:lang w:val="en-US" w:eastAsia="zh-CN"/>
        </w:rPr>
        <w:t>一是全力以赴争资跑项，</w:t>
      </w:r>
      <w:r>
        <w:rPr>
          <w:rFonts w:hint="eastAsia" w:ascii="仿宋_GB2312" w:hAnsi="仿宋_GB2312" w:eastAsia="仿宋_GB2312" w:cs="仿宋_GB2312"/>
          <w:color w:val="000000"/>
          <w:sz w:val="32"/>
          <w:szCs w:val="32"/>
          <w:highlight w:val="none"/>
          <w:u w:val="none"/>
          <w:lang w:val="en-US" w:eastAsia="zh-CN"/>
        </w:rPr>
        <w:t>积极研究国家、省、市政策倾向，结合我区实际情况，有针对性地开展跑项争资工作。</w:t>
      </w:r>
      <w:r>
        <w:rPr>
          <w:rFonts w:hint="eastAsia" w:ascii="仿宋_GB2312" w:hAnsi="仿宋_GB2312" w:eastAsia="仿宋_GB2312" w:cs="仿宋_GB2312"/>
          <w:color w:val="000000"/>
          <w:sz w:val="32"/>
          <w:szCs w:val="32"/>
          <w:highlight w:val="none"/>
          <w:lang w:val="en-US" w:eastAsia="zh-CN"/>
        </w:rPr>
        <w:t>全年上级累计下达转移支付25.6亿元（不含债券），其中成功争取国家农村综合性改革试点试验项目，</w:t>
      </w:r>
      <w:r>
        <w:rPr>
          <w:rFonts w:hint="eastAsia" w:ascii="仿宋_GB2312" w:hAnsi="仿宋_GB2312" w:eastAsia="仿宋_GB2312" w:cs="仿宋_GB2312"/>
          <w:color w:val="auto"/>
          <w:sz w:val="32"/>
          <w:szCs w:val="32"/>
          <w:highlight w:val="none"/>
          <w:lang w:val="en-US" w:eastAsia="zh-CN"/>
        </w:rPr>
        <w:t>获得奖补资金共计1.7亿元。</w:t>
      </w:r>
      <w:r>
        <w:rPr>
          <w:rFonts w:hint="eastAsia" w:ascii="仿宋_GB2312" w:hAnsi="仿宋_GB2312" w:eastAsia="仿宋_GB2312" w:cs="仿宋_GB2312"/>
          <w:color w:val="000000"/>
          <w:sz w:val="32"/>
          <w:szCs w:val="32"/>
          <w:highlight w:val="none"/>
          <w:u w:val="none"/>
          <w:lang w:val="en-US" w:eastAsia="zh-CN"/>
        </w:rPr>
        <w:t>二</w:t>
      </w:r>
      <w:r>
        <w:rPr>
          <w:rFonts w:hint="eastAsia" w:ascii="仿宋_GB2312" w:hAnsi="仿宋_GB2312" w:eastAsia="仿宋_GB2312" w:cs="仿宋_GB2312"/>
          <w:b/>
          <w:bCs/>
          <w:color w:val="000000"/>
          <w:sz w:val="32"/>
          <w:szCs w:val="32"/>
          <w:highlight w:val="none"/>
          <w:u w:val="none"/>
          <w:lang w:val="en-US" w:eastAsia="zh-CN"/>
        </w:rPr>
        <w:t>是精耕组织政府债券项目，</w:t>
      </w:r>
      <w:r>
        <w:rPr>
          <w:rFonts w:hint="eastAsia" w:ascii="仿宋_GB2312" w:hAnsi="仿宋_GB2312" w:eastAsia="仿宋_GB2312" w:cs="仿宋_GB2312"/>
          <w:color w:val="000000"/>
          <w:sz w:val="32"/>
          <w:szCs w:val="32"/>
          <w:highlight w:val="none"/>
          <w:u w:val="none"/>
          <w:lang w:val="en-US" w:eastAsia="zh-CN"/>
        </w:rPr>
        <w:t>抢抓政策“窗口期”，谋实项目“储备库”，密切关注宏观政策动向，持续跟踪省级层面相关决策部署和文件精神，积极争取新增专项债资金需求，扎实做好政府专项债券项目谋划申报工作。2024年我区已发行项目建设类专项债券项目16个，资金共计7.24亿元。同时，加强对政府债券项目支出管理，督促项目单位加快项目建设进度，确保专项债券资金使用落到实处。</w:t>
      </w:r>
      <w:r>
        <w:rPr>
          <w:rFonts w:hint="eastAsia" w:ascii="仿宋_GB2312" w:hAnsi="仿宋_GB2312" w:eastAsia="仿宋_GB2312" w:cs="仿宋_GB2312"/>
          <w:b/>
          <w:bCs/>
          <w:color w:val="auto"/>
          <w:sz w:val="32"/>
          <w:szCs w:val="32"/>
          <w:highlight w:val="none"/>
          <w:lang w:val="en-US" w:eastAsia="zh-CN"/>
        </w:rPr>
        <w:t>三是持续推进美丽乡村建设，</w:t>
      </w:r>
      <w:r>
        <w:rPr>
          <w:rFonts w:hint="eastAsia" w:ascii="仿宋_GB2312" w:hAnsi="仿宋_GB2312" w:eastAsia="仿宋_GB2312" w:cs="仿宋_GB2312"/>
          <w:color w:val="auto"/>
          <w:sz w:val="32"/>
          <w:szCs w:val="32"/>
          <w:highlight w:val="none"/>
          <w:lang w:val="en-US" w:eastAsia="zh-CN"/>
        </w:rPr>
        <w:t>第一批19个村/居项目已于2023年10月份开工，截至目前，十三里桥黄湾村、谭家河乡四里桥村等6个村/居项目已竣工，剩余13个村/居项目工程量均达70%以上。</w:t>
      </w:r>
    </w:p>
    <w:p w14:paraId="052162CE">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（四）围绕中心工作，履职尽责促发展</w:t>
      </w:r>
    </w:p>
    <w:p w14:paraId="2443465C">
      <w:pPr>
        <w:keepNext w:val="0"/>
        <w:keepLines w:val="0"/>
        <w:pageBreakBefore w:val="0"/>
        <w:widowControl w:val="0"/>
        <w:kinsoku/>
        <w:wordWrap/>
        <w:overflowPunct/>
        <w:topLinePunct w:val="0"/>
        <w:autoSpaceDE/>
        <w:autoSpaceDN/>
        <w:bidi w:val="0"/>
        <w:spacing w:line="620" w:lineRule="exact"/>
        <w:ind w:firstLine="643" w:firstLineChars="200"/>
        <w:jc w:val="both"/>
        <w:textAlignment w:val="auto"/>
        <w:rPr>
          <w:rFonts w:hint="eastAsia" w:ascii="仿宋_GB2312" w:hAnsi="仿宋_GB2312" w:eastAsia="仿宋_GB2312" w:cs="仿宋_GB2312"/>
          <w:b/>
          <w:bCs/>
          <w:snapToGrid w:val="0"/>
          <w:color w:val="auto"/>
          <w:sz w:val="32"/>
          <w:szCs w:val="32"/>
          <w:highlight w:val="none"/>
          <w:lang w:val="en-US" w:eastAsia="zh-CN" w:bidi="ar-SA"/>
        </w:rPr>
      </w:pPr>
      <w:r>
        <w:rPr>
          <w:rFonts w:hint="eastAsia" w:ascii="仿宋_GB2312" w:hAnsi="仿宋_GB2312" w:eastAsia="仿宋_GB2312" w:cs="仿宋_GB2312"/>
          <w:b/>
          <w:bCs/>
          <w:color w:val="000000"/>
          <w:kern w:val="2"/>
          <w:sz w:val="32"/>
          <w:szCs w:val="32"/>
          <w:highlight w:val="none"/>
          <w:lang w:val="en-US" w:eastAsia="zh-CN"/>
        </w:rPr>
        <w:t>一是有序稳妥化解债务存量，</w:t>
      </w:r>
      <w:r>
        <w:rPr>
          <w:rFonts w:hint="eastAsia" w:ascii="仿宋_GB2312" w:hAnsi="仿宋_GB2312" w:eastAsia="仿宋_GB2312" w:cs="仿宋_GB2312"/>
          <w:b w:val="0"/>
          <w:bCs w:val="0"/>
          <w:color w:val="000000"/>
          <w:kern w:val="2"/>
          <w:sz w:val="32"/>
          <w:szCs w:val="32"/>
          <w:highlight w:val="none"/>
          <w:lang w:val="en-US" w:eastAsia="zh-CN"/>
        </w:rPr>
        <w:t>不断加强地方政府债务限额管理和预算管理，严格落实政府债务偿还责任，科学统筹财力，有效防范化解债务风险。2024年用自有财力偿还到期法定债务本金1968万元，通过发行再融资债券偿还到期本金17100万元。</w:t>
      </w:r>
      <w:r>
        <w:rPr>
          <w:rFonts w:hint="eastAsia" w:ascii="仿宋_GB2312" w:hAnsi="仿宋_GB2312" w:eastAsia="仿宋_GB2312" w:cs="仿宋_GB2312"/>
          <w:b/>
          <w:bCs/>
          <w:color w:val="000000"/>
          <w:kern w:val="2"/>
          <w:sz w:val="32"/>
          <w:szCs w:val="32"/>
          <w:highlight w:val="none"/>
          <w:lang w:val="en-US" w:eastAsia="zh-CN"/>
        </w:rPr>
        <w:t>二是深入开展群腐整治，重点排查“三资”问题，</w:t>
      </w:r>
      <w:r>
        <w:rPr>
          <w:rFonts w:hint="eastAsia" w:ascii="仿宋_GB2312" w:hAnsi="仿宋_GB2312" w:eastAsia="仿宋_GB2312" w:cs="仿宋_GB2312"/>
          <w:color w:val="auto"/>
          <w:spacing w:val="0"/>
          <w:sz w:val="32"/>
          <w:szCs w:val="32"/>
          <w:highlight w:val="none"/>
          <w:lang w:val="en-US" w:eastAsia="zh-CN"/>
        </w:rPr>
        <w:t xml:space="preserve">2024年针对资金下达拨付是否合规有序、资金使用是否合规合法、财务处理是否规范准确、财务公开是否及时完整、资产管理是否规范到位，对全区19个乡镇（办）进行抽查，发现问题共计202条（已全部整改完毕），涉及金额507.1万元，其中5条线索已移交各乡镇（办）纪委，共追缴资金24万元。被省财政厅认可并建立台账的问题4条，涉及金额84.3万元，现已整改完毕。  </w:t>
      </w:r>
    </w:p>
    <w:p w14:paraId="1AFE302A">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（五）提升管理效能，精修内功蓄动能</w:t>
      </w:r>
    </w:p>
    <w:p w14:paraId="4B8D495C">
      <w:pPr>
        <w:keepNext w:val="0"/>
        <w:keepLines w:val="0"/>
        <w:pageBreakBefore w:val="0"/>
        <w:widowControl w:val="0"/>
        <w:kinsoku/>
        <w:wordWrap/>
        <w:overflowPunct/>
        <w:topLinePunct w:val="0"/>
        <w:autoSpaceDE/>
        <w:autoSpaceDN/>
        <w:bidi w:val="0"/>
        <w:spacing w:line="620" w:lineRule="exact"/>
        <w:ind w:firstLine="643" w:firstLineChars="200"/>
        <w:jc w:val="both"/>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bCs/>
          <w:color w:val="000000"/>
          <w:sz w:val="32"/>
          <w:szCs w:val="32"/>
          <w:highlight w:val="none"/>
          <w:lang w:val="en-US" w:eastAsia="zh-CN"/>
        </w:rPr>
        <w:t>一是扎实推进预算一体化应用，</w:t>
      </w:r>
      <w:r>
        <w:rPr>
          <w:rFonts w:hint="eastAsia" w:ascii="仿宋_GB2312" w:hAnsi="仿宋_GB2312" w:eastAsia="仿宋_GB2312" w:cs="仿宋_GB2312"/>
          <w:b w:val="0"/>
          <w:bCs w:val="0"/>
          <w:color w:val="000000"/>
          <w:sz w:val="32"/>
          <w:szCs w:val="32"/>
          <w:highlight w:val="none"/>
          <w:lang w:val="en-US" w:eastAsia="zh-CN"/>
        </w:rPr>
        <w:t>强化预算编制精准性，着力缩小政府预算、部门预算与“三保”支出的偏离度，切实提升预算编制的科学性和准确度；严格预算执行刚性，逐项对照梳理收支明细，确保账面收入、支出数据与一体化系统数据、月报数据精准衔接、完全一致；健全沟通协调机制，通过建立每日督促反馈机制，及时响应预算单位诉求、解答各类疑问，保障业务顺畅运行。</w:t>
      </w:r>
      <w:r>
        <w:rPr>
          <w:rFonts w:hint="eastAsia" w:ascii="仿宋_GB2312" w:hAnsi="仿宋_GB2312" w:eastAsia="仿宋_GB2312" w:cs="仿宋_GB2312"/>
          <w:b/>
          <w:bCs/>
          <w:color w:val="000000"/>
          <w:sz w:val="32"/>
          <w:szCs w:val="32"/>
          <w:highlight w:val="none"/>
          <w:lang w:val="en-US" w:eastAsia="zh-CN"/>
        </w:rPr>
        <w:t>二是健全预算绩效管理机制，</w:t>
      </w:r>
      <w:r>
        <w:rPr>
          <w:rFonts w:hint="eastAsia" w:ascii="仿宋_GB2312" w:hAnsi="仿宋_GB2312" w:eastAsia="仿宋_GB2312" w:cs="仿宋_GB2312"/>
          <w:b w:val="0"/>
          <w:bCs w:val="0"/>
          <w:color w:val="000000"/>
          <w:sz w:val="32"/>
          <w:szCs w:val="32"/>
          <w:highlight w:val="none"/>
          <w:lang w:val="en-US" w:eastAsia="zh-CN"/>
        </w:rPr>
        <w:t>始终坚持“用钱必问效、无效必问责”的管理理念，依托预算一体化系统，已全面完成绩效自评工作。通过及时反馈评价结果，精准督促相关部门针对性整改，切实提升财政资金使用效益和预算管理精细化水平。</w:t>
      </w:r>
    </w:p>
    <w:p w14:paraId="1D8DB558">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（六）深化国企改革，提升核心竞争力</w:t>
      </w:r>
    </w:p>
    <w:p w14:paraId="3A824429">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近年来，根据区委、区政府出台的《信阳市浉河区区属国有企业六定方案》《浉河区区属国有企业提质增效改革实施意见》，区属主要国有企业已形成了“1+3+N”的品字形管理运营模式。2024年以来，为进一步深化国有企业市场化改革，完善</w:t>
      </w:r>
      <w:r>
        <w:rPr>
          <w:rFonts w:hint="eastAsia" w:ascii="仿宋_GB2312" w:hAnsi="仿宋_GB2312" w:eastAsia="仿宋_GB2312" w:cs="仿宋_GB2312"/>
          <w:b w:val="0"/>
          <w:bCs w:val="0"/>
          <w:color w:val="auto"/>
          <w:sz w:val="32"/>
          <w:szCs w:val="32"/>
          <w:highlight w:val="none"/>
        </w:rPr>
        <w:t>我</w:t>
      </w:r>
      <w:r>
        <w:rPr>
          <w:rFonts w:hint="eastAsia" w:ascii="仿宋_GB2312" w:hAnsi="仿宋_GB2312" w:eastAsia="仿宋_GB2312" w:cs="仿宋_GB2312"/>
          <w:b w:val="0"/>
          <w:bCs w:val="0"/>
          <w:color w:val="auto"/>
          <w:sz w:val="32"/>
          <w:szCs w:val="32"/>
          <w:highlight w:val="none"/>
          <w:lang w:eastAsia="zh-CN"/>
        </w:rPr>
        <w:t>区</w:t>
      </w:r>
      <w:r>
        <w:rPr>
          <w:rFonts w:hint="eastAsia" w:ascii="仿宋_GB2312" w:hAnsi="仿宋_GB2312" w:eastAsia="仿宋_GB2312" w:cs="仿宋_GB2312"/>
          <w:b w:val="0"/>
          <w:bCs w:val="0"/>
          <w:color w:val="auto"/>
          <w:sz w:val="32"/>
          <w:szCs w:val="32"/>
          <w:highlight w:val="none"/>
          <w:lang w:val="en-US" w:eastAsia="zh-CN"/>
        </w:rPr>
        <w:t>国有企业</w:t>
      </w:r>
      <w:r>
        <w:rPr>
          <w:rFonts w:hint="eastAsia" w:ascii="仿宋_GB2312" w:hAnsi="仿宋_GB2312" w:eastAsia="仿宋_GB2312" w:cs="仿宋_GB2312"/>
          <w:b w:val="0"/>
          <w:bCs w:val="0"/>
          <w:color w:val="auto"/>
          <w:sz w:val="32"/>
          <w:szCs w:val="32"/>
          <w:highlight w:val="none"/>
        </w:rPr>
        <w:t>考核体系</w:t>
      </w:r>
      <w:r>
        <w:rPr>
          <w:rFonts w:hint="eastAsia" w:ascii="仿宋_GB2312" w:hAnsi="仿宋_GB2312" w:eastAsia="仿宋_GB2312" w:cs="仿宋_GB2312"/>
          <w:b w:val="0"/>
          <w:bCs w:val="0"/>
          <w:color w:val="auto"/>
          <w:sz w:val="32"/>
          <w:szCs w:val="32"/>
          <w:highlight w:val="none"/>
          <w:lang w:val="en-US" w:eastAsia="zh-CN"/>
        </w:rPr>
        <w:t>，按照区长办公会提出的“三区要分别建立完善国有企业经营业绩考核指标体系”的要求，</w:t>
      </w:r>
      <w:r>
        <w:rPr>
          <w:rStyle w:val="13"/>
          <w:rFonts w:hint="eastAsia" w:ascii="仿宋_GB2312" w:hAnsi="仿宋_GB2312" w:eastAsia="仿宋_GB2312" w:cs="仿宋_GB2312"/>
          <w:b w:val="0"/>
          <w:bCs w:val="0"/>
          <w:sz w:val="32"/>
          <w:szCs w:val="32"/>
          <w:highlight w:val="none"/>
          <w:lang w:val="en-US" w:eastAsia="zh-CN"/>
        </w:rPr>
        <w:t>紧紧围绕“提高产业比重提升、融资结构优化、资产规模壮大”的发展目标</w:t>
      </w:r>
      <w:r>
        <w:rPr>
          <w:rFonts w:hint="eastAsia" w:ascii="仿宋_GB2312" w:hAnsi="仿宋_GB2312" w:eastAsia="仿宋_GB2312" w:cs="仿宋_GB2312"/>
          <w:b w:val="0"/>
          <w:bCs w:val="0"/>
          <w:color w:val="auto"/>
          <w:sz w:val="32"/>
          <w:szCs w:val="32"/>
          <w:highlight w:val="none"/>
          <w:lang w:val="en-US" w:eastAsia="zh-CN"/>
        </w:rPr>
        <w:t>，重新修订了《信阳市浉河区区属国有企业负责人经营业绩考核办法》，</w:t>
      </w:r>
      <w:r>
        <w:rPr>
          <w:rFonts w:hint="eastAsia" w:ascii="仿宋_GB2312" w:hAnsi="仿宋_GB2312" w:eastAsia="仿宋_GB2312" w:cs="仿宋_GB2312"/>
          <w:color w:val="auto"/>
          <w:sz w:val="32"/>
          <w:szCs w:val="32"/>
          <w:highlight w:val="none"/>
          <w:lang w:val="en-US" w:eastAsia="zh-CN"/>
        </w:rPr>
        <w:t>强化党建引领，深化专业化整合，持续推动各区属国有企业市场化转型。</w:t>
      </w:r>
    </w:p>
    <w:p w14:paraId="69F6F423">
      <w:pPr>
        <w:keepNext w:val="0"/>
        <w:keepLines w:val="0"/>
        <w:pageBreakBefore w:val="0"/>
        <w:widowControl w:val="0"/>
        <w:kinsoku/>
        <w:wordWrap/>
        <w:overflowPunct/>
        <w:topLinePunct w:val="0"/>
        <w:bidi w:val="0"/>
        <w:spacing w:line="620" w:lineRule="exac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pacing w:val="0"/>
          <w:kern w:val="0"/>
          <w:sz w:val="32"/>
          <w:szCs w:val="32"/>
        </w:rPr>
        <w:t>过去一年，</w:t>
      </w:r>
      <w:r>
        <w:rPr>
          <w:rFonts w:hint="eastAsia" w:ascii="仿宋_GB2312" w:hAnsi="仿宋_GB2312" w:eastAsia="仿宋_GB2312" w:cs="仿宋_GB2312"/>
          <w:kern w:val="2"/>
          <w:sz w:val="32"/>
          <w:szCs w:val="32"/>
          <w:lang w:val="en-US" w:eastAsia="zh-CN" w:bidi="ar-SA"/>
        </w:rPr>
        <w:t>面对经济恢复不及预期、财政收入持续下滑的不利局面，财政部门迎难而上、奋力拼搏，确保了财政运行总体平稳，守住了不发生系统性风险的底线。</w:t>
      </w:r>
      <w:r>
        <w:rPr>
          <w:rFonts w:hint="eastAsia" w:ascii="仿宋_GB2312" w:hAnsi="仿宋_GB2312" w:eastAsia="仿宋_GB2312" w:cs="仿宋_GB2312"/>
          <w:color w:val="000000"/>
          <w:spacing w:val="0"/>
          <w:kern w:val="0"/>
          <w:sz w:val="32"/>
          <w:szCs w:val="32"/>
        </w:rPr>
        <w:t>取得成绩的同时，我们也清醒地认识到</w:t>
      </w:r>
      <w:r>
        <w:rPr>
          <w:rFonts w:hint="eastAsia" w:ascii="仿宋_GB2312" w:hAnsi="仿宋_GB2312" w:eastAsia="仿宋_GB2312" w:cs="仿宋_GB2312"/>
          <w:color w:val="000000"/>
          <w:spacing w:val="0"/>
          <w:kern w:val="0"/>
          <w:sz w:val="32"/>
          <w:szCs w:val="32"/>
          <w:lang w:val="en-US" w:eastAsia="zh-CN"/>
        </w:rPr>
        <w:t>当前</w:t>
      </w:r>
      <w:r>
        <w:rPr>
          <w:rFonts w:hint="eastAsia" w:ascii="仿宋_GB2312" w:hAnsi="仿宋_GB2312" w:eastAsia="仿宋_GB2312" w:cs="仿宋_GB2312"/>
          <w:color w:val="000000"/>
          <w:spacing w:val="0"/>
          <w:kern w:val="0"/>
          <w:sz w:val="32"/>
          <w:szCs w:val="32"/>
        </w:rPr>
        <w:t>财政工作中</w:t>
      </w:r>
      <w:r>
        <w:rPr>
          <w:rFonts w:hint="eastAsia" w:ascii="仿宋_GB2312" w:hAnsi="仿宋_GB2312" w:eastAsia="仿宋_GB2312" w:cs="仿宋_GB2312"/>
          <w:color w:val="000000"/>
          <w:spacing w:val="0"/>
          <w:kern w:val="0"/>
          <w:sz w:val="32"/>
          <w:szCs w:val="32"/>
          <w:lang w:eastAsia="zh-CN"/>
        </w:rPr>
        <w:t>仍</w:t>
      </w:r>
      <w:r>
        <w:rPr>
          <w:rFonts w:hint="eastAsia" w:ascii="仿宋_GB2312" w:hAnsi="仿宋_GB2312" w:eastAsia="仿宋_GB2312" w:cs="仿宋_GB2312"/>
          <w:color w:val="000000"/>
          <w:spacing w:val="0"/>
          <w:kern w:val="0"/>
          <w:sz w:val="32"/>
          <w:szCs w:val="32"/>
        </w:rPr>
        <w:t>面临一些困难和挑战。</w:t>
      </w:r>
      <w:r>
        <w:rPr>
          <w:rFonts w:hint="eastAsia" w:ascii="仿宋_GB2312" w:hAnsi="仿宋_GB2312" w:eastAsia="仿宋_GB2312" w:cs="仿宋_GB2312"/>
          <w:b/>
          <w:bCs/>
          <w:color w:val="000000"/>
          <w:spacing w:val="0"/>
          <w:kern w:val="0"/>
          <w:sz w:val="32"/>
          <w:szCs w:val="32"/>
        </w:rPr>
        <w:t>一是支出压力巨大。</w:t>
      </w:r>
      <w:r>
        <w:rPr>
          <w:rFonts w:hint="eastAsia" w:ascii="仿宋_GB2312" w:hAnsi="仿宋_GB2312" w:eastAsia="仿宋_GB2312" w:cs="仿宋_GB2312"/>
          <w:color w:val="000000"/>
          <w:spacing w:val="0"/>
          <w:kern w:val="0"/>
          <w:sz w:val="32"/>
          <w:szCs w:val="32"/>
        </w:rPr>
        <w:t>各类硬性支出</w:t>
      </w:r>
      <w:r>
        <w:rPr>
          <w:rFonts w:hint="eastAsia" w:ascii="仿宋_GB2312" w:hAnsi="仿宋_GB2312" w:eastAsia="仿宋_GB2312" w:cs="仿宋_GB2312"/>
          <w:color w:val="000000"/>
          <w:spacing w:val="0"/>
          <w:kern w:val="0"/>
          <w:sz w:val="32"/>
          <w:szCs w:val="32"/>
          <w:lang w:eastAsia="zh-CN"/>
        </w:rPr>
        <w:t>刚性增长，</w:t>
      </w:r>
      <w:r>
        <w:rPr>
          <w:rFonts w:hint="eastAsia" w:ascii="仿宋_GB2312" w:hAnsi="仿宋_GB2312" w:eastAsia="仿宋_GB2312" w:cs="仿宋_GB2312"/>
          <w:color w:val="000000"/>
          <w:spacing w:val="0"/>
          <w:kern w:val="0"/>
          <w:sz w:val="32"/>
          <w:szCs w:val="32"/>
        </w:rPr>
        <w:t>“三保”保障举步维艰。</w:t>
      </w:r>
      <w:r>
        <w:rPr>
          <w:rFonts w:hint="eastAsia" w:ascii="仿宋_GB2312" w:hAnsi="仿宋_GB2312" w:eastAsia="仿宋_GB2312" w:cs="仿宋_GB2312"/>
          <w:b/>
          <w:bCs/>
          <w:color w:val="000000"/>
          <w:spacing w:val="0"/>
          <w:kern w:val="0"/>
          <w:sz w:val="32"/>
          <w:szCs w:val="32"/>
        </w:rPr>
        <w:t>二是收入增长乏力。</w:t>
      </w:r>
      <w:r>
        <w:rPr>
          <w:rFonts w:hint="eastAsia" w:ascii="仿宋_GB2312" w:hAnsi="仿宋_GB2312" w:eastAsia="仿宋_GB2312" w:cs="仿宋_GB2312"/>
          <w:b w:val="0"/>
          <w:bCs w:val="0"/>
          <w:color w:val="000000"/>
          <w:spacing w:val="0"/>
          <w:kern w:val="0"/>
          <w:sz w:val="32"/>
          <w:szCs w:val="32"/>
          <w:lang w:eastAsia="zh-CN"/>
        </w:rPr>
        <w:t>主体税源持续减收，茶、旅等主导产业尚在培育，无法形成有效财源，</w:t>
      </w:r>
      <w:r>
        <w:rPr>
          <w:rFonts w:hint="eastAsia" w:ascii="仿宋_GB2312" w:hAnsi="仿宋_GB2312" w:eastAsia="仿宋_GB2312" w:cs="仿宋_GB2312"/>
          <w:b w:val="0"/>
          <w:bCs w:val="0"/>
          <w:color w:val="000000"/>
          <w:spacing w:val="0"/>
          <w:kern w:val="0"/>
          <w:sz w:val="32"/>
          <w:szCs w:val="32"/>
        </w:rPr>
        <w:t>加之无法享受贫困县、苏区县的各项优惠政策，上级转移支付资金相较其他县区偏少。</w:t>
      </w:r>
      <w:r>
        <w:rPr>
          <w:rFonts w:hint="eastAsia" w:ascii="仿宋_GB2312" w:hAnsi="仿宋_GB2312" w:eastAsia="仿宋_GB2312" w:cs="仿宋_GB2312"/>
          <w:b/>
          <w:bCs/>
          <w:color w:val="000000"/>
          <w:spacing w:val="0"/>
          <w:kern w:val="0"/>
          <w:sz w:val="32"/>
          <w:szCs w:val="32"/>
        </w:rPr>
        <w:t>三是</w:t>
      </w:r>
      <w:r>
        <w:rPr>
          <w:rFonts w:hint="eastAsia" w:ascii="仿宋_GB2312" w:hAnsi="仿宋_GB2312" w:eastAsia="仿宋_GB2312" w:cs="仿宋_GB2312"/>
          <w:b/>
          <w:bCs/>
          <w:color w:val="000000"/>
          <w:spacing w:val="0"/>
          <w:kern w:val="0"/>
          <w:sz w:val="32"/>
          <w:szCs w:val="32"/>
          <w:lang w:eastAsia="zh-CN"/>
        </w:rPr>
        <w:t>债务风险防范仍需加力。</w:t>
      </w:r>
      <w:r>
        <w:rPr>
          <w:rFonts w:hint="eastAsia" w:ascii="仿宋_GB2312" w:hAnsi="仿宋_GB2312" w:eastAsia="仿宋_GB2312" w:cs="仿宋_GB2312"/>
          <w:color w:val="000000"/>
          <w:spacing w:val="0"/>
          <w:kern w:val="0"/>
          <w:sz w:val="32"/>
          <w:szCs w:val="32"/>
          <w:lang w:eastAsia="zh-CN"/>
        </w:rPr>
        <w:t>政府债务和平台公司债务还本付息高峰期对财政稳平衡状态冲击较大，偿债压力骤增</w:t>
      </w:r>
      <w:r>
        <w:rPr>
          <w:rFonts w:hint="eastAsia" w:ascii="仿宋_GB2312" w:hAnsi="仿宋_GB2312" w:eastAsia="仿宋_GB2312" w:cs="仿宋_GB2312"/>
          <w:color w:val="000000"/>
          <w:spacing w:val="0"/>
          <w:kern w:val="0"/>
          <w:sz w:val="32"/>
          <w:szCs w:val="32"/>
        </w:rPr>
        <w:t>。</w:t>
      </w:r>
      <w:r>
        <w:rPr>
          <w:rFonts w:hint="eastAsia" w:ascii="仿宋_GB2312" w:hAnsi="仿宋_GB2312" w:eastAsia="仿宋_GB2312" w:cs="仿宋_GB2312"/>
          <w:b/>
          <w:bCs/>
          <w:color w:val="000000"/>
          <w:spacing w:val="0"/>
          <w:kern w:val="0"/>
          <w:sz w:val="32"/>
          <w:szCs w:val="32"/>
          <w:lang w:eastAsia="zh-CN"/>
        </w:rPr>
        <w:t>四是国企改革仍需进一步深化。</w:t>
      </w:r>
      <w:r>
        <w:rPr>
          <w:rFonts w:hint="eastAsia" w:ascii="仿宋_GB2312" w:hAnsi="仿宋_GB2312" w:eastAsia="仿宋_GB2312" w:cs="仿宋_GB2312"/>
          <w:b w:val="0"/>
          <w:bCs w:val="0"/>
          <w:color w:val="000000"/>
          <w:spacing w:val="0"/>
          <w:kern w:val="0"/>
          <w:sz w:val="32"/>
          <w:szCs w:val="32"/>
          <w:lang w:eastAsia="zh-CN"/>
        </w:rPr>
        <w:t>三家主要平台公司虽然都进行了市场化改制，但“造血”动能仍旧不足，难以对区财政形成有效反哺。</w:t>
      </w:r>
      <w:r>
        <w:rPr>
          <w:rFonts w:hint="eastAsia" w:ascii="仿宋_GB2312" w:hAnsi="仿宋_GB2312" w:eastAsia="仿宋_GB2312" w:cs="仿宋_GB2312"/>
          <w:color w:val="000000"/>
          <w:spacing w:val="0"/>
          <w:kern w:val="0"/>
          <w:sz w:val="32"/>
          <w:szCs w:val="32"/>
          <w:lang w:eastAsia="zh-CN"/>
        </w:rPr>
        <w:t>对这些问题</w:t>
      </w:r>
      <w:r>
        <w:rPr>
          <w:rFonts w:hint="eastAsia" w:ascii="仿宋_GB2312" w:hAnsi="仿宋_GB2312" w:eastAsia="仿宋_GB2312" w:cs="仿宋_GB2312"/>
          <w:color w:val="000000"/>
          <w:spacing w:val="0"/>
          <w:kern w:val="0"/>
          <w:sz w:val="32"/>
          <w:szCs w:val="32"/>
        </w:rPr>
        <w:t>，我们将</w:t>
      </w:r>
      <w:r>
        <w:rPr>
          <w:rFonts w:hint="eastAsia" w:ascii="仿宋_GB2312" w:hAnsi="仿宋_GB2312" w:eastAsia="仿宋_GB2312" w:cs="仿宋_GB2312"/>
          <w:color w:val="000000"/>
          <w:spacing w:val="0"/>
          <w:kern w:val="0"/>
          <w:sz w:val="32"/>
          <w:szCs w:val="32"/>
          <w:lang w:eastAsia="zh-CN"/>
        </w:rPr>
        <w:t>高度重视，采取务实措施，努力予以解决</w:t>
      </w:r>
      <w:r>
        <w:rPr>
          <w:rFonts w:hint="eastAsia" w:ascii="仿宋_GB2312" w:hAnsi="仿宋_GB2312" w:eastAsia="仿宋_GB2312" w:cs="仿宋_GB2312"/>
          <w:color w:val="000000"/>
          <w:spacing w:val="0"/>
          <w:kern w:val="0"/>
          <w:sz w:val="32"/>
          <w:szCs w:val="32"/>
        </w:rPr>
        <w:t>。</w:t>
      </w:r>
    </w:p>
    <w:p w14:paraId="1115E9B8">
      <w:pPr>
        <w:keepNext w:val="0"/>
        <w:keepLines w:val="0"/>
        <w:pageBreakBefore w:val="0"/>
        <w:widowControl w:val="0"/>
        <w:kinsoku/>
        <w:wordWrap/>
        <w:overflowPunct/>
        <w:topLinePunct w:val="0"/>
        <w:autoSpaceDE/>
        <w:bidi w:val="0"/>
        <w:adjustRightInd/>
        <w:snapToGrid w:val="0"/>
        <w:spacing w:line="620" w:lineRule="exact"/>
        <w:ind w:right="0" w:rightChars="0" w:firstLine="640" w:firstLineChars="200"/>
        <w:jc w:val="both"/>
        <w:rPr>
          <w:rFonts w:hint="eastAsia" w:ascii="黑体" w:hAnsi="黑体" w:eastAsia="黑体" w:cs="黑体"/>
          <w:color w:val="0C0C0C"/>
          <w:spacing w:val="0"/>
          <w:kern w:val="0"/>
          <w:sz w:val="32"/>
          <w:szCs w:val="32"/>
          <w:lang w:val="en-US"/>
        </w:rPr>
      </w:pPr>
      <w:r>
        <w:rPr>
          <w:rFonts w:hint="eastAsia" w:ascii="黑体" w:hAnsi="黑体" w:eastAsia="黑体" w:cs="黑体"/>
          <w:color w:val="0C0C0C"/>
          <w:spacing w:val="0"/>
          <w:kern w:val="0"/>
          <w:sz w:val="32"/>
          <w:szCs w:val="32"/>
          <w:lang w:val="en-US" w:eastAsia="zh-CN"/>
        </w:rPr>
        <w:t>三、</w:t>
      </w:r>
      <w:r>
        <w:rPr>
          <w:rFonts w:hint="eastAsia" w:ascii="黑体" w:hAnsi="黑体" w:eastAsia="黑体" w:cs="黑体"/>
          <w:color w:val="0C0C0C"/>
          <w:spacing w:val="0"/>
          <w:kern w:val="0"/>
          <w:sz w:val="32"/>
          <w:szCs w:val="32"/>
        </w:rPr>
        <w:t>202</w:t>
      </w:r>
      <w:r>
        <w:rPr>
          <w:rFonts w:hint="eastAsia" w:ascii="黑体" w:hAnsi="黑体" w:eastAsia="黑体" w:cs="黑体"/>
          <w:color w:val="0C0C0C"/>
          <w:spacing w:val="0"/>
          <w:kern w:val="0"/>
          <w:sz w:val="32"/>
          <w:szCs w:val="32"/>
          <w:lang w:val="en-US" w:eastAsia="zh-CN"/>
        </w:rPr>
        <w:t>5</w:t>
      </w:r>
      <w:r>
        <w:rPr>
          <w:rFonts w:hint="eastAsia" w:ascii="黑体" w:hAnsi="黑体" w:eastAsia="黑体" w:cs="黑体"/>
          <w:color w:val="0C0C0C"/>
          <w:spacing w:val="0"/>
          <w:kern w:val="0"/>
          <w:sz w:val="32"/>
          <w:szCs w:val="32"/>
        </w:rPr>
        <w:t>年</w:t>
      </w:r>
      <w:r>
        <w:rPr>
          <w:rFonts w:hint="eastAsia" w:ascii="黑体" w:hAnsi="黑体" w:eastAsia="黑体" w:cs="黑体"/>
          <w:color w:val="0C0C0C"/>
          <w:spacing w:val="0"/>
          <w:kern w:val="0"/>
          <w:sz w:val="32"/>
          <w:szCs w:val="32"/>
          <w:lang w:val="en-US" w:eastAsia="zh-CN"/>
        </w:rPr>
        <w:t>上半年财政预算执行情况</w:t>
      </w:r>
    </w:p>
    <w:p w14:paraId="4AC1D9DE">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（一）2025年上半年财政预算执行情况</w:t>
      </w:r>
    </w:p>
    <w:p w14:paraId="7D7F1C68">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仿宋_GB2312" w:hAnsi="仿宋_GB2312" w:eastAsia="仿宋_GB2312" w:cs="仿宋_GB2312"/>
          <w:color w:val="0C0C0C"/>
          <w:spacing w:val="0"/>
          <w:kern w:val="0"/>
          <w:sz w:val="32"/>
          <w:szCs w:val="32"/>
          <w:lang w:val="en-US" w:eastAsia="zh-CN"/>
        </w:rPr>
      </w:pPr>
      <w:r>
        <w:rPr>
          <w:rFonts w:hint="eastAsia" w:ascii="仿宋_GB2312" w:hAnsi="仿宋_GB2312" w:eastAsia="仿宋_GB2312" w:cs="仿宋_GB2312"/>
          <w:b/>
          <w:bCs/>
          <w:color w:val="0C0C0C"/>
          <w:spacing w:val="0"/>
          <w:kern w:val="0"/>
          <w:sz w:val="32"/>
          <w:szCs w:val="32"/>
          <w:lang w:val="en-US" w:eastAsia="zh-CN"/>
        </w:rPr>
        <w:t>1.一般公共预算执行情况。</w:t>
      </w:r>
      <w:r>
        <w:rPr>
          <w:rFonts w:hint="eastAsia" w:ascii="仿宋_GB2312" w:hAnsi="仿宋_GB2312" w:eastAsia="仿宋_GB2312" w:cs="仿宋_GB2312"/>
          <w:color w:val="0C0C0C"/>
          <w:spacing w:val="0"/>
          <w:kern w:val="0"/>
          <w:sz w:val="32"/>
          <w:szCs w:val="32"/>
          <w:lang w:val="en-US" w:eastAsia="zh-CN"/>
        </w:rPr>
        <w:t>1-6月份，全区一般公共预算收入累计完成70984万元，同比增长10.8%；税收收入完成58529万元，同比下降0.1%，非税收入完成12455万元，同比增长128.1%；一般公共预算支出完成179490万元，同比下降5.5%。</w:t>
      </w:r>
    </w:p>
    <w:p w14:paraId="28D72746">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仿宋_GB2312" w:hAnsi="仿宋_GB2312" w:eastAsia="仿宋_GB2312" w:cs="仿宋_GB2312"/>
          <w:color w:val="0C0C0C"/>
          <w:spacing w:val="0"/>
          <w:kern w:val="0"/>
          <w:sz w:val="32"/>
          <w:szCs w:val="32"/>
          <w:highlight w:val="none"/>
          <w:lang w:val="en-US" w:eastAsia="zh-CN"/>
        </w:rPr>
      </w:pPr>
      <w:r>
        <w:rPr>
          <w:rFonts w:hint="eastAsia" w:ascii="仿宋_GB2312" w:hAnsi="仿宋_GB2312" w:eastAsia="仿宋_GB2312" w:cs="仿宋_GB2312"/>
          <w:b/>
          <w:bCs/>
          <w:color w:val="0C0C0C"/>
          <w:spacing w:val="0"/>
          <w:kern w:val="0"/>
          <w:sz w:val="32"/>
          <w:szCs w:val="32"/>
          <w:lang w:val="en-US" w:eastAsia="zh-CN"/>
        </w:rPr>
        <w:t>2.政府性基金预算执行情况。</w:t>
      </w:r>
      <w:r>
        <w:rPr>
          <w:rFonts w:hint="eastAsia" w:ascii="仿宋_GB2312" w:hAnsi="仿宋_GB2312" w:eastAsia="仿宋_GB2312" w:cs="仿宋_GB2312"/>
          <w:color w:val="0C0C0C"/>
          <w:spacing w:val="0"/>
          <w:kern w:val="0"/>
          <w:sz w:val="32"/>
          <w:szCs w:val="32"/>
          <w:lang w:val="en-US" w:eastAsia="zh-CN"/>
        </w:rPr>
        <w:t>1-6月份，全区政府性基金收入1911万元，为预算数的50.9%；政府性基金支出41543万元，为预算数的49.8%。</w:t>
      </w:r>
    </w:p>
    <w:p w14:paraId="6AF396A3">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仿宋_GB2312" w:hAnsi="仿宋_GB2312" w:eastAsia="仿宋_GB2312" w:cs="仿宋_GB2312"/>
          <w:color w:val="0C0C0C"/>
          <w:spacing w:val="0"/>
          <w:kern w:val="0"/>
          <w:sz w:val="32"/>
          <w:szCs w:val="32"/>
          <w:highlight w:val="none"/>
          <w:lang w:val="en-US" w:eastAsia="zh-CN"/>
        </w:rPr>
      </w:pPr>
      <w:r>
        <w:rPr>
          <w:rFonts w:hint="eastAsia" w:ascii="仿宋_GB2312" w:hAnsi="仿宋_GB2312" w:eastAsia="仿宋_GB2312" w:cs="仿宋_GB2312"/>
          <w:b/>
          <w:bCs/>
          <w:color w:val="0C0C0C"/>
          <w:spacing w:val="0"/>
          <w:kern w:val="0"/>
          <w:sz w:val="32"/>
          <w:szCs w:val="32"/>
          <w:lang w:val="en-US" w:eastAsia="zh-CN"/>
        </w:rPr>
        <w:t>3.国有资本经营预算执行情况。</w:t>
      </w:r>
      <w:r>
        <w:rPr>
          <w:rFonts w:hint="eastAsia" w:ascii="仿宋_GB2312" w:hAnsi="仿宋_GB2312" w:eastAsia="仿宋_GB2312" w:cs="仿宋_GB2312"/>
          <w:color w:val="0C0C0C"/>
          <w:spacing w:val="0"/>
          <w:kern w:val="0"/>
          <w:sz w:val="32"/>
          <w:szCs w:val="32"/>
          <w:highlight w:val="none"/>
          <w:lang w:val="en-US" w:eastAsia="zh-CN"/>
        </w:rPr>
        <w:t>1-6月份，国有资本经营收入完成173.73万元，为预算数的97.6%。</w:t>
      </w:r>
    </w:p>
    <w:p w14:paraId="42F17A51">
      <w:pPr>
        <w:keepNext w:val="0"/>
        <w:keepLines w:val="0"/>
        <w:pageBreakBefore w:val="0"/>
        <w:widowControl w:val="0"/>
        <w:numPr>
          <w:ilvl w:val="0"/>
          <w:numId w:val="0"/>
        </w:numPr>
        <w:kinsoku/>
        <w:wordWrap/>
        <w:overflowPunct/>
        <w:topLinePunct w:val="0"/>
        <w:autoSpaceDE/>
        <w:autoSpaceDN/>
        <w:bidi w:val="0"/>
        <w:adjustRightInd/>
        <w:snapToGrid w:val="0"/>
        <w:spacing w:line="620" w:lineRule="exact"/>
        <w:ind w:firstLine="643" w:firstLineChars="200"/>
        <w:jc w:val="both"/>
        <w:textAlignment w:val="auto"/>
        <w:rPr>
          <w:rFonts w:hint="eastAsia" w:ascii="仿宋_GB2312" w:hAnsi="仿宋_GB2312" w:eastAsia="仿宋_GB2312" w:cs="仿宋_GB2312"/>
          <w:color w:val="0C0C0C"/>
          <w:spacing w:val="0"/>
          <w:kern w:val="0"/>
          <w:sz w:val="32"/>
          <w:szCs w:val="32"/>
          <w:highlight w:val="none"/>
          <w:lang w:val="en-US" w:eastAsia="zh-CN"/>
        </w:rPr>
      </w:pPr>
      <w:r>
        <w:rPr>
          <w:rFonts w:hint="eastAsia" w:ascii="仿宋_GB2312" w:hAnsi="仿宋_GB2312" w:eastAsia="仿宋_GB2312" w:cs="仿宋_GB2312"/>
          <w:b/>
          <w:bCs/>
          <w:color w:val="0C0C0C"/>
          <w:spacing w:val="0"/>
          <w:kern w:val="0"/>
          <w:sz w:val="32"/>
          <w:szCs w:val="32"/>
          <w:lang w:val="en-US" w:eastAsia="zh-CN"/>
        </w:rPr>
        <w:t>4.社会保险基金预算执行情况。</w:t>
      </w:r>
      <w:r>
        <w:rPr>
          <w:rFonts w:hint="eastAsia" w:ascii="仿宋_GB2312" w:hAnsi="仿宋_GB2312" w:eastAsia="仿宋_GB2312" w:cs="仿宋_GB2312"/>
          <w:color w:val="0C0C0C"/>
          <w:spacing w:val="0"/>
          <w:kern w:val="0"/>
          <w:sz w:val="32"/>
          <w:szCs w:val="32"/>
          <w:highlight w:val="none"/>
          <w:lang w:val="en-US" w:eastAsia="zh-CN"/>
        </w:rPr>
        <w:t xml:space="preserve">1-6月份，社会保险基金收入15640万元，为预算数的62.5%；社会保险基金支出8536万元，为预算数的49.2%。 </w:t>
      </w:r>
    </w:p>
    <w:p w14:paraId="0F3C7089">
      <w:pPr>
        <w:keepNext w:val="0"/>
        <w:keepLines w:val="0"/>
        <w:pageBreakBefore w:val="0"/>
        <w:widowControl w:val="0"/>
        <w:kinsoku/>
        <w:wordWrap/>
        <w:overflowPunct/>
        <w:topLinePunct w:val="0"/>
        <w:autoSpaceDE/>
        <w:bidi w:val="0"/>
        <w:adjustRightInd/>
        <w:snapToGrid w:val="0"/>
        <w:spacing w:line="620" w:lineRule="exact"/>
        <w:ind w:left="0" w:right="0" w:rightChars="0" w:firstLine="643" w:firstLineChars="200"/>
        <w:jc w:val="both"/>
        <w:rPr>
          <w:rFonts w:hint="eastAsia" w:ascii="仿宋_GB2312" w:hAnsi="仿宋_GB2312" w:eastAsia="仿宋_GB2312" w:cs="仿宋_GB2312"/>
          <w:b w:val="0"/>
          <w:bCs w:val="0"/>
          <w:color w:val="0C0C0C"/>
          <w:spacing w:val="0"/>
          <w:kern w:val="0"/>
          <w:sz w:val="32"/>
          <w:szCs w:val="32"/>
          <w:highlight w:val="none"/>
          <w:lang w:val="en-US" w:eastAsia="zh-CN"/>
        </w:rPr>
      </w:pPr>
      <w:r>
        <w:rPr>
          <w:rFonts w:hint="eastAsia" w:ascii="仿宋_GB2312" w:hAnsi="仿宋_GB2312" w:eastAsia="仿宋_GB2312" w:cs="仿宋_GB2312"/>
          <w:b/>
          <w:bCs/>
          <w:color w:val="0C0C0C"/>
          <w:spacing w:val="0"/>
          <w:kern w:val="0"/>
          <w:sz w:val="32"/>
          <w:szCs w:val="32"/>
          <w:highlight w:val="none"/>
          <w:lang w:val="en-US" w:eastAsia="zh-CN"/>
        </w:rPr>
        <w:t>5.地方政府债券使用情况。</w:t>
      </w:r>
      <w:r>
        <w:rPr>
          <w:rFonts w:hint="eastAsia" w:ascii="仿宋_GB2312" w:hAnsi="仿宋_GB2312" w:eastAsia="仿宋_GB2312" w:cs="仿宋_GB2312"/>
          <w:b w:val="0"/>
          <w:bCs w:val="0"/>
          <w:color w:val="0C0C0C"/>
          <w:spacing w:val="0"/>
          <w:kern w:val="0"/>
          <w:sz w:val="32"/>
          <w:szCs w:val="32"/>
          <w:highlight w:val="none"/>
          <w:lang w:val="en-US" w:eastAsia="zh-CN"/>
        </w:rPr>
        <w:t>1-6月份，发行地方新增政府专项债券资金28400万元，其中：信阳市浉河区老旧小区改造项目（二期）4400万元、信阳市浉河区停车场及配套设施建设项目2000万元、信阳市浉河区金牛社区棚户区改造14500万元、信阳市浉河区两河口区域棚户区改造项目7500万元。</w:t>
      </w:r>
    </w:p>
    <w:p w14:paraId="76FD8B58">
      <w:pPr>
        <w:keepNext w:val="0"/>
        <w:keepLines w:val="0"/>
        <w:pageBreakBefore w:val="0"/>
        <w:widowControl w:val="0"/>
        <w:kinsoku/>
        <w:wordWrap/>
        <w:overflowPunct/>
        <w:topLinePunct w:val="0"/>
        <w:autoSpaceDE/>
        <w:autoSpaceDN/>
        <w:bidi w:val="0"/>
        <w:adjustRightInd/>
        <w:snapToGrid/>
        <w:spacing w:line="620" w:lineRule="exact"/>
        <w:ind w:left="0" w:right="0" w:rightChars="0" w:firstLine="643" w:firstLineChars="200"/>
        <w:jc w:val="both"/>
        <w:textAlignment w:val="auto"/>
        <w:rPr>
          <w:rFonts w:hint="eastAsia" w:ascii="楷体_GB2312" w:hAnsi="楷体_GB2312" w:eastAsia="楷体_GB2312" w:cs="楷体_GB2312"/>
          <w:b/>
          <w:bCs/>
          <w:color w:val="000000"/>
          <w:spacing w:val="0"/>
          <w:kern w:val="32"/>
          <w:sz w:val="32"/>
          <w:szCs w:val="32"/>
          <w:highlight w:val="none"/>
          <w:lang w:val="en-US" w:eastAsia="zh-CN"/>
        </w:rPr>
      </w:pPr>
      <w:r>
        <w:rPr>
          <w:rFonts w:hint="eastAsia" w:ascii="楷体_GB2312" w:hAnsi="楷体_GB2312" w:eastAsia="楷体_GB2312" w:cs="楷体_GB2312"/>
          <w:b/>
          <w:bCs/>
          <w:color w:val="000000"/>
          <w:spacing w:val="0"/>
          <w:kern w:val="32"/>
          <w:sz w:val="32"/>
          <w:szCs w:val="32"/>
          <w:highlight w:val="none"/>
          <w:lang w:val="en-US" w:eastAsia="zh-CN"/>
        </w:rPr>
        <w:t>（二）2025年下半年财政工作重点</w:t>
      </w:r>
    </w:p>
    <w:p w14:paraId="1A8DC2C5">
      <w:pPr>
        <w:keepNext w:val="0"/>
        <w:keepLines w:val="0"/>
        <w:pageBreakBefore w:val="0"/>
        <w:widowControl w:val="0"/>
        <w:numPr>
          <w:ilvl w:val="0"/>
          <w:numId w:val="0"/>
        </w:numPr>
        <w:kinsoku/>
        <w:wordWrap/>
        <w:overflowPunct/>
        <w:topLinePunct w:val="0"/>
        <w:autoSpaceDE w:val="0"/>
        <w:autoSpaceDN w:val="0"/>
        <w:bidi w:val="0"/>
        <w:adjustRightInd/>
        <w:snapToGrid w:val="0"/>
        <w:spacing w:beforeAutospacing="0" w:afterAutospacing="0" w:line="620" w:lineRule="exact"/>
        <w:ind w:right="0" w:rightChars="0" w:firstLine="640"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snapToGrid w:val="0"/>
          <w:color w:val="000000"/>
          <w:kern w:val="2"/>
          <w:sz w:val="32"/>
          <w:szCs w:val="32"/>
          <w:lang w:val="en-US" w:eastAsia="zh-CN" w:bidi="ar"/>
        </w:rPr>
        <w:t>下半年，财政部门将坚持以习近平新时代中国特色社会主义思想为指导，深入学习贯彻党的二十大和二十届二中、三中全会精神，坚持稳中求进工作总基调，完整、准确、全面贯彻新发展理念，坚决落实中央、省委关于基层“三保”工作的重大决策部署，牢固树立政府“过紧日子”思想，以高度的政治责任感和使命感，全力抓好以下六个方面重点工作，确保财政平稳健康运行，为全区经济社会发展提供坚实财政保障：</w:t>
      </w:r>
    </w:p>
    <w:p w14:paraId="05259B5D">
      <w:pPr>
        <w:keepNext w:val="0"/>
        <w:keepLines w:val="0"/>
        <w:pageBreakBefore w:val="0"/>
        <w:widowControl w:val="0"/>
        <w:numPr>
          <w:ilvl w:val="0"/>
          <w:numId w:val="0"/>
        </w:numPr>
        <w:kinsoku/>
        <w:wordWrap/>
        <w:overflowPunct/>
        <w:topLinePunct w:val="0"/>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b/>
          <w:bCs/>
          <w:color w:val="auto"/>
          <w:spacing w:val="0"/>
          <w:sz w:val="32"/>
          <w:szCs w:val="32"/>
          <w:highlight w:val="none"/>
          <w:lang w:val="en-US" w:eastAsia="zh-CN"/>
        </w:rPr>
        <w:t>1.强化开源增收，筑牢根基稳运行。</w:t>
      </w:r>
      <w:r>
        <w:rPr>
          <w:rFonts w:hint="eastAsia" w:ascii="仿宋_GB2312" w:hAnsi="仿宋_GB2312" w:eastAsia="仿宋_GB2312" w:cs="仿宋_GB2312"/>
          <w:b/>
          <w:bCs/>
          <w:snapToGrid w:val="0"/>
          <w:color w:val="000000"/>
          <w:kern w:val="2"/>
          <w:sz w:val="32"/>
          <w:szCs w:val="32"/>
          <w:lang w:val="en-US" w:eastAsia="zh-CN" w:bidi="ar"/>
        </w:rPr>
        <w:t>一是夯实已有税基。</w:t>
      </w:r>
      <w:r>
        <w:rPr>
          <w:rFonts w:hint="eastAsia" w:ascii="仿宋_GB2312" w:hAnsi="仿宋_GB2312" w:eastAsia="仿宋_GB2312" w:cs="仿宋_GB2312"/>
          <w:snapToGrid w:val="0"/>
          <w:color w:val="000000"/>
          <w:kern w:val="2"/>
          <w:sz w:val="32"/>
          <w:szCs w:val="32"/>
          <w:lang w:val="en-US" w:eastAsia="zh-CN" w:bidi="ar"/>
        </w:rPr>
        <w:t>积极发挥财政引导作用，优化营商环境，服务好现有市场主体，促进税源稳定增长，严防无故流失。</w:t>
      </w:r>
      <w:r>
        <w:rPr>
          <w:rFonts w:hint="eastAsia" w:ascii="仿宋_GB2312" w:hAnsi="仿宋_GB2312" w:eastAsia="仿宋_GB2312" w:cs="仿宋_GB2312"/>
          <w:b/>
          <w:bCs/>
          <w:snapToGrid w:val="0"/>
          <w:color w:val="000000"/>
          <w:kern w:val="2"/>
          <w:sz w:val="32"/>
          <w:szCs w:val="32"/>
          <w:lang w:val="en-US" w:eastAsia="zh-CN" w:bidi="ar"/>
        </w:rPr>
        <w:t>二是积极引进税源。</w:t>
      </w:r>
      <w:r>
        <w:rPr>
          <w:rFonts w:hint="eastAsia" w:ascii="仿宋_GB2312" w:hAnsi="仿宋_GB2312" w:eastAsia="仿宋_GB2312" w:cs="仿宋_GB2312"/>
          <w:snapToGrid w:val="0"/>
          <w:color w:val="000000"/>
          <w:kern w:val="2"/>
          <w:sz w:val="32"/>
          <w:szCs w:val="32"/>
          <w:lang w:val="en-US" w:eastAsia="zh-CN" w:bidi="ar"/>
        </w:rPr>
        <w:t>强化主动服务意识，全力支持各乡镇办、各部门招商引资工作，在前期经费保障上予以优先安排，助力项目落地见效。</w:t>
      </w:r>
      <w:r>
        <w:rPr>
          <w:rFonts w:hint="eastAsia" w:ascii="仿宋_GB2312" w:hAnsi="仿宋_GB2312" w:eastAsia="仿宋_GB2312" w:cs="仿宋_GB2312"/>
          <w:b/>
          <w:bCs/>
          <w:snapToGrid w:val="0"/>
          <w:color w:val="000000"/>
          <w:kern w:val="2"/>
          <w:sz w:val="32"/>
          <w:szCs w:val="32"/>
          <w:lang w:val="en-US" w:eastAsia="zh-CN" w:bidi="ar"/>
        </w:rPr>
        <w:t>三是全力争资跑项。</w:t>
      </w:r>
      <w:r>
        <w:rPr>
          <w:rFonts w:hint="eastAsia" w:ascii="仿宋_GB2312" w:hAnsi="仿宋_GB2312" w:eastAsia="仿宋_GB2312" w:cs="仿宋_GB2312"/>
          <w:snapToGrid w:val="0"/>
          <w:color w:val="000000"/>
          <w:kern w:val="2"/>
          <w:sz w:val="32"/>
          <w:szCs w:val="32"/>
          <w:lang w:val="en-US" w:eastAsia="zh-CN" w:bidi="ar"/>
        </w:rPr>
        <w:t>密切关注国家和省政策导向与资金投向，重点围绕中央预算内投资、政策性转移支付、地方政府专项债券等领域，发挥财政讯息优势，精准高效协助各部门做好项目谋划与申报，提升争取资金实效。</w:t>
      </w:r>
      <w:r>
        <w:rPr>
          <w:rFonts w:hint="eastAsia" w:ascii="仿宋_GB2312" w:hAnsi="仿宋_GB2312" w:eastAsia="仿宋_GB2312" w:cs="仿宋_GB2312"/>
          <w:b/>
          <w:bCs/>
          <w:snapToGrid w:val="0"/>
          <w:color w:val="000000"/>
          <w:kern w:val="2"/>
          <w:sz w:val="32"/>
          <w:szCs w:val="32"/>
          <w:lang w:val="en-US" w:eastAsia="zh-CN" w:bidi="ar"/>
        </w:rPr>
        <w:t>四是压实非税收入。</w:t>
      </w:r>
      <w:r>
        <w:rPr>
          <w:rFonts w:hint="eastAsia" w:ascii="仿宋_GB2312" w:hAnsi="仿宋_GB2312" w:eastAsia="仿宋_GB2312" w:cs="仿宋_GB2312"/>
          <w:snapToGrid w:val="0"/>
          <w:color w:val="000000"/>
          <w:kern w:val="2"/>
          <w:sz w:val="32"/>
          <w:szCs w:val="32"/>
          <w:lang w:val="en-US" w:eastAsia="zh-CN" w:bidi="ar"/>
        </w:rPr>
        <w:t>在确保现有非税收入依法足额征收的基础上，全面清查盘活全区国有经营性资产，确保应收尽收、及时入库。</w:t>
      </w:r>
    </w:p>
    <w:p w14:paraId="2AF3ECD1">
      <w:pPr>
        <w:keepNext w:val="0"/>
        <w:keepLines w:val="0"/>
        <w:pageBreakBefore w:val="0"/>
        <w:widowControl w:val="0"/>
        <w:numPr>
          <w:ilvl w:val="0"/>
          <w:numId w:val="0"/>
        </w:numPr>
        <w:kinsoku/>
        <w:wordWrap/>
        <w:overflowPunct/>
        <w:topLinePunct w:val="0"/>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bCs/>
          <w:color w:val="auto"/>
          <w:spacing w:val="0"/>
          <w:sz w:val="32"/>
          <w:szCs w:val="32"/>
          <w:highlight w:val="none"/>
          <w:lang w:val="en-US" w:eastAsia="zh-CN"/>
        </w:rPr>
        <w:t>2.厉行勤俭节约，坚决兜牢“三保”底线。</w:t>
      </w:r>
      <w:r>
        <w:rPr>
          <w:rFonts w:hint="eastAsia" w:ascii="仿宋_GB2312" w:hAnsi="仿宋_GB2312" w:eastAsia="仿宋_GB2312" w:cs="仿宋_GB2312"/>
          <w:snapToGrid w:val="0"/>
          <w:color w:val="000000"/>
          <w:kern w:val="2"/>
          <w:sz w:val="32"/>
          <w:szCs w:val="32"/>
          <w:lang w:val="en-US" w:eastAsia="zh-CN" w:bidi="ar"/>
        </w:rPr>
        <w:t>继续将保障基层“三保”作为财政工作的重中之重和政治责任。面对严峻的收支形势和调度压力，财政部门已联合区纪委监委、区审计局印发《关于严格落实党政机关过紧日子要求的通知》，并梳理形成负面清单72条。基本原则是非预算不支出，非必要不追加，勤俭办一切事业，从严控制所有支出，确保基本民生支出只增不减，确保工资按时足额发放，确保全区各机构正常运转。</w:t>
      </w:r>
    </w:p>
    <w:p w14:paraId="2CAF014F">
      <w:pPr>
        <w:keepNext w:val="0"/>
        <w:keepLines w:val="0"/>
        <w:pageBreakBefore w:val="0"/>
        <w:widowControl w:val="0"/>
        <w:numPr>
          <w:ilvl w:val="0"/>
          <w:numId w:val="0"/>
        </w:numPr>
        <w:kinsoku/>
        <w:wordWrap/>
        <w:overflowPunct/>
        <w:topLinePunct w:val="0"/>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b/>
          <w:bCs/>
          <w:color w:val="auto"/>
          <w:spacing w:val="0"/>
          <w:sz w:val="32"/>
          <w:szCs w:val="32"/>
          <w:highlight w:val="none"/>
          <w:lang w:val="en-US" w:eastAsia="zh-CN"/>
        </w:rPr>
        <w:t>3.严格预算执行，强化预算约束力。</w:t>
      </w:r>
      <w:r>
        <w:rPr>
          <w:rFonts w:hint="eastAsia" w:ascii="仿宋_GB2312" w:hAnsi="仿宋_GB2312" w:eastAsia="仿宋_GB2312" w:cs="仿宋_GB2312"/>
          <w:snapToGrid w:val="0"/>
          <w:color w:val="000000"/>
          <w:kern w:val="2"/>
          <w:sz w:val="32"/>
          <w:szCs w:val="32"/>
          <w:lang w:val="en-US" w:eastAsia="zh-CN" w:bidi="ar"/>
        </w:rPr>
        <w:t>牢固树立“无预算不支出”的铁律，未经法定程序批准，绝不发生任何超预算、无预算支出。严控预算调剂行为，确需调剂的，必须严格按照预算法等规定履行报批程序，切实维护预算的法定权威性和刚性约束力。</w:t>
      </w:r>
    </w:p>
    <w:p w14:paraId="628B9FA3">
      <w:pPr>
        <w:keepNext w:val="0"/>
        <w:keepLines w:val="0"/>
        <w:pageBreakBefore w:val="0"/>
        <w:widowControl w:val="0"/>
        <w:numPr>
          <w:ilvl w:val="0"/>
          <w:numId w:val="0"/>
        </w:numPr>
        <w:kinsoku/>
        <w:wordWrap/>
        <w:overflowPunct/>
        <w:topLinePunct w:val="0"/>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b/>
          <w:bCs/>
          <w:color w:val="auto"/>
          <w:spacing w:val="0"/>
          <w:sz w:val="32"/>
          <w:szCs w:val="32"/>
          <w:highlight w:val="none"/>
          <w:lang w:val="en-US" w:eastAsia="zh-CN"/>
        </w:rPr>
        <w:t>4.抓实风险管控，守牢安全发展底线。</w:t>
      </w:r>
      <w:r>
        <w:rPr>
          <w:rFonts w:hint="eastAsia" w:ascii="仿宋_GB2312" w:hAnsi="仿宋_GB2312" w:eastAsia="仿宋_GB2312" w:cs="仿宋_GB2312"/>
          <w:snapToGrid w:val="0"/>
          <w:color w:val="000000"/>
          <w:kern w:val="2"/>
          <w:sz w:val="32"/>
          <w:szCs w:val="32"/>
          <w:lang w:val="en-US" w:eastAsia="zh-CN" w:bidi="ar"/>
        </w:rPr>
        <w:t>坚持“控增量、化存量”并重，牢牢守住不发生区域性系统性风险底线。严把项目审批关，坚决杜绝脱离财力实际的“形象工程”“政绩工程”。对无明确资金来源或有来源但区级财政无力保障现金支付的项目，一律审慎研究、从严审批。密切关注国家化债政策动向，积极争取并用好地方政府债券特别是置换债券政策机遇，稳妥有序化解存量隐性债务和政府拖欠企业账款，有效降低债务风险等级。</w:t>
      </w:r>
    </w:p>
    <w:p w14:paraId="0FE35B8E">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b/>
          <w:bCs/>
          <w:snapToGrid w:val="0"/>
          <w:color w:val="000000"/>
          <w:kern w:val="2"/>
          <w:sz w:val="32"/>
          <w:szCs w:val="32"/>
          <w:lang w:val="en-US" w:eastAsia="zh-CN" w:bidi="ar"/>
        </w:rPr>
        <w:t>5.加强绩效管理，提升财政资金效益</w:t>
      </w:r>
      <w:r>
        <w:rPr>
          <w:rFonts w:hint="eastAsia" w:ascii="仿宋_GB2312" w:hAnsi="仿宋_GB2312" w:eastAsia="仿宋_GB2312" w:cs="仿宋_GB2312"/>
          <w:snapToGrid w:val="0"/>
          <w:color w:val="000000"/>
          <w:kern w:val="2"/>
          <w:sz w:val="32"/>
          <w:szCs w:val="32"/>
          <w:lang w:val="en-US" w:eastAsia="zh-CN" w:bidi="ar"/>
        </w:rPr>
        <w:t>。坚持“花钱必问效、无效必问责”，对涉及资金量大、影响面广的重大政策和项目，严把事前绩效评估关，强化事中运行监控，做实事后绩效评价。对执行中发现的项目进度滞后、目标偏离、资金闲置沉淀或效益低下等问题苗头，及时预警并督促主管部门限期整改，确保财政资金精准投向发展最急需、效益最显著的领域，切实提高财政资源配置效率和资金使用效益。</w:t>
      </w:r>
    </w:p>
    <w:p w14:paraId="245D58FE">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620" w:lineRule="exact"/>
        <w:ind w:right="0" w:rightChars="0" w:firstLine="643" w:firstLineChars="200"/>
        <w:jc w:val="both"/>
        <w:textAlignment w:val="baseline"/>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b/>
          <w:bCs/>
          <w:snapToGrid w:val="0"/>
          <w:color w:val="000000"/>
          <w:kern w:val="2"/>
          <w:sz w:val="32"/>
          <w:szCs w:val="32"/>
          <w:lang w:val="en-US" w:eastAsia="zh-CN" w:bidi="ar"/>
        </w:rPr>
        <w:t>6.严守财经纪律，织密筑牢监督网络。</w:t>
      </w:r>
      <w:r>
        <w:rPr>
          <w:rFonts w:hint="eastAsia" w:ascii="仿宋_GB2312" w:hAnsi="仿宋_GB2312" w:eastAsia="仿宋_GB2312" w:cs="仿宋_GB2312"/>
          <w:snapToGrid w:val="0"/>
          <w:color w:val="000000"/>
          <w:kern w:val="2"/>
          <w:sz w:val="32"/>
          <w:szCs w:val="32"/>
          <w:lang w:val="en-US" w:eastAsia="zh-CN" w:bidi="ar"/>
        </w:rPr>
        <w:t>依法履行财会监督职责，聚焦重大财税政策落实、重点专项资金使用、重大政府投资项目，加大监督力度，严处重查挤占挪用、虚报冒领等违纪违法行为。强化会计信息质量检查，严厉打击财务造假行为，对履职不力的中介机构依法依规从严惩处，着力夯实规范理财基础，确保财政资金安全、规范、高效运行。</w:t>
      </w:r>
    </w:p>
    <w:p w14:paraId="00DBEFAD">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eastAsia" w:ascii="仿宋_GB2312" w:hAnsi="仿宋_GB2312" w:eastAsia="仿宋_GB2312" w:cs="仿宋_GB2312"/>
          <w:snapToGrid w:val="0"/>
          <w:color w:val="000000"/>
          <w:kern w:val="2"/>
          <w:sz w:val="32"/>
          <w:szCs w:val="32"/>
          <w:lang w:val="en-US" w:eastAsia="zh-CN" w:bidi="ar"/>
        </w:rPr>
      </w:pPr>
      <w:r>
        <w:rPr>
          <w:rFonts w:hint="eastAsia" w:ascii="仿宋_GB2312" w:hAnsi="仿宋_GB2312" w:eastAsia="仿宋_GB2312" w:cs="仿宋_GB2312"/>
          <w:snapToGrid w:val="0"/>
          <w:color w:val="000000"/>
          <w:kern w:val="2"/>
          <w:sz w:val="32"/>
          <w:szCs w:val="32"/>
          <w:lang w:val="en-US" w:eastAsia="zh-CN" w:bidi="ar"/>
        </w:rPr>
        <w:t>做好2025年下半年财政工作，任务艰巨，我们深感责任重大。当前财政运行面临的压力和挑战前所未有，但我们对在区委的坚强领导和区人大的有力监督支持下完成全年目标充满信心。我们将始终坚定发展信心，凝聚各方合力，攻坚克难，锐意进取，自觉主动接受区人大及其常委会的依法监督，认真听取各位委员的意见建议，坚决贯彻执行本次会议的各项决议和要求。以更加奋发有为的精神状态、更加扎实有效的工作举措，全力以赴完成各项财政目标任务，为开创中国式现代化建设浉河新局面作出应有的贡献！</w:t>
      </w:r>
    </w:p>
    <w:p w14:paraId="4601F52A">
      <w:pPr>
        <w:pStyle w:val="4"/>
        <w:jc w:val="both"/>
      </w:pPr>
    </w:p>
    <w:p w14:paraId="45B6DB0D">
      <w:pPr>
        <w:pStyle w:val="4"/>
        <w:jc w:val="both"/>
      </w:pPr>
    </w:p>
    <w:p w14:paraId="639B29B9">
      <w:pPr>
        <w:pStyle w:val="4"/>
        <w:jc w:val="both"/>
      </w:pPr>
    </w:p>
    <w:p w14:paraId="5CD53CE7">
      <w:pPr>
        <w:pStyle w:val="4"/>
        <w:jc w:val="both"/>
      </w:pPr>
    </w:p>
    <w:p w14:paraId="2D71921A">
      <w:pPr>
        <w:pStyle w:val="4"/>
        <w:jc w:val="both"/>
      </w:pPr>
    </w:p>
    <w:p w14:paraId="2D52DEA6">
      <w:pPr>
        <w:pStyle w:val="4"/>
        <w:jc w:val="both"/>
      </w:pPr>
    </w:p>
    <w:p w14:paraId="3552B547">
      <w:pPr>
        <w:pStyle w:val="4"/>
        <w:jc w:val="both"/>
      </w:pPr>
    </w:p>
    <w:p w14:paraId="7B399760">
      <w:pPr>
        <w:pStyle w:val="4"/>
        <w:jc w:val="both"/>
      </w:pPr>
    </w:p>
    <w:p w14:paraId="1FD22B9C">
      <w:pPr>
        <w:keepNext w:val="0"/>
        <w:keepLines w:val="0"/>
        <w:pageBreakBefore w:val="0"/>
        <w:kinsoku/>
        <w:wordWrap/>
        <w:overflowPunct/>
        <w:topLinePunct w:val="0"/>
        <w:autoSpaceDE/>
        <w:autoSpaceDN/>
        <w:bidi w:val="0"/>
        <w:adjustRightInd/>
        <w:spacing w:line="58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财政报告名词解释</w:t>
      </w:r>
    </w:p>
    <w:p w14:paraId="64734FAA">
      <w:pPr>
        <w:keepNext w:val="0"/>
        <w:keepLines w:val="0"/>
        <w:pageBreakBefore w:val="0"/>
        <w:kinsoku/>
        <w:wordWrap/>
        <w:overflowPunct/>
        <w:topLinePunct w:val="0"/>
        <w:autoSpaceDE/>
        <w:autoSpaceDN/>
        <w:bidi w:val="0"/>
        <w:adjustRightInd/>
        <w:spacing w:line="580" w:lineRule="exact"/>
        <w:jc w:val="center"/>
        <w:textAlignment w:val="auto"/>
        <w:rPr>
          <w:rFonts w:hint="eastAsia"/>
          <w:b/>
          <w:bCs/>
          <w:sz w:val="18"/>
          <w:szCs w:val="18"/>
          <w:lang w:val="en-US" w:eastAsia="zh-CN"/>
        </w:rPr>
      </w:pPr>
    </w:p>
    <w:p w14:paraId="5E2F01D7">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color w:val="000000"/>
          <w:sz w:val="32"/>
          <w:szCs w:val="32"/>
        </w:rPr>
        <w:t>一般公共财政预算：</w:t>
      </w:r>
      <w:r>
        <w:rPr>
          <w:rFonts w:hint="eastAsia" w:ascii="仿宋_GB2312" w:hAnsi="仿宋_GB2312" w:eastAsia="仿宋_GB2312" w:cs="仿宋_GB2312"/>
          <w:b w:val="0"/>
          <w:bCs w:val="0"/>
          <w:color w:val="000000"/>
          <w:sz w:val="32"/>
          <w:szCs w:val="32"/>
        </w:rPr>
        <w:t>指政府凭借国家政治权力，以社会管理者身份筹集以税收为主体的财政收入，用于保障和改善民生、维持国家行政职能正常行使、保障国家安全等方面的收支预算。</w:t>
      </w:r>
    </w:p>
    <w:p w14:paraId="28E35239">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政府性基金预算：</w:t>
      </w:r>
      <w:r>
        <w:rPr>
          <w:rFonts w:hint="eastAsia" w:ascii="仿宋_GB2312" w:hAnsi="仿宋_GB2312" w:eastAsia="仿宋_GB2312" w:cs="仿宋_GB2312"/>
          <w:b w:val="0"/>
          <w:bCs w:val="0"/>
          <w:sz w:val="32"/>
          <w:szCs w:val="32"/>
          <w:lang w:val="en-US" w:eastAsia="zh-CN"/>
        </w:rPr>
        <w:t>指政府通过向社会征收基金、收费，以及出让土地、发行彩票等方式取得收入，专项用于支持特定基础设施建设和社会事业发展等方面的收支预算。</w:t>
      </w:r>
      <w:r>
        <w:rPr>
          <w:rFonts w:hint="eastAsia" w:ascii="仿宋_GB2312" w:hAnsi="仿宋_GB2312" w:eastAsia="仿宋_GB2312" w:cs="仿宋_GB2312"/>
          <w:b/>
          <w:bCs/>
          <w:sz w:val="32"/>
          <w:szCs w:val="32"/>
          <w:lang w:val="en-US" w:eastAsia="zh-CN"/>
        </w:rPr>
        <w:t>收入少</w:t>
      </w:r>
      <w:r>
        <w:rPr>
          <w:rFonts w:hint="eastAsia" w:ascii="仿宋_GB2312" w:hAnsi="仿宋_GB2312" w:eastAsia="仿宋_GB2312" w:cs="仿宋_GB2312"/>
          <w:b w:val="0"/>
          <w:bCs w:val="0"/>
          <w:sz w:val="32"/>
          <w:szCs w:val="32"/>
          <w:lang w:val="en-US" w:eastAsia="zh-CN"/>
        </w:rPr>
        <w:t>浉河区受市区同城影响无土地出让金征收职能；</w:t>
      </w:r>
      <w:r>
        <w:rPr>
          <w:rFonts w:hint="eastAsia" w:ascii="仿宋_GB2312" w:hAnsi="仿宋_GB2312" w:eastAsia="仿宋_GB2312" w:cs="仿宋_GB2312"/>
          <w:b/>
          <w:bCs/>
          <w:sz w:val="32"/>
          <w:szCs w:val="32"/>
          <w:lang w:val="en-US" w:eastAsia="zh-CN"/>
        </w:rPr>
        <w:t>支出大</w:t>
      </w:r>
      <w:r>
        <w:rPr>
          <w:rFonts w:hint="eastAsia" w:ascii="仿宋_GB2312" w:hAnsi="仿宋_GB2312" w:eastAsia="仿宋_GB2312" w:cs="仿宋_GB2312"/>
          <w:b w:val="0"/>
          <w:bCs w:val="0"/>
          <w:sz w:val="32"/>
          <w:szCs w:val="32"/>
          <w:lang w:val="en-US" w:eastAsia="zh-CN"/>
        </w:rPr>
        <w:t>属于政府债券资金支出。</w:t>
      </w:r>
    </w:p>
    <w:p w14:paraId="4DE81E90">
      <w:pPr>
        <w:keepNext w:val="0"/>
        <w:keepLines w:val="0"/>
        <w:pageBreakBefore w:val="0"/>
        <w:widowControl w:val="0"/>
        <w:kinsoku/>
        <w:wordWrap/>
        <w:overflowPunct/>
        <w:topLinePunct w:val="0"/>
        <w:autoSpaceDE/>
        <w:autoSpaceDN/>
        <w:bidi w:val="0"/>
        <w:adjustRightInd/>
        <w:snapToGrid w:val="0"/>
        <w:spacing w:line="620" w:lineRule="exact"/>
        <w:ind w:firstLine="643" w:firstLineChars="200"/>
        <w:jc w:val="both"/>
        <w:textAlignment w:val="auto"/>
        <w:rPr>
          <w:rFonts w:hint="eastAsia" w:ascii="仿宋_GB2312" w:hAnsi="仿宋_GB2312" w:eastAsia="仿宋_GB2312" w:cs="仿宋_GB2312"/>
          <w:b w:val="0"/>
          <w:bCs/>
          <w:color w:val="0C0C0C"/>
          <w:spacing w:val="0"/>
          <w:kern w:val="0"/>
          <w:sz w:val="32"/>
          <w:szCs w:val="32"/>
          <w:lang w:val="en-US" w:eastAsia="zh-CN"/>
        </w:rPr>
      </w:pPr>
      <w:r>
        <w:rPr>
          <w:rFonts w:hint="eastAsia" w:ascii="仿宋_GB2312" w:hAnsi="仿宋_GB2312" w:eastAsia="仿宋_GB2312" w:cs="仿宋_GB2312"/>
          <w:b/>
          <w:bCs/>
          <w:sz w:val="32"/>
          <w:szCs w:val="32"/>
          <w:lang w:val="en-US" w:eastAsia="zh-CN"/>
        </w:rPr>
        <w:t>国有资本经营预算：</w:t>
      </w:r>
      <w:r>
        <w:rPr>
          <w:rFonts w:hint="eastAsia" w:ascii="仿宋_GB2312" w:hAnsi="仿宋_GB2312" w:eastAsia="仿宋_GB2312" w:cs="仿宋_GB2312"/>
          <w:b w:val="0"/>
          <w:bCs w:val="0"/>
          <w:sz w:val="32"/>
          <w:szCs w:val="32"/>
          <w:lang w:val="en-US" w:eastAsia="zh-CN"/>
        </w:rPr>
        <w:t>指国家以所有者身份依法取得国有资本收益，并对所得收益进行分配而发生的收支预算。</w:t>
      </w:r>
    </w:p>
    <w:p w14:paraId="4D805650">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社会保险基金预算：</w:t>
      </w:r>
      <w:r>
        <w:rPr>
          <w:rFonts w:hint="eastAsia" w:ascii="仿宋_GB2312" w:hAnsi="仿宋_GB2312" w:eastAsia="仿宋_GB2312" w:cs="仿宋_GB2312"/>
          <w:color w:val="000000"/>
          <w:sz w:val="32"/>
          <w:szCs w:val="32"/>
        </w:rPr>
        <w:t>指根据国家社会保险和预算管理法律法规建立，反映各项社会保险基金收支的年度计划。</w:t>
      </w:r>
    </w:p>
    <w:p w14:paraId="70B65B98">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b/>
          <w:color w:val="000000"/>
          <w:kern w:val="0"/>
          <w:sz w:val="32"/>
          <w:szCs w:val="32"/>
          <w:lang w:val="en-US" w:eastAsia="zh-CN" w:bidi="ar-SA"/>
        </w:rPr>
        <w:t>“三保”资金：</w:t>
      </w:r>
      <w:r>
        <w:rPr>
          <w:rFonts w:hint="eastAsia" w:ascii="仿宋_GB2312" w:hAnsi="仿宋_GB2312" w:eastAsia="仿宋_GB2312" w:cs="仿宋_GB2312"/>
          <w:color w:val="000000"/>
          <w:sz w:val="32"/>
          <w:szCs w:val="32"/>
          <w:lang w:val="en-US" w:eastAsia="zh-CN"/>
        </w:rPr>
        <w:t>即“保工资、保基本民生、保运转”。</w:t>
      </w:r>
    </w:p>
    <w:p w14:paraId="1B243E2D">
      <w:pPr>
        <w:pStyle w:val="9"/>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b/>
          <w:color w:val="000000"/>
          <w:sz w:val="32"/>
          <w:szCs w:val="32"/>
        </w:rPr>
        <w:t>税收返还：</w:t>
      </w:r>
      <w:r>
        <w:rPr>
          <w:rFonts w:hint="eastAsia" w:ascii="仿宋_GB2312" w:hAnsi="仿宋_GB2312" w:eastAsia="仿宋_GB2312" w:cs="仿宋_GB2312"/>
          <w:color w:val="000000"/>
          <w:kern w:val="2"/>
          <w:sz w:val="32"/>
          <w:szCs w:val="32"/>
        </w:rPr>
        <w:t>指1994年分税制改革、2002年所得税收入分享改革、2009年成品油税费改革，2015年增值税收入划分过渡方案改革后，对原属于地方的收入划为中央收入部分，给予地方的补偿。包括增值税、消费税返还，所得税基数返还，增值税收入划分过渡方案返还、以及成品油税费改革税收返还。</w:t>
      </w:r>
    </w:p>
    <w:p w14:paraId="04756FDE">
      <w:pPr>
        <w:keepNext w:val="0"/>
        <w:keepLines w:val="0"/>
        <w:pageBreakBefore w:val="0"/>
        <w:widowControl w:val="0"/>
        <w:kinsoku/>
        <w:wordWrap/>
        <w:overflowPunct/>
        <w:topLinePunct w:val="0"/>
        <w:autoSpaceDE/>
        <w:autoSpaceDN/>
        <w:bidi w:val="0"/>
        <w:adjustRightInd/>
        <w:spacing w:line="620" w:lineRule="exact"/>
        <w:ind w:firstLine="619" w:firstLineChars="200"/>
        <w:jc w:val="both"/>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b/>
          <w:color w:val="000000"/>
          <w:spacing w:val="-6"/>
          <w:sz w:val="32"/>
          <w:szCs w:val="32"/>
        </w:rPr>
        <w:t>调入资金</w:t>
      </w:r>
      <w:r>
        <w:rPr>
          <w:rFonts w:hint="eastAsia" w:ascii="仿宋_GB2312" w:hAnsi="仿宋_GB2312" w:eastAsia="仿宋_GB2312" w:cs="仿宋_GB2312"/>
          <w:color w:val="000000"/>
          <w:spacing w:val="-6"/>
          <w:sz w:val="32"/>
          <w:szCs w:val="32"/>
        </w:rPr>
        <w:t>：指财政部门因平衡预算收支从结余资金以及其他渠道调入的资金。</w:t>
      </w:r>
    </w:p>
    <w:p w14:paraId="76D43C43">
      <w:pPr>
        <w:keepNext w:val="0"/>
        <w:keepLines w:val="0"/>
        <w:pageBreakBefore w:val="0"/>
        <w:widowControl w:val="0"/>
        <w:kinsoku/>
        <w:wordWrap/>
        <w:overflowPunct/>
        <w:topLinePunct w:val="0"/>
        <w:autoSpaceDE/>
        <w:autoSpaceDN/>
        <w:bidi w:val="0"/>
        <w:adjustRightInd/>
        <w:spacing w:line="620" w:lineRule="exact"/>
        <w:ind w:firstLine="619" w:firstLineChars="200"/>
        <w:jc w:val="both"/>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b/>
          <w:color w:val="000000"/>
          <w:spacing w:val="-6"/>
          <w:sz w:val="32"/>
          <w:szCs w:val="32"/>
        </w:rPr>
        <w:t>上解上级支出</w:t>
      </w:r>
      <w:r>
        <w:rPr>
          <w:rFonts w:hint="eastAsia" w:ascii="仿宋_GB2312" w:hAnsi="仿宋_GB2312" w:eastAsia="仿宋_GB2312" w:cs="仿宋_GB2312"/>
          <w:color w:val="000000"/>
          <w:spacing w:val="-6"/>
          <w:sz w:val="32"/>
          <w:szCs w:val="32"/>
        </w:rPr>
        <w:t>：是指下级财政部门将本年度的财政收入上解至上一级的财政部门。</w:t>
      </w:r>
    </w:p>
    <w:p w14:paraId="01EF4E09">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结转资金：</w:t>
      </w:r>
      <w:r>
        <w:rPr>
          <w:rFonts w:hint="eastAsia" w:ascii="仿宋_GB2312" w:hAnsi="仿宋_GB2312" w:eastAsia="仿宋_GB2312" w:cs="仿宋_GB2312"/>
          <w:color w:val="000000"/>
          <w:sz w:val="32"/>
          <w:szCs w:val="32"/>
        </w:rPr>
        <w:t>是财政拨款结转资金，指当年支出预算已执行但尚未完成，或因故未执行，下年需按原用途继续使用的财政拨款资金。</w:t>
      </w:r>
    </w:p>
    <w:p w14:paraId="3E98B3CF">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结余资金：</w:t>
      </w:r>
      <w:r>
        <w:rPr>
          <w:rFonts w:hint="eastAsia" w:ascii="仿宋_GB2312" w:hAnsi="仿宋_GB2312" w:eastAsia="仿宋_GB2312" w:cs="仿宋_GB2312"/>
          <w:color w:val="000000"/>
          <w:sz w:val="32"/>
          <w:szCs w:val="32"/>
        </w:rPr>
        <w:t>是财政拨款结余资金，指支出预算工作目标已完成，或由于受政策变化、计划调整等因素影响工作终止，当年剩余的财政拨款资金。</w:t>
      </w:r>
    </w:p>
    <w:p w14:paraId="38718A41">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bCs/>
          <w:color w:val="000000"/>
          <w:sz w:val="32"/>
          <w:szCs w:val="32"/>
          <w:lang w:val="en-US" w:eastAsia="zh-CN"/>
        </w:rPr>
        <w:t>预算稳定调节基金：</w:t>
      </w:r>
      <w:r>
        <w:rPr>
          <w:rFonts w:hint="eastAsia" w:ascii="仿宋_GB2312" w:hAnsi="仿宋_GB2312" w:eastAsia="仿宋_GB2312" w:cs="仿宋_GB2312"/>
          <w:b w:val="0"/>
          <w:bCs w:val="0"/>
          <w:color w:val="000000"/>
          <w:sz w:val="32"/>
          <w:szCs w:val="32"/>
          <w:lang w:val="en-US" w:eastAsia="zh-CN"/>
        </w:rPr>
        <w:t>核算本级政府财政为保持年度间预算的衔接和稳定而设置的储备性资金。</w:t>
      </w:r>
    </w:p>
    <w:p w14:paraId="501AB2E3">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盘活财政存量资金</w:t>
      </w:r>
      <w:r>
        <w:rPr>
          <w:rFonts w:hint="eastAsia" w:ascii="仿宋_GB2312" w:hAnsi="仿宋_GB2312" w:eastAsia="仿宋_GB2312" w:cs="仿宋_GB2312"/>
          <w:color w:val="000000"/>
          <w:sz w:val="32"/>
          <w:szCs w:val="32"/>
        </w:rPr>
        <w:t>：主要是把一些没有按照预算进度执行、依然趴在账上的沉淀结余资金用起来，更好地提高财政资金使用效益。</w:t>
      </w:r>
    </w:p>
    <w:p w14:paraId="6C13E6B0">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lang w:val="en-US" w:eastAsia="zh-CN"/>
        </w:rPr>
        <w:t>再融资</w:t>
      </w:r>
      <w:r>
        <w:rPr>
          <w:rFonts w:hint="eastAsia" w:ascii="仿宋_GB2312" w:hAnsi="仿宋_GB2312" w:eastAsia="仿宋_GB2312" w:cs="仿宋_GB2312"/>
          <w:b/>
          <w:color w:val="000000"/>
          <w:sz w:val="32"/>
          <w:szCs w:val="32"/>
        </w:rPr>
        <w:t>债券：</w:t>
      </w:r>
      <w:r>
        <w:rPr>
          <w:rFonts w:hint="eastAsia" w:ascii="仿宋_GB2312" w:hAnsi="仿宋_GB2312" w:eastAsia="仿宋_GB2312" w:cs="仿宋_GB2312"/>
          <w:color w:val="000000"/>
          <w:sz w:val="32"/>
          <w:szCs w:val="32"/>
        </w:rPr>
        <w:t>是指地方政府在利率适度的条件下，通过借新债来还旧债，将所欠的债务顺利</w:t>
      </w:r>
      <w:r>
        <w:rPr>
          <w:rFonts w:hint="eastAsia" w:ascii="仿宋_GB2312" w:hAnsi="仿宋_GB2312" w:eastAsia="仿宋_GB2312" w:cs="仿宋_GB2312"/>
          <w:color w:val="000000"/>
          <w:sz w:val="32"/>
          <w:szCs w:val="32"/>
          <w:lang w:eastAsia="zh-CN"/>
        </w:rPr>
        <w:t>地</w:t>
      </w:r>
      <w:r>
        <w:rPr>
          <w:rFonts w:hint="eastAsia" w:ascii="仿宋_GB2312" w:hAnsi="仿宋_GB2312" w:eastAsia="仿宋_GB2312" w:cs="仿宋_GB2312"/>
          <w:color w:val="000000"/>
          <w:sz w:val="32"/>
          <w:szCs w:val="32"/>
        </w:rPr>
        <w:t>延后的一种方式，用来缓解地方债务的压力。</w:t>
      </w:r>
    </w:p>
    <w:p w14:paraId="531C4393">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一般债券：</w:t>
      </w:r>
      <w:r>
        <w:rPr>
          <w:rFonts w:hint="eastAsia" w:ascii="仿宋_GB2312" w:hAnsi="仿宋_GB2312" w:eastAsia="仿宋_GB2312" w:cs="仿宋_GB2312"/>
          <w:color w:val="000000"/>
          <w:sz w:val="32"/>
          <w:szCs w:val="32"/>
        </w:rPr>
        <w:t>地方政府一般债券（简称一般债券）是指省、自治区、直辖市政府为没有收益的公益性项目发行的、约定一定期限内主要以一般公共预算收入还本付息的政府债券。债券资金收支列入一般公共预算管理，募集资金用于没有收益的公益性项目，偿债资金安排主要来自税收收入。</w:t>
      </w:r>
    </w:p>
    <w:p w14:paraId="43368E63">
      <w:pPr>
        <w:keepNext w:val="0"/>
        <w:keepLines w:val="0"/>
        <w:pageBreakBefore w:val="0"/>
        <w:widowControl w:val="0"/>
        <w:kinsoku/>
        <w:wordWrap/>
        <w:overflowPunct/>
        <w:topLinePunct w:val="0"/>
        <w:autoSpaceDE/>
        <w:autoSpaceDN/>
        <w:bidi w:val="0"/>
        <w:adjustRightInd/>
        <w:spacing w:line="620" w:lineRule="exact"/>
        <w:ind w:firstLine="643"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专项债券：</w:t>
      </w:r>
      <w:r>
        <w:rPr>
          <w:rFonts w:hint="eastAsia" w:ascii="仿宋_GB2312" w:hAnsi="仿宋_GB2312" w:eastAsia="仿宋_GB2312" w:cs="仿宋_GB2312"/>
          <w:color w:val="000000"/>
          <w:sz w:val="32"/>
          <w:szCs w:val="32"/>
        </w:rPr>
        <w:t>地方政府专项债券（简称专项债券）是指省、自治区、直辖市政府为有一定收益的公益性项目发行的、约定一定期限内以公益性项目对应的政府性基金或专项收入还本付息的政府债券。</w:t>
      </w:r>
    </w:p>
    <w:p w14:paraId="29C900E3">
      <w:pPr>
        <w:pStyle w:val="4"/>
        <w:jc w:val="both"/>
      </w:pPr>
    </w:p>
    <w:p w14:paraId="36C09D9C">
      <w:pPr>
        <w:pStyle w:val="4"/>
        <w:jc w:val="both"/>
      </w:pPr>
    </w:p>
    <w:p w14:paraId="0118ADD4">
      <w:pPr>
        <w:pStyle w:val="4"/>
        <w:jc w:val="both"/>
      </w:pPr>
    </w:p>
    <w:p w14:paraId="6901F73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color w:val="auto"/>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 w:name="方正大标宋_GBK">
    <w:altName w:val="宋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32D1F"/>
    <w:rsid w:val="1BB41D71"/>
    <w:rsid w:val="39D32D1F"/>
    <w:rsid w:val="48C82477"/>
    <w:rsid w:val="62393A1D"/>
    <w:rsid w:val="62E55633"/>
    <w:rsid w:val="751D6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8">
    <w:name w:val="heading 1"/>
    <w:basedOn w:val="1"/>
    <w:next w:val="1"/>
    <w:link w:val="13"/>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rFonts w:ascii="Calibri" w:hAnsi="Calibri"/>
    </w:rPr>
  </w:style>
  <w:style w:type="paragraph" w:styleId="3">
    <w:name w:val="Body Text"/>
    <w:basedOn w:val="1"/>
    <w:next w:val="4"/>
    <w:qFormat/>
    <w:uiPriority w:val="0"/>
    <w:rPr>
      <w:kern w:val="0"/>
      <w:sz w:val="32"/>
      <w:szCs w:val="20"/>
    </w:rPr>
  </w:style>
  <w:style w:type="paragraph" w:styleId="4">
    <w:name w:val="Body Text 2"/>
    <w:basedOn w:val="1"/>
    <w:qFormat/>
    <w:uiPriority w:val="0"/>
    <w:pPr>
      <w:jc w:val="center"/>
    </w:pPr>
    <w:rPr>
      <w:rFonts w:ascii="方正大标宋简体" w:eastAsia="方正大标宋简体"/>
      <w:sz w:val="44"/>
    </w:rPr>
  </w:style>
  <w:style w:type="paragraph" w:styleId="5">
    <w:name w:val="Body Text First Indent 2"/>
    <w:basedOn w:val="6"/>
    <w:next w:val="3"/>
    <w:qFormat/>
    <w:uiPriority w:val="0"/>
    <w:pPr>
      <w:spacing w:after="0"/>
      <w:ind w:left="0" w:leftChars="0" w:firstLine="420" w:firstLineChars="200"/>
    </w:pPr>
    <w:rPr>
      <w:rFonts w:ascii="Calibri" w:hAnsi="Calibri" w:eastAsia="宋体" w:cs="Calibri"/>
      <w:sz w:val="30"/>
      <w:szCs w:val="30"/>
    </w:rPr>
  </w:style>
  <w:style w:type="paragraph" w:styleId="6">
    <w:name w:val="Body Text Indent"/>
    <w:basedOn w:val="1"/>
    <w:next w:val="7"/>
    <w:qFormat/>
    <w:uiPriority w:val="0"/>
    <w:pPr>
      <w:spacing w:after="120"/>
      <w:ind w:left="420" w:leftChars="200"/>
    </w:pPr>
  </w:style>
  <w:style w:type="paragraph" w:styleId="7">
    <w:name w:val="Normal Indent"/>
    <w:basedOn w:val="1"/>
    <w:next w:val="1"/>
    <w:qFormat/>
    <w:uiPriority w:val="0"/>
    <w:pPr>
      <w:ind w:firstLine="420" w:firstLineChars="200"/>
    </w:pPr>
    <w:rPr>
      <w:rFonts w:cs="Times New Roman"/>
      <w:szCs w:val="24"/>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styleId="12">
    <w:name w:val="Strong"/>
    <w:qFormat/>
    <w:uiPriority w:val="0"/>
    <w:rPr>
      <w:b/>
      <w:bCs/>
    </w:rPr>
  </w:style>
  <w:style w:type="character" w:customStyle="1" w:styleId="13">
    <w:name w:val="标题 1 Char"/>
    <w:link w:val="8"/>
    <w:qFormat/>
    <w:uiPriority w:val="0"/>
    <w:rPr>
      <w:rFonts w:hint="eastAsia" w:ascii="宋体" w:hAnsi="宋体" w:eastAsia="宋体" w:cs="宋体"/>
      <w:b/>
      <w:bCs/>
      <w:kern w:val="44"/>
      <w:sz w:val="48"/>
      <w:szCs w:val="48"/>
      <w:lang w:val="en-US" w:eastAsia="zh-CN" w:bidi="ar"/>
    </w:rPr>
  </w:style>
  <w:style w:type="paragraph" w:customStyle="1" w:styleId="14">
    <w:name w:val="样式1"/>
    <w:basedOn w:val="1"/>
    <w:qFormat/>
    <w:uiPriority w:val="0"/>
    <w:rPr>
      <w:b/>
      <w:color w:val="538135"/>
      <w:sz w:val="28"/>
    </w:rPr>
  </w:style>
  <w:style w:type="paragraph" w:customStyle="1" w:styleId="15">
    <w:name w:val="样式2"/>
    <w:basedOn w:val="1"/>
    <w:qFormat/>
    <w:uiPriority w:val="0"/>
    <w:pPr>
      <w:spacing w:line="700" w:lineRule="exact"/>
      <w:jc w:val="center"/>
    </w:pPr>
    <w:rPr>
      <w:rFonts w:eastAsia="方正小标宋_GBK"/>
      <w:sz w:val="40"/>
    </w:rPr>
  </w:style>
  <w:style w:type="paragraph" w:customStyle="1" w:styleId="16">
    <w:name w:val="UserStyle_0"/>
    <w:basedOn w:val="1"/>
    <w:qFormat/>
    <w:uiPriority w:val="0"/>
    <w:pPr>
      <w:spacing w:line="700" w:lineRule="exact"/>
      <w:jc w:val="center"/>
      <w:textAlignment w:val="baseline"/>
    </w:pPr>
    <w:rPr>
      <w:rFonts w:ascii="Times New Roman" w:hAnsi="Times New Roman" w:eastAsia="方正小标宋_GBK"/>
      <w:kern w:val="2"/>
      <w:sz w:val="40"/>
      <w:szCs w:val="24"/>
      <w:lang w:val="en-US" w:eastAsia="zh-CN" w:bidi="ar-SA"/>
    </w:rPr>
  </w:style>
  <w:style w:type="paragraph" w:customStyle="1" w:styleId="17">
    <w:name w:val="Default"/>
    <w:qFormat/>
    <w:uiPriority w:val="99"/>
    <w:pPr>
      <w:widowControl w:val="0"/>
      <w:autoSpaceDE w:val="0"/>
      <w:autoSpaceDN w:val="0"/>
    </w:pPr>
    <w:rPr>
      <w:rFonts w:ascii="宋体" w:hAnsi="Times New Roman" w:eastAsia="宋体" w:cs="Times New Roman"/>
      <w:color w:val="000000"/>
      <w:sz w:val="24"/>
      <w:szCs w:val="22"/>
      <w:lang w:val="en-US" w:eastAsia="zh-CN" w:bidi="ar-SA"/>
    </w:rPr>
  </w:style>
  <w:style w:type="character" w:customStyle="1" w:styleId="18">
    <w:name w:val="NormalCharacter"/>
    <w:qFormat/>
    <w:uiPriority w:val="0"/>
    <w:rPr>
      <w:kern w:val="2"/>
      <w:sz w:val="21"/>
      <w:szCs w:val="24"/>
      <w:lang w:val="en-US" w:eastAsia="zh-CN" w:bidi="ar-SA"/>
    </w:rPr>
  </w:style>
  <w:style w:type="paragraph" w:customStyle="1" w:styleId="19">
    <w:name w:val="样式6"/>
    <w:basedOn w:val="1"/>
    <w:qFormat/>
    <w:uiPriority w:val="3"/>
    <w:pPr>
      <w:spacing w:line="560" w:lineRule="exact"/>
      <w:ind w:firstLine="640" w:firstLineChars="200"/>
    </w:pPr>
    <w:rPr>
      <w:rFonts w:ascii="黑体" w:hAnsi="黑体" w:eastAsia="黑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5674</Words>
  <Characters>6135</Characters>
  <Lines>0</Lines>
  <Paragraphs>0</Paragraphs>
  <TotalTime>0</TotalTime>
  <ScaleCrop>false</ScaleCrop>
  <LinksUpToDate>false</LinksUpToDate>
  <CharactersWithSpaces>6143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2025-08-22T00:33:00Z</dcterms:created>
  <dc:creator>无痕</dc:creator>
  <cp:lastModifiedBy>一人</cp:lastModifiedBy>
  <dcterms:modified xsi:type="dcterms:W3CDTF">2025-11-19T02:26:59Z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DF111FA62D01462B8B652113B79EE5AF_13</vt:lpwstr>
  </property>
  <property fmtid="{D5CDD505-2E9C-101B-9397-08002B2CF9AE}" pid="4" name="KSOTemplateDocerSaveRecord">
    <vt:lpwstr>eyJoZGlkIjoiNDZmZDAyZTg3NGFiZjdhMzMyYTg3Zjg4MzQ2MDIyODEiLCJ1c2VySWQiOiI1MDUyNzAwMzAifQ==</vt:lpwstr>
  </property>
</Properties>
</file>