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2DA5">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关于进一步加强传统村落保护发展的</w:t>
      </w:r>
    </w:p>
    <w:p w14:paraId="48FEA813">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实施意见</w:t>
      </w:r>
    </w:p>
    <w:p w14:paraId="45CAD5DF">
      <w:pPr>
        <w:jc w:val="center"/>
        <w:rPr>
          <w:rFonts w:hint="eastAsia" w:ascii="方正小标宋简体" w:eastAsia="方正小标宋简体"/>
          <w:color w:val="auto"/>
          <w:sz w:val="32"/>
          <w:szCs w:val="32"/>
          <w:lang w:eastAsia="zh-CN"/>
        </w:rPr>
      </w:pPr>
      <w:r>
        <w:rPr>
          <w:rFonts w:hint="eastAsia" w:ascii="方正小标宋简体" w:eastAsia="方正小标宋简体"/>
          <w:color w:val="auto"/>
          <w:sz w:val="32"/>
          <w:szCs w:val="32"/>
          <w:lang w:eastAsia="zh-CN"/>
        </w:rPr>
        <w:t>（征求意见稿）</w:t>
      </w:r>
    </w:p>
    <w:p w14:paraId="5E9FC8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为深入贯彻习近平总书记关于“发展乡村旅游不要搞大拆大建，要因地制宜、因势利导，把传统村落改造好、保护好</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的重要指示精神，全面落实《信阳市传统村落保护条例》《信阳市人民政府关于进一步加强传统村落保护发展的实施意见》，结合我县实际，现就进一步加强我县传统村落保护发展提出如下意见：</w:t>
      </w:r>
    </w:p>
    <w:p w14:paraId="40729C90">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黑体" w:hAnsi="微软雅黑" w:eastAsia="黑体"/>
          <w:color w:val="auto"/>
          <w:sz w:val="36"/>
          <w:szCs w:val="36"/>
          <w:shd w:val="clear" w:color="auto" w:fill="FFFFFF"/>
        </w:rPr>
      </w:pPr>
      <w:r>
        <w:rPr>
          <w:rFonts w:hint="eastAsia" w:ascii="黑体" w:hAnsi="微软雅黑" w:eastAsia="黑体"/>
          <w:color w:val="auto"/>
          <w:sz w:val="36"/>
          <w:szCs w:val="36"/>
          <w:shd w:val="clear" w:color="auto" w:fill="FFFFFF"/>
        </w:rPr>
        <w:t>一、总体要求</w:t>
      </w:r>
    </w:p>
    <w:p w14:paraId="70CFD3EE">
      <w:pPr>
        <w:pStyle w:val="4"/>
        <w:keepNext w:val="0"/>
        <w:keepLines w:val="0"/>
        <w:pageBreakBefore w:val="0"/>
        <w:widowControl w:val="0"/>
        <w:kinsoku/>
        <w:wordWrap/>
        <w:overflowPunct/>
        <w:topLinePunct w:val="0"/>
        <w:autoSpaceDE/>
        <w:autoSpaceDN/>
        <w:bidi w:val="0"/>
        <w:adjustRightInd/>
        <w:snapToGrid/>
        <w:spacing w:before="135" w:line="580" w:lineRule="exact"/>
        <w:ind w:left="15"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以习近平新时代中国特色社会主义思想为指导，深入贯彻落实习近平总书记视察河南深入信阳革命老区重要讲话精神和党的二十大精神，坚持“保护优先、合理利用、活态传承</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原则，以创建全国传统村落集中连片保护利用示范县为契机，将传统村落保护与全域旅游、乡村振兴深度融合，打造“九镇十八湾</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特色品牌，构建“古色+红色+绿色</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融合发展格局，实现传统村落保护与经济社会协调发展。</w:t>
      </w:r>
    </w:p>
    <w:p w14:paraId="4BE07074">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黑体" w:hAnsi="微软雅黑" w:eastAsia="黑体" w:cs="Times New Roman"/>
          <w:color w:val="auto"/>
          <w:sz w:val="36"/>
          <w:szCs w:val="36"/>
          <w:shd w:val="clear" w:color="auto" w:fill="FFFFFF"/>
          <w:lang w:val="en-US" w:eastAsia="zh-CN"/>
        </w:rPr>
      </w:pPr>
      <w:r>
        <w:rPr>
          <w:rFonts w:hint="eastAsia" w:ascii="黑体" w:hAnsi="微软雅黑" w:eastAsia="黑体" w:cs="Times New Roman"/>
          <w:color w:val="auto"/>
          <w:sz w:val="36"/>
          <w:szCs w:val="36"/>
          <w:shd w:val="clear" w:color="auto" w:fill="FFFFFF"/>
          <w:lang w:val="en-US" w:eastAsia="zh-CN"/>
        </w:rPr>
        <w:t>二、基本原则</w:t>
      </w:r>
    </w:p>
    <w:p w14:paraId="5461F722">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Calibri" w:eastAsia="楷体_GB2312" w:cs="Times New Roman"/>
          <w:b/>
          <w:color w:val="auto"/>
          <w:kern w:val="0"/>
          <w:sz w:val="32"/>
          <w:szCs w:val="32"/>
          <w:lang w:val="en-US" w:eastAsia="zh-CN" w:bidi="ar-SA"/>
        </w:rPr>
        <w:t>（一）规划引领，系统保护。</w:t>
      </w:r>
      <w:r>
        <w:rPr>
          <w:rFonts w:hint="eastAsia" w:ascii="仿宋_GB2312" w:hAnsi="仿宋_GB2312" w:eastAsia="仿宋_GB2312" w:cs="仿宋_GB2312"/>
          <w:b w:val="0"/>
          <w:bCs w:val="0"/>
          <w:color w:val="auto"/>
          <w:sz w:val="32"/>
          <w:szCs w:val="32"/>
          <w:lang w:val="en-US" w:eastAsia="zh-CN"/>
        </w:rPr>
        <w:t>坚持先规划后建设，编制传统村落保护发展专项规划，建立“一村一策</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保护名录，划定核心保护区、建设控制区和风貌协调区，保持传统村落整体格局和历史风貌。</w:t>
      </w:r>
    </w:p>
    <w:p w14:paraId="6239457C">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Calibri" w:eastAsia="楷体_GB2312" w:cs="Times New Roman"/>
          <w:b/>
          <w:color w:val="auto"/>
          <w:kern w:val="0"/>
          <w:sz w:val="32"/>
          <w:szCs w:val="32"/>
          <w:lang w:val="en-US" w:eastAsia="zh-CN" w:bidi="ar-SA"/>
        </w:rPr>
        <w:t>（二）生态优先，活态传承。</w:t>
      </w:r>
      <w:r>
        <w:rPr>
          <w:rFonts w:hint="eastAsia" w:ascii="仿宋_GB2312" w:hAnsi="仿宋_GB2312" w:eastAsia="仿宋_GB2312" w:cs="仿宋_GB2312"/>
          <w:b w:val="0"/>
          <w:bCs w:val="0"/>
          <w:color w:val="auto"/>
          <w:sz w:val="32"/>
          <w:szCs w:val="32"/>
          <w:lang w:val="en-US" w:eastAsia="zh-CN"/>
        </w:rPr>
        <w:t>遵循“修旧如旧</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理念，采用传统工艺技术保护修缮古建筑、古民居，传承农耕文化、民俗风情等非物质文化遗产，实现传统文化与现代生活的有机融合。</w:t>
      </w:r>
    </w:p>
    <w:p w14:paraId="7FA831B8">
      <w:pPr>
        <w:pStyle w:val="4"/>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Calibri" w:eastAsia="楷体_GB2312" w:cs="Times New Roman"/>
          <w:b/>
          <w:color w:val="auto"/>
          <w:kern w:val="0"/>
          <w:sz w:val="32"/>
          <w:szCs w:val="32"/>
          <w:lang w:val="en-US" w:eastAsia="zh-CN" w:bidi="ar-SA"/>
        </w:rPr>
        <w:t>（三）文旅融合，富民兴村。</w:t>
      </w:r>
      <w:r>
        <w:rPr>
          <w:rFonts w:hint="eastAsia" w:ascii="仿宋_GB2312" w:hAnsi="仿宋_GB2312" w:eastAsia="仿宋_GB2312" w:cs="仿宋_GB2312"/>
          <w:b w:val="0"/>
          <w:bCs w:val="0"/>
          <w:color w:val="auto"/>
          <w:sz w:val="32"/>
          <w:szCs w:val="32"/>
          <w:lang w:val="en-US" w:eastAsia="zh-CN"/>
        </w:rPr>
        <w:t>依托传统村落资源禀赋，发展乡村旅游、民宿经济、研学教育等新业态，延伸产业链条，促进村民就业增收，激发内生发展动力。</w:t>
      </w:r>
    </w:p>
    <w:p w14:paraId="00D113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shd w:val="clear" w:color="auto" w:fill="FFFFFF"/>
          <w:lang w:val="en-US" w:eastAsia="zh-CN"/>
        </w:rPr>
      </w:pPr>
      <w:r>
        <w:rPr>
          <w:rFonts w:hint="eastAsia" w:ascii="楷体_GB2312" w:hAnsi="Calibri" w:eastAsia="楷体_GB2312" w:cs="Times New Roman"/>
          <w:b/>
          <w:color w:val="auto"/>
          <w:kern w:val="0"/>
          <w:sz w:val="32"/>
          <w:szCs w:val="32"/>
          <w:lang w:val="en-US" w:eastAsia="zh-CN" w:bidi="ar-SA"/>
        </w:rPr>
        <w:t>（四）示范带动、整体推进。</w:t>
      </w:r>
      <w:r>
        <w:rPr>
          <w:rFonts w:hint="eastAsia" w:ascii="仿宋_GB2312" w:hAnsi="Calibri" w:eastAsia="仿宋_GB2312" w:cs="Times New Roman"/>
          <w:color w:val="auto"/>
          <w:sz w:val="32"/>
          <w:szCs w:val="32"/>
        </w:rPr>
        <w:t>在基础设施、产业发展、乡风文明等方面融入传统元素，促进传统村落保护发展。发挥示范引领作用，形成推动传统村落保护发展的新思路新措施，达到以点带面效果。</w:t>
      </w:r>
    </w:p>
    <w:p w14:paraId="6F0ED60C">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Calibri" w:eastAsia="楷体_GB2312" w:cs="Times New Roman"/>
          <w:b/>
          <w:color w:val="auto"/>
          <w:kern w:val="0"/>
          <w:sz w:val="32"/>
          <w:szCs w:val="32"/>
          <w:lang w:val="en-US" w:eastAsia="zh-CN" w:bidi="ar-SA"/>
        </w:rPr>
        <w:t>（五）多方联动，共建共享。</w:t>
      </w:r>
      <w:r>
        <w:rPr>
          <w:rFonts w:hint="eastAsia" w:ascii="仿宋_GB2312" w:hAnsi="仿宋_GB2312" w:eastAsia="仿宋_GB2312" w:cs="仿宋_GB2312"/>
          <w:b w:val="0"/>
          <w:bCs w:val="0"/>
          <w:color w:val="auto"/>
          <w:sz w:val="32"/>
          <w:szCs w:val="32"/>
          <w:lang w:val="en-US" w:eastAsia="zh-CN"/>
        </w:rPr>
        <w:t>建立政府主导、村民主体、</w:t>
      </w:r>
      <w:r>
        <w:rPr>
          <w:rFonts w:hint="eastAsia" w:ascii="仿宋_GB2312" w:hAnsi="仿宋_GB2312" w:eastAsia="仿宋_GB2312" w:cs="仿宋_GB2312"/>
          <w:b w:val="0"/>
          <w:bCs w:val="0"/>
          <w:color w:val="auto"/>
          <w:sz w:val="32"/>
          <w:szCs w:val="32"/>
          <w:lang w:val="en-US" w:eastAsia="zh-CN"/>
        </w:rPr>
        <w:t>社会参与的保护机制，完善利益联结模式，形成传统村落保护发展的强大合力。</w:t>
      </w:r>
    </w:p>
    <w:p w14:paraId="169BEF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textAlignment w:val="auto"/>
        <w:rPr>
          <w:rFonts w:hint="eastAsia" w:ascii="黑体" w:hAnsi="微软雅黑" w:eastAsia="黑体"/>
          <w:color w:val="auto"/>
          <w:sz w:val="36"/>
          <w:szCs w:val="36"/>
          <w:shd w:val="clear" w:color="auto" w:fill="FFFFFF"/>
        </w:rPr>
      </w:pPr>
      <w:r>
        <w:rPr>
          <w:rFonts w:hint="eastAsia" w:ascii="黑体" w:hAnsi="微软雅黑" w:eastAsia="黑体"/>
          <w:color w:val="auto"/>
          <w:sz w:val="36"/>
          <w:szCs w:val="36"/>
          <w:shd w:val="clear" w:color="auto" w:fill="FFFFFF"/>
          <w:lang w:eastAsia="zh-CN"/>
        </w:rPr>
        <w:t>三、</w:t>
      </w:r>
      <w:r>
        <w:rPr>
          <w:rFonts w:hint="eastAsia" w:ascii="黑体" w:hAnsi="微软雅黑" w:eastAsia="黑体"/>
          <w:color w:val="auto"/>
          <w:sz w:val="36"/>
          <w:szCs w:val="36"/>
          <w:shd w:val="clear" w:color="auto" w:fill="FFFFFF"/>
        </w:rPr>
        <w:t>主要任务</w:t>
      </w:r>
    </w:p>
    <w:p w14:paraId="07FE20F5">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楷体_GB2312" w:hAnsi="Calibri" w:eastAsia="楷体_GB2312" w:cs="Times New Roman"/>
          <w:b/>
          <w:color w:val="auto"/>
          <w:kern w:val="0"/>
          <w:sz w:val="32"/>
          <w:szCs w:val="32"/>
          <w:lang w:val="en-US" w:eastAsia="zh-CN" w:bidi="ar-SA"/>
        </w:rPr>
      </w:pPr>
      <w:r>
        <w:rPr>
          <w:rFonts w:hint="eastAsia" w:ascii="楷体_GB2312" w:hAnsi="Calibri" w:eastAsia="楷体_GB2312" w:cs="Times New Roman"/>
          <w:b/>
          <w:color w:val="auto"/>
          <w:kern w:val="0"/>
          <w:sz w:val="32"/>
          <w:szCs w:val="32"/>
          <w:lang w:val="en-US" w:eastAsia="zh-CN" w:bidi="ar-SA"/>
        </w:rPr>
        <w:t>（一）完善保护体系，筑牢传承根基</w:t>
      </w:r>
    </w:p>
    <w:p w14:paraId="73C69690">
      <w:pPr>
        <w:pStyle w:val="4"/>
        <w:keepNext w:val="0"/>
        <w:keepLines w:val="0"/>
        <w:pageBreakBefore w:val="0"/>
        <w:widowControl w:val="0"/>
        <w:kinsoku/>
        <w:wordWrap/>
        <w:overflowPunct/>
        <w:topLinePunct w:val="0"/>
        <w:autoSpaceDE/>
        <w:autoSpaceDN/>
        <w:bidi w:val="0"/>
        <w:adjustRightInd/>
        <w:snapToGrid/>
        <w:spacing w:before="135" w:line="580" w:lineRule="exact"/>
        <w:ind w:left="15" w:firstLine="640" w:firstLineChars="200"/>
        <w:jc w:val="both"/>
        <w:textAlignment w:val="auto"/>
        <w:rPr>
          <w:rFonts w:hint="eastAsia" w:ascii="仿宋" w:hAnsi="仿宋" w:eastAsia="仿宋" w:cs="仿宋"/>
          <w:color w:val="auto"/>
          <w:sz w:val="32"/>
          <w:szCs w:val="32"/>
          <w:shd w:val="clear" w:color="auto" w:fill="FFFFFF"/>
          <w:lang w:val="en-US" w:eastAsia="zh-CN"/>
        </w:rPr>
      </w:pPr>
      <w:bookmarkStart w:id="0" w:name="_GoBack"/>
      <w:r>
        <w:rPr>
          <w:rFonts w:hint="eastAsia" w:ascii="仿宋_GB2312" w:hAnsi="仿宋_GB2312" w:eastAsia="仿宋_GB2312" w:cs="仿宋_GB2312"/>
          <w:b w:val="0"/>
          <w:bCs w:val="0"/>
          <w:color w:val="auto"/>
          <w:sz w:val="32"/>
          <w:szCs w:val="32"/>
          <w:lang w:val="en-US" w:eastAsia="zh-CN"/>
        </w:rPr>
        <w:t>1.实施分级保护制度。对已公布的10个中国传统村落、34个省级传统村落和68个市级传统村落实施挂牌重点保护，建立动态监测评估机制，杜绝大拆大建，严禁拆真建假、破坏历史风貌。</w:t>
      </w:r>
      <w:r>
        <w:rPr>
          <w:rFonts w:hint="eastAsia" w:ascii="仿宋_GB2312" w:hAnsi="仿宋_GB2312" w:eastAsia="仿宋_GB2312" w:cs="仿宋_GB2312"/>
          <w:b w:val="0"/>
          <w:bCs w:val="0"/>
          <w:color w:val="auto"/>
          <w:sz w:val="32"/>
          <w:szCs w:val="32"/>
          <w:lang w:val="en-US" w:eastAsia="zh-CN"/>
        </w:rPr>
        <w:t>继续做好传统村落资源调查和认定工作，使更多具有鲜明地域特色、传统</w:t>
      </w:r>
      <w:bookmarkEnd w:id="0"/>
      <w:r>
        <w:rPr>
          <w:rFonts w:hint="eastAsia" w:ascii="仿宋_GB2312" w:hAnsi="仿宋_GB2312" w:eastAsia="仿宋_GB2312" w:cs="仿宋_GB2312"/>
          <w:b w:val="0"/>
          <w:bCs w:val="0"/>
          <w:color w:val="auto"/>
          <w:sz w:val="32"/>
          <w:szCs w:val="32"/>
          <w:lang w:val="en-US" w:eastAsia="zh-CN"/>
        </w:rPr>
        <w:t>文化特色的村落积极推荐申报国家、省级、市级传统村落。建立和完善传统村落档案，完整保存调查登记过程中形成的文本及数字档案，对传统村落的物质和非物质文化遗产准确、深入、完整地进行调查和登记，以“一村一档”的形式，形成完整的文本及数字档案。健全传统村落退出警示机制，对因保护不力造成传统村落文化遗产保护价值严重受损的情形提出警示，对失去保护价值的村落按程序予以除名。</w:t>
      </w:r>
    </w:p>
    <w:p w14:paraId="7399541D">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sz w:val="32"/>
          <w:szCs w:val="32"/>
          <w:lang w:val="en-US" w:eastAsia="zh-CN"/>
        </w:rPr>
      </w:pPr>
      <w:r>
        <w:rPr>
          <w:rFonts w:hint="eastAsia" w:ascii="仿宋" w:hAnsi="仿宋" w:eastAsia="仿宋" w:cs="仿宋"/>
          <w:color w:val="auto"/>
          <w:sz w:val="32"/>
          <w:szCs w:val="32"/>
          <w:shd w:val="clear" w:color="auto" w:fill="FFFFFF"/>
          <w:lang w:val="en-US" w:eastAsia="zh-CN"/>
        </w:rPr>
        <w:t>2.加强基础设施建设。</w:t>
      </w:r>
      <w:r>
        <w:rPr>
          <w:rFonts w:hint="eastAsia" w:ascii="仿宋_GB2312" w:hAnsi="Calibri" w:eastAsia="仿宋_GB2312" w:cs="Times New Roman"/>
          <w:b w:val="0"/>
          <w:bCs w:val="0"/>
          <w:color w:val="auto"/>
          <w:sz w:val="32"/>
          <w:szCs w:val="32"/>
          <w:lang w:val="en-US" w:eastAsia="zh-CN"/>
        </w:rPr>
        <w:t>依据传统村落保护发展规划、保护修缮设计方案和实施方案，在最大限度发挥传统村落内现有各类设施功能的前提下，整合相关涉农资金，统筹开展基础设施和公共服务设施建设，整村推进，分步实施，改善传统村落生产生活条件，提升防灾减灾能力，</w:t>
      </w:r>
      <w:r>
        <w:rPr>
          <w:rFonts w:hint="eastAsia" w:ascii="仿宋" w:hAnsi="仿宋" w:eastAsia="仿宋" w:cs="仿宋"/>
          <w:color w:val="auto"/>
          <w:sz w:val="32"/>
          <w:szCs w:val="32"/>
          <w:shd w:val="clear" w:color="auto" w:fill="FFFFFF"/>
          <w:lang w:val="en-US" w:eastAsia="zh-CN"/>
        </w:rPr>
        <w:t>提升村民生活品质，</w:t>
      </w:r>
      <w:r>
        <w:rPr>
          <w:rFonts w:hint="eastAsia" w:ascii="仿宋_GB2312" w:hAnsi="Calibri" w:eastAsia="仿宋_GB2312" w:cs="Times New Roman"/>
          <w:b w:val="0"/>
          <w:bCs w:val="0"/>
          <w:color w:val="auto"/>
          <w:sz w:val="32"/>
          <w:szCs w:val="32"/>
          <w:lang w:val="en-US" w:eastAsia="zh-CN"/>
        </w:rPr>
        <w:t>做到美好环境与幸福生活共同缔造。</w:t>
      </w:r>
    </w:p>
    <w:p w14:paraId="47B1CC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 w:hAnsi="仿宋" w:eastAsia="仿宋" w:cs="仿宋"/>
          <w:color w:val="auto"/>
          <w:sz w:val="32"/>
          <w:szCs w:val="32"/>
          <w:shd w:val="clear" w:color="auto" w:fill="FFFFFF"/>
          <w:lang w:val="en-US" w:eastAsia="zh-CN"/>
        </w:rPr>
        <w:t>3.挖掘红色文化资源。</w:t>
      </w:r>
      <w:r>
        <w:rPr>
          <w:rFonts w:hint="eastAsia" w:ascii="仿宋_GB2312" w:hAnsi="Calibri" w:eastAsia="仿宋_GB2312" w:cs="Times New Roman"/>
          <w:b w:val="0"/>
          <w:bCs w:val="0"/>
          <w:color w:val="auto"/>
          <w:sz w:val="32"/>
          <w:szCs w:val="32"/>
          <w:lang w:val="en-US" w:eastAsia="zh-CN"/>
        </w:rPr>
        <w:t>传承弘扬大别山精神，讲好新县红色故事。精准把握传统村落保护与红色文化资源保护利用政策的有机结合，加大传统村落内红色资源文化研究，实现资源共享、优势互补。</w:t>
      </w:r>
      <w:r>
        <w:rPr>
          <w:rFonts w:hint="eastAsia" w:ascii="仿宋_GB2312" w:hAnsi="Calibri" w:eastAsia="仿宋_GB2312" w:cs="Times New Roman"/>
          <w:b w:val="0"/>
          <w:bCs w:val="0"/>
          <w:color w:val="auto"/>
          <w:kern w:val="2"/>
          <w:sz w:val="32"/>
          <w:szCs w:val="32"/>
          <w:lang w:val="en-US" w:eastAsia="zh-CN" w:bidi="ar-SA"/>
        </w:rPr>
        <w:t>开展传统村落文化资源尤其红色资源普查，建立档案数据库，重点保护古民居、古桥、古树、文物等物质文化遗产，扶持非遗传承人，举办民俗节庆活动，活化传承农耕文明。</w:t>
      </w:r>
    </w:p>
    <w:p w14:paraId="3C49CD22">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楷体_GB2312" w:hAnsi="Calibri" w:eastAsia="楷体_GB2312" w:cs="Times New Roman"/>
          <w:b/>
          <w:color w:val="auto"/>
          <w:kern w:val="0"/>
          <w:sz w:val="32"/>
          <w:szCs w:val="32"/>
          <w:lang w:val="en-US" w:eastAsia="zh-CN" w:bidi="ar-SA"/>
        </w:rPr>
      </w:pPr>
      <w:r>
        <w:rPr>
          <w:rFonts w:hint="eastAsia" w:ascii="楷体_GB2312" w:hAnsi="Calibri" w:eastAsia="楷体_GB2312" w:cs="Times New Roman"/>
          <w:b/>
          <w:color w:val="auto"/>
          <w:kern w:val="0"/>
          <w:sz w:val="32"/>
          <w:szCs w:val="32"/>
          <w:lang w:val="en-US" w:eastAsia="zh-CN" w:bidi="ar-SA"/>
        </w:rPr>
        <w:t>（二）创新活化利用，激发内生动力</w:t>
      </w:r>
    </w:p>
    <w:p w14:paraId="193E1EB0">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1.发展特色文旅产业。以田铺大塆创客小镇、西河湾生态旅游区、丁李湾古村落为示范，打造“传统村落+红色教育+生态休闲</w:t>
      </w:r>
      <w:r>
        <w:rPr>
          <w:rFonts w:hint="default" w:ascii="仿宋_GB2312" w:hAnsi="Calibri" w:eastAsia="仿宋_GB2312" w:cs="Times New Roman"/>
          <w:b w:val="0"/>
          <w:bCs w:val="0"/>
          <w:color w:val="auto"/>
          <w:kern w:val="2"/>
          <w:sz w:val="32"/>
          <w:szCs w:val="32"/>
          <w:lang w:val="en-US" w:eastAsia="zh-CN" w:bidi="ar-SA"/>
        </w:rPr>
        <w:t>”</w:t>
      </w:r>
      <w:r>
        <w:rPr>
          <w:rFonts w:hint="eastAsia" w:ascii="仿宋_GB2312" w:hAnsi="Calibri" w:eastAsia="仿宋_GB2312" w:cs="Times New Roman"/>
          <w:b w:val="0"/>
          <w:bCs w:val="0"/>
          <w:color w:val="auto"/>
          <w:kern w:val="2"/>
          <w:sz w:val="32"/>
          <w:szCs w:val="32"/>
          <w:lang w:val="en-US" w:eastAsia="zh-CN" w:bidi="ar-SA"/>
        </w:rPr>
        <w:t>精品线路，开发民宿集群、文创工坊、研学基地等新业态。</w:t>
      </w:r>
    </w:p>
    <w:p w14:paraId="62E3CE71">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2.促进农旅融合发展。推广“一村一品</w:t>
      </w:r>
      <w:r>
        <w:rPr>
          <w:rFonts w:hint="default" w:ascii="仿宋_GB2312" w:hAnsi="Calibri" w:eastAsia="仿宋_GB2312" w:cs="Times New Roman"/>
          <w:b w:val="0"/>
          <w:bCs w:val="0"/>
          <w:color w:val="auto"/>
          <w:kern w:val="2"/>
          <w:sz w:val="32"/>
          <w:szCs w:val="32"/>
          <w:lang w:val="en-US" w:eastAsia="zh-CN" w:bidi="ar-SA"/>
        </w:rPr>
        <w:t>”</w:t>
      </w:r>
      <w:r>
        <w:rPr>
          <w:rFonts w:hint="eastAsia" w:ascii="仿宋_GB2312" w:hAnsi="Calibri" w:eastAsia="仿宋_GB2312" w:cs="Times New Roman"/>
          <w:b w:val="0"/>
          <w:bCs w:val="0"/>
          <w:color w:val="auto"/>
          <w:kern w:val="2"/>
          <w:sz w:val="32"/>
          <w:szCs w:val="32"/>
          <w:lang w:val="en-US" w:eastAsia="zh-CN" w:bidi="ar-SA"/>
        </w:rPr>
        <w:t>模式，培育“西河良油</w:t>
      </w:r>
      <w:r>
        <w:rPr>
          <w:rFonts w:hint="default" w:ascii="仿宋_GB2312" w:hAnsi="Calibri" w:eastAsia="仿宋_GB2312" w:cs="Times New Roman"/>
          <w:b w:val="0"/>
          <w:bCs w:val="0"/>
          <w:color w:val="auto"/>
          <w:kern w:val="2"/>
          <w:sz w:val="32"/>
          <w:szCs w:val="32"/>
          <w:lang w:val="en-US" w:eastAsia="zh-CN" w:bidi="ar-SA"/>
        </w:rPr>
        <w:t>”</w:t>
      </w:r>
      <w:r>
        <w:rPr>
          <w:rFonts w:hint="eastAsia" w:ascii="仿宋_GB2312" w:hAnsi="Calibri" w:eastAsia="仿宋_GB2312" w:cs="Times New Roman"/>
          <w:b w:val="0"/>
          <w:bCs w:val="0"/>
          <w:color w:val="auto"/>
          <w:kern w:val="2"/>
          <w:sz w:val="32"/>
          <w:szCs w:val="32"/>
          <w:lang w:val="en-US" w:eastAsia="zh-CN" w:bidi="ar-SA"/>
        </w:rPr>
        <w:t>“大别山阳荷姜</w:t>
      </w:r>
      <w:r>
        <w:rPr>
          <w:rFonts w:hint="default" w:ascii="仿宋_GB2312" w:hAnsi="Calibri" w:eastAsia="仿宋_GB2312" w:cs="Times New Roman"/>
          <w:b w:val="0"/>
          <w:bCs w:val="0"/>
          <w:color w:val="auto"/>
          <w:kern w:val="2"/>
          <w:sz w:val="32"/>
          <w:szCs w:val="32"/>
          <w:lang w:val="en-US" w:eastAsia="zh-CN" w:bidi="ar-SA"/>
        </w:rPr>
        <w:t>”</w:t>
      </w:r>
      <w:r>
        <w:rPr>
          <w:rFonts w:hint="eastAsia" w:ascii="仿宋_GB2312" w:hAnsi="Calibri" w:eastAsia="仿宋_GB2312" w:cs="Times New Roman"/>
          <w:b w:val="0"/>
          <w:bCs w:val="0"/>
          <w:color w:val="auto"/>
          <w:kern w:val="2"/>
          <w:sz w:val="32"/>
          <w:szCs w:val="32"/>
          <w:lang w:val="en-US" w:eastAsia="zh-CN" w:bidi="ar-SA"/>
        </w:rPr>
        <w:t>等特色农产品品牌，建设田园综合体、农业观光园，实现“农房变客房、产品变商品</w:t>
      </w:r>
      <w:r>
        <w:rPr>
          <w:rFonts w:hint="default" w:ascii="仿宋_GB2312" w:hAnsi="Calibri" w:eastAsia="仿宋_GB2312" w:cs="Times New Roman"/>
          <w:b w:val="0"/>
          <w:bCs w:val="0"/>
          <w:color w:val="auto"/>
          <w:kern w:val="2"/>
          <w:sz w:val="32"/>
          <w:szCs w:val="32"/>
          <w:lang w:val="en-US" w:eastAsia="zh-CN" w:bidi="ar-SA"/>
        </w:rPr>
        <w:t>”</w:t>
      </w:r>
      <w:r>
        <w:rPr>
          <w:rFonts w:hint="eastAsia" w:ascii="仿宋_GB2312" w:hAnsi="Calibri" w:eastAsia="仿宋_GB2312" w:cs="Times New Roman"/>
          <w:b w:val="0"/>
          <w:bCs w:val="0"/>
          <w:color w:val="auto"/>
          <w:kern w:val="2"/>
          <w:sz w:val="32"/>
          <w:szCs w:val="32"/>
          <w:lang w:val="en-US" w:eastAsia="zh-CN" w:bidi="ar-SA"/>
        </w:rPr>
        <w:t>。</w:t>
      </w:r>
    </w:p>
    <w:p w14:paraId="1AC46C33">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3.培育乡村振兴人才。鼓励心系乡土、有公益心且在社会上享有声誉的人士回归创业，吸引有志青年、专业技术人才参与传统村落保护，开展乡村旅游技能培训，提升村民经营管理水平。</w:t>
      </w:r>
    </w:p>
    <w:p w14:paraId="5D71CFBD">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楷体_GB2312" w:hAnsi="Calibri" w:eastAsia="楷体_GB2312" w:cs="Times New Roman"/>
          <w:b/>
          <w:color w:val="auto"/>
          <w:kern w:val="0"/>
          <w:sz w:val="32"/>
          <w:szCs w:val="32"/>
          <w:lang w:val="en-US" w:eastAsia="zh-CN" w:bidi="ar-SA"/>
        </w:rPr>
      </w:pPr>
      <w:r>
        <w:rPr>
          <w:rFonts w:hint="eastAsia" w:ascii="楷体_GB2312" w:hAnsi="Calibri" w:eastAsia="楷体_GB2312" w:cs="Times New Roman"/>
          <w:b/>
          <w:color w:val="auto"/>
          <w:kern w:val="0"/>
          <w:sz w:val="32"/>
          <w:szCs w:val="32"/>
          <w:lang w:val="en-US" w:eastAsia="zh-CN" w:bidi="ar-SA"/>
        </w:rPr>
        <w:t>（三）强化机制保障，凝聚保护合力</w:t>
      </w:r>
    </w:p>
    <w:p w14:paraId="56E5FB37">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1.加大资金投入力度。整合中央财政专项资金、地方政府债券及社会资本，设立传统村落保护发展基金，对保护修缮、业态培育等项目给予奖补。</w:t>
      </w:r>
    </w:p>
    <w:p w14:paraId="78707F6C">
      <w:pPr>
        <w:pStyle w:val="4"/>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2.完善政策支持体系。落实传统村落保护用地、税收优惠等政策，简化民宿、“农家小院”、农家乐等经营审批流程，鼓励金融机构开发“古村振兴”专项贷款产品。</w:t>
      </w:r>
    </w:p>
    <w:p w14:paraId="46C23BC4">
      <w:pPr>
        <w:pStyle w:val="4"/>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3.建立村民参与机制。推行“自治、法治、德治</w:t>
      </w:r>
      <w:r>
        <w:rPr>
          <w:rFonts w:hint="default" w:ascii="仿宋_GB2312" w:hAnsi="Calibri" w:eastAsia="仿宋_GB2312" w:cs="Times New Roman"/>
          <w:b w:val="0"/>
          <w:bCs w:val="0"/>
          <w:color w:val="auto"/>
          <w:kern w:val="2"/>
          <w:sz w:val="32"/>
          <w:szCs w:val="32"/>
          <w:lang w:val="en-US" w:eastAsia="zh-CN" w:bidi="ar-SA"/>
        </w:rPr>
        <w:t>”</w:t>
      </w:r>
      <w:r>
        <w:rPr>
          <w:rFonts w:hint="eastAsia" w:ascii="仿宋_GB2312" w:hAnsi="Calibri" w:eastAsia="仿宋_GB2312" w:cs="Times New Roman"/>
          <w:b w:val="0"/>
          <w:bCs w:val="0"/>
          <w:color w:val="auto"/>
          <w:kern w:val="2"/>
          <w:sz w:val="32"/>
          <w:szCs w:val="32"/>
          <w:lang w:val="en-US" w:eastAsia="zh-CN" w:bidi="ar-SA"/>
        </w:rPr>
        <w:t>相结合的治理模式，落实“四议两公开”，保障村民对传统村落保护发展的知情权、参与权和收益权，激发村民保护主体意识。</w:t>
      </w:r>
    </w:p>
    <w:p w14:paraId="115521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textAlignment w:val="auto"/>
        <w:rPr>
          <w:rFonts w:hint="eastAsia" w:ascii="黑体" w:hAnsi="微软雅黑" w:eastAsia="黑体" w:cs="Times New Roman"/>
          <w:color w:val="auto"/>
          <w:sz w:val="36"/>
          <w:szCs w:val="36"/>
          <w:shd w:val="clear" w:color="auto" w:fill="FFFFFF"/>
          <w:lang w:val="en-US" w:eastAsia="zh-CN"/>
        </w:rPr>
      </w:pPr>
      <w:r>
        <w:rPr>
          <w:rFonts w:hint="eastAsia" w:ascii="黑体" w:hAnsi="微软雅黑" w:eastAsia="黑体" w:cs="Times New Roman"/>
          <w:color w:val="auto"/>
          <w:sz w:val="36"/>
          <w:szCs w:val="36"/>
          <w:shd w:val="clear" w:color="auto" w:fill="FFFFFF"/>
          <w:lang w:val="en-US" w:eastAsia="zh-CN"/>
        </w:rPr>
        <w:t>四、保障措施</w:t>
      </w:r>
    </w:p>
    <w:p w14:paraId="1AD2B09A">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eastAsia" w:ascii="楷体_GB2312" w:hAnsi="Calibri" w:eastAsia="楷体_GB2312" w:cs="Times New Roman"/>
          <w:b/>
          <w:color w:val="auto"/>
          <w:kern w:val="0"/>
          <w:sz w:val="32"/>
          <w:szCs w:val="32"/>
          <w:lang w:val="en-US" w:eastAsia="zh-CN" w:bidi="ar-SA"/>
        </w:rPr>
      </w:pPr>
      <w:r>
        <w:rPr>
          <w:rFonts w:hint="eastAsia" w:ascii="楷体_GB2312" w:hAnsi="Calibri" w:eastAsia="楷体_GB2312" w:cs="Times New Roman"/>
          <w:b/>
          <w:color w:val="auto"/>
          <w:kern w:val="0"/>
          <w:sz w:val="32"/>
          <w:szCs w:val="32"/>
          <w:lang w:val="en-US" w:eastAsia="zh-CN" w:bidi="ar-SA"/>
        </w:rPr>
        <w:t>（一）加强组织领导</w:t>
      </w:r>
    </w:p>
    <w:p w14:paraId="4FCB0EBD">
      <w:pPr>
        <w:pStyle w:val="4"/>
        <w:keepNext w:val="0"/>
        <w:keepLines w:val="0"/>
        <w:pageBreakBefore w:val="0"/>
        <w:widowControl w:val="0"/>
        <w:kinsoku/>
        <w:wordWrap/>
        <w:overflowPunct/>
        <w:topLinePunct w:val="0"/>
        <w:autoSpaceDE/>
        <w:autoSpaceDN/>
        <w:bidi w:val="0"/>
        <w:adjustRightInd/>
        <w:snapToGrid/>
        <w:spacing w:before="133" w:line="580" w:lineRule="exact"/>
        <w:ind w:left="18" w:firstLine="640" w:firstLineChars="200"/>
        <w:jc w:val="both"/>
        <w:textAlignment w:val="auto"/>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建立</w:t>
      </w:r>
      <w:r>
        <w:rPr>
          <w:rFonts w:hint="eastAsia" w:ascii="仿宋_GB2312" w:hAnsi="仿宋_GB2312" w:eastAsia="仿宋_GB2312"/>
          <w:color w:val="auto"/>
          <w:sz w:val="32"/>
          <w:szCs w:val="32"/>
          <w:lang w:eastAsia="zh-CN"/>
        </w:rPr>
        <w:t>县</w:t>
      </w:r>
      <w:r>
        <w:rPr>
          <w:rFonts w:hint="eastAsia" w:ascii="仿宋_GB2312" w:hAnsi="仿宋_GB2312" w:eastAsia="仿宋_GB2312"/>
          <w:color w:val="auto"/>
          <w:sz w:val="32"/>
          <w:szCs w:val="32"/>
        </w:rPr>
        <w:t>政府统筹协调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相关部门指导</w:t>
      </w:r>
      <w:r>
        <w:rPr>
          <w:rFonts w:hint="eastAsia" w:ascii="仿宋_GB2312" w:hAnsi="仿宋_GB2312" w:eastAsia="仿宋_GB2312"/>
          <w:color w:val="auto"/>
          <w:sz w:val="32"/>
          <w:szCs w:val="32"/>
          <w:lang w:eastAsia="zh-CN"/>
        </w:rPr>
        <w:t>，各乡镇、街道办人民政府</w:t>
      </w:r>
      <w:r>
        <w:rPr>
          <w:rFonts w:hint="eastAsia" w:ascii="仿宋_GB2312" w:hAnsi="仿宋_GB2312" w:eastAsia="仿宋_GB2312"/>
          <w:color w:val="auto"/>
          <w:sz w:val="32"/>
          <w:szCs w:val="32"/>
        </w:rPr>
        <w:t>为责任主体的分工体系</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eastAsia="zh-CN"/>
        </w:rPr>
        <w:t>县住建局</w:t>
      </w:r>
      <w:r>
        <w:rPr>
          <w:rFonts w:hint="eastAsia" w:ascii="仿宋_GB2312" w:hAnsi="仿宋_GB2312" w:eastAsia="仿宋_GB2312" w:cs="Times New Roman"/>
          <w:color w:val="auto"/>
          <w:sz w:val="32"/>
          <w:szCs w:val="32"/>
        </w:rPr>
        <w:t>负责编制全</w:t>
      </w:r>
      <w:r>
        <w:rPr>
          <w:rFonts w:hint="eastAsia" w:ascii="仿宋_GB2312" w:hAnsi="仿宋_GB2312" w:eastAsia="仿宋_GB2312" w:cs="Times New Roman"/>
          <w:color w:val="auto"/>
          <w:sz w:val="32"/>
          <w:szCs w:val="32"/>
          <w:lang w:eastAsia="zh-CN"/>
        </w:rPr>
        <w:t>县</w:t>
      </w:r>
      <w:r>
        <w:rPr>
          <w:rFonts w:hint="eastAsia" w:ascii="仿宋_GB2312" w:hAnsi="仿宋_GB2312" w:eastAsia="仿宋_GB2312" w:cs="Times New Roman"/>
          <w:color w:val="auto"/>
          <w:sz w:val="32"/>
          <w:szCs w:val="32"/>
        </w:rPr>
        <w:t>传统村落保护整体实施方案，制定支持措施，建立健全项目库，分级分类开展试点示范，探索体制机制创新，建立常态化巡查和工作指导机制。县级政府或传统村落保护领导机构</w:t>
      </w:r>
      <w:r>
        <w:rPr>
          <w:rFonts w:hint="eastAsia" w:ascii="仿宋_GB2312" w:hAnsi="仿宋_GB2312" w:eastAsia="仿宋_GB2312" w:cs="Times New Roman"/>
          <w:color w:val="auto"/>
          <w:sz w:val="32"/>
          <w:szCs w:val="32"/>
          <w:highlight w:val="none"/>
        </w:rPr>
        <w:t>负责传统村落保护项目的具体实施，加强技术指导和工作检查。</w:t>
      </w:r>
      <w:r>
        <w:rPr>
          <w:rFonts w:hint="eastAsia" w:ascii="仿宋_GB2312" w:hAnsi="Calibri" w:eastAsia="仿宋_GB2312" w:cs="Times New Roman"/>
          <w:color w:val="auto"/>
          <w:sz w:val="32"/>
          <w:szCs w:val="32"/>
          <w:highlight w:val="none"/>
        </w:rPr>
        <w:t>各</w:t>
      </w:r>
      <w:r>
        <w:rPr>
          <w:rFonts w:hint="eastAsia" w:ascii="仿宋_GB2312" w:hAnsi="仿宋_GB2312" w:eastAsia="仿宋_GB2312"/>
          <w:color w:val="auto"/>
          <w:sz w:val="32"/>
          <w:szCs w:val="32"/>
          <w:highlight w:val="none"/>
        </w:rPr>
        <w:t>乡镇</w:t>
      </w:r>
      <w:r>
        <w:rPr>
          <w:rFonts w:hint="eastAsia" w:ascii="仿宋_GB2312" w:hAnsi="仿宋_GB2312" w:eastAsia="仿宋_GB2312"/>
          <w:color w:val="auto"/>
          <w:sz w:val="32"/>
          <w:szCs w:val="32"/>
          <w:highlight w:val="none"/>
          <w:lang w:eastAsia="zh-CN"/>
        </w:rPr>
        <w:t>（街道办）</w:t>
      </w:r>
      <w:r>
        <w:rPr>
          <w:rFonts w:hint="eastAsia" w:ascii="仿宋_GB2312" w:hAnsi="仿宋_GB2312" w:eastAsia="仿宋_GB2312"/>
          <w:color w:val="auto"/>
          <w:sz w:val="32"/>
          <w:szCs w:val="32"/>
          <w:highlight w:val="none"/>
        </w:rPr>
        <w:t>人民政府</w:t>
      </w:r>
      <w:r>
        <w:rPr>
          <w:rFonts w:hint="eastAsia" w:ascii="仿宋_GB2312" w:hAnsi="仿宋_GB2312" w:eastAsia="仿宋_GB2312" w:cs="Times New Roman"/>
          <w:color w:val="auto"/>
          <w:sz w:val="32"/>
          <w:szCs w:val="32"/>
          <w:highlight w:val="none"/>
        </w:rPr>
        <w:t>对本辖区的传统村落保护发展负主要责任，</w:t>
      </w:r>
      <w:r>
        <w:rPr>
          <w:rFonts w:hint="eastAsia" w:ascii="仿宋_GB2312" w:hAnsi="仿宋_GB2312" w:eastAsia="仿宋_GB2312"/>
          <w:color w:val="auto"/>
          <w:sz w:val="32"/>
          <w:szCs w:val="32"/>
        </w:rPr>
        <w:t>乡镇</w:t>
      </w:r>
      <w:r>
        <w:rPr>
          <w:rFonts w:hint="eastAsia" w:ascii="仿宋_GB2312" w:hAnsi="仿宋_GB2312" w:eastAsia="仿宋_GB2312"/>
          <w:color w:val="auto"/>
          <w:sz w:val="32"/>
          <w:szCs w:val="32"/>
          <w:lang w:eastAsia="zh-CN"/>
        </w:rPr>
        <w:t>（街道办）</w:t>
      </w:r>
      <w:r>
        <w:rPr>
          <w:rFonts w:hint="eastAsia" w:ascii="仿宋_GB2312" w:hAnsi="仿宋_GB2312" w:eastAsia="仿宋_GB2312"/>
          <w:color w:val="auto"/>
          <w:sz w:val="32"/>
          <w:szCs w:val="32"/>
        </w:rPr>
        <w:t>人民政府</w:t>
      </w:r>
      <w:r>
        <w:rPr>
          <w:rFonts w:hint="eastAsia" w:ascii="仿宋_GB2312" w:hAnsi="仿宋_GB2312" w:eastAsia="仿宋_GB2312" w:cs="Times New Roman"/>
          <w:color w:val="auto"/>
          <w:sz w:val="32"/>
          <w:szCs w:val="32"/>
        </w:rPr>
        <w:t>要</w:t>
      </w:r>
      <w:r>
        <w:rPr>
          <w:rFonts w:hint="eastAsia" w:ascii="仿宋_GB2312" w:hAnsi="仿宋_GB2312" w:eastAsia="仿宋_GB2312" w:cs="Times New Roman"/>
          <w:color w:val="auto"/>
          <w:sz w:val="32"/>
          <w:szCs w:val="32"/>
          <w:lang w:eastAsia="zh-CN"/>
        </w:rPr>
        <w:t>成立相应的工作机构，</w:t>
      </w:r>
      <w:r>
        <w:rPr>
          <w:rFonts w:hint="eastAsia" w:ascii="仿宋_GB2312" w:hAnsi="仿宋_GB2312" w:eastAsia="仿宋_GB2312" w:cs="Times New Roman"/>
          <w:color w:val="auto"/>
          <w:sz w:val="32"/>
          <w:szCs w:val="32"/>
        </w:rPr>
        <w:t>配备专门工作人员，配合做好监督管理，加强农村专业合作组织建设，引导村民参与。自然资源规划、文化旅游、财政等部门根据《信阳市传统村落保护条例》相关规定密切配合，按照职责分别做好相关工作。</w:t>
      </w:r>
    </w:p>
    <w:p w14:paraId="05D90F7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Calibri" w:eastAsia="楷体_GB2312" w:cs="Times New Roman"/>
          <w:b/>
          <w:color w:val="auto"/>
          <w:kern w:val="0"/>
          <w:sz w:val="32"/>
          <w:szCs w:val="32"/>
        </w:rPr>
      </w:pPr>
      <w:r>
        <w:rPr>
          <w:rFonts w:hint="eastAsia" w:ascii="楷体_GB2312" w:hAnsi="Calibri" w:eastAsia="楷体_GB2312" w:cs="Times New Roman"/>
          <w:b/>
          <w:color w:val="auto"/>
          <w:kern w:val="0"/>
          <w:sz w:val="32"/>
          <w:szCs w:val="32"/>
          <w:lang w:val="en-US" w:eastAsia="zh-CN"/>
        </w:rPr>
        <w:t>（二）</w:t>
      </w:r>
      <w:r>
        <w:rPr>
          <w:rFonts w:hint="eastAsia" w:ascii="楷体_GB2312" w:hAnsi="Calibri" w:eastAsia="楷体_GB2312" w:cs="Times New Roman"/>
          <w:b/>
          <w:color w:val="auto"/>
          <w:kern w:val="0"/>
          <w:sz w:val="32"/>
          <w:szCs w:val="32"/>
        </w:rPr>
        <w:t>狠抓责任落实</w:t>
      </w:r>
    </w:p>
    <w:p w14:paraId="37D2C3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eastAsia="zh-CN"/>
        </w:rPr>
        <w:t>县人民政府</w:t>
      </w:r>
      <w:r>
        <w:rPr>
          <w:rFonts w:hint="eastAsia" w:ascii="仿宋_GB2312" w:hAnsi="Calibri" w:eastAsia="仿宋_GB2312" w:cs="Times New Roman"/>
          <w:color w:val="auto"/>
          <w:sz w:val="32"/>
          <w:szCs w:val="32"/>
        </w:rPr>
        <w:t>是传统村落保护发展工作的责任主体，要将传统村落保护发展列入重要议事日程，认真组织编制辖区内传统村落保护发展规划，研究制定传统村落保护发展实施方案，制定年度保护修缮项目计划，细化工作任务，明确时限和要求，推进项目实施，做到责任到位、保障到位、监管到位。乡镇人民政府是传统村落保护发展实施主体，要配备专门工作人员，做好传统村落保护的监督管理。村集体要根据保护发展规划，将保护要求纳入村规民约，充分运用美好环境与幸福生活共同缔造工作理念，发挥村民民主参与、民主决策、民主管理、民主监督的主体作用。</w:t>
      </w:r>
    </w:p>
    <w:p w14:paraId="30917A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Calibri" w:eastAsia="楷体_GB2312" w:cs="Times New Roman"/>
          <w:b/>
          <w:color w:val="auto"/>
          <w:kern w:val="0"/>
          <w:sz w:val="32"/>
          <w:szCs w:val="32"/>
        </w:rPr>
      </w:pPr>
      <w:r>
        <w:rPr>
          <w:rFonts w:hint="eastAsia" w:ascii="楷体_GB2312" w:hAnsi="Calibri" w:eastAsia="楷体_GB2312" w:cs="Times New Roman"/>
          <w:b/>
          <w:color w:val="auto"/>
          <w:kern w:val="0"/>
          <w:sz w:val="32"/>
          <w:szCs w:val="32"/>
          <w:lang w:val="en-US" w:eastAsia="zh-CN"/>
        </w:rPr>
        <w:t>（三）</w:t>
      </w:r>
      <w:r>
        <w:rPr>
          <w:rFonts w:hint="eastAsia" w:ascii="楷体_GB2312" w:hAnsi="Calibri" w:eastAsia="楷体_GB2312" w:cs="Times New Roman"/>
          <w:b/>
          <w:color w:val="auto"/>
          <w:kern w:val="0"/>
          <w:sz w:val="32"/>
          <w:szCs w:val="32"/>
        </w:rPr>
        <w:t>开展示范引领</w:t>
      </w:r>
    </w:p>
    <w:p w14:paraId="5AC4ED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积极开展示范建设，打造规划科学、文化浓郁、产业集聚、设施完善、生态优良、生活便利的绿色宜居宜游传统村落。以传统村落规划设计、文化遗产保护传承、风貌整治提升、产业发展培育等方面为重点，大力推进豫南大别山传统村落保护发展示范带建设。通过示范引领，开阔思路，突出特色，以点带面，形成具有</w:t>
      </w:r>
      <w:r>
        <w:rPr>
          <w:rFonts w:hint="eastAsia" w:ascii="仿宋_GB2312" w:hAnsi="Calibri" w:eastAsia="仿宋_GB2312" w:cs="Times New Roman"/>
          <w:color w:val="auto"/>
          <w:sz w:val="32"/>
          <w:szCs w:val="32"/>
          <w:lang w:eastAsia="zh-CN"/>
        </w:rPr>
        <w:t>新县</w:t>
      </w:r>
      <w:r>
        <w:rPr>
          <w:rFonts w:hint="eastAsia" w:ascii="仿宋_GB2312" w:hAnsi="Calibri" w:eastAsia="仿宋_GB2312" w:cs="Times New Roman"/>
          <w:color w:val="auto"/>
          <w:sz w:val="32"/>
          <w:szCs w:val="32"/>
        </w:rPr>
        <w:t>特色的传统村落保护利用发展机制。坚持典型引领，优先选取积极性高、县乡党委政府重视、基础条件较好、传统村落保护利用工作已有成效的传统村落作为我</w:t>
      </w:r>
      <w:r>
        <w:rPr>
          <w:rFonts w:hint="eastAsia" w:ascii="仿宋_GB2312" w:hAnsi="Calibri" w:eastAsia="仿宋_GB2312" w:cs="Times New Roman"/>
          <w:color w:val="auto"/>
          <w:sz w:val="32"/>
          <w:szCs w:val="32"/>
          <w:lang w:eastAsia="zh-CN"/>
        </w:rPr>
        <w:t>县</w:t>
      </w:r>
      <w:r>
        <w:rPr>
          <w:rFonts w:hint="eastAsia" w:ascii="仿宋_GB2312" w:hAnsi="Calibri" w:eastAsia="仿宋_GB2312" w:cs="Times New Roman"/>
          <w:color w:val="auto"/>
          <w:sz w:val="32"/>
          <w:szCs w:val="32"/>
        </w:rPr>
        <w:t>传统村落保护发展的典型示范，并择优推荐为省</w:t>
      </w:r>
      <w:r>
        <w:rPr>
          <w:rFonts w:hint="eastAsia" w:ascii="仿宋_GB2312" w:hAnsi="Calibri" w:eastAsia="仿宋_GB2312" w:cs="Times New Roman"/>
          <w:color w:val="auto"/>
          <w:sz w:val="32"/>
          <w:szCs w:val="32"/>
          <w:lang w:eastAsia="zh-CN"/>
        </w:rPr>
        <w:t>、市</w:t>
      </w:r>
      <w:r>
        <w:rPr>
          <w:rFonts w:hint="eastAsia" w:ascii="仿宋_GB2312" w:hAnsi="Calibri" w:eastAsia="仿宋_GB2312" w:cs="Times New Roman"/>
          <w:color w:val="auto"/>
          <w:sz w:val="32"/>
          <w:szCs w:val="32"/>
        </w:rPr>
        <w:t>级示范，通过试点打造，确保试点村落得到高水平保护、修缮和利用。按照“不求数量、确保质量的原则，逐步扩大范围，使得符合条件的村落得到有效保护和利用，在全</w:t>
      </w:r>
      <w:r>
        <w:rPr>
          <w:rFonts w:hint="eastAsia" w:ascii="仿宋_GB2312" w:hAnsi="Calibri" w:eastAsia="仿宋_GB2312" w:cs="Times New Roman"/>
          <w:color w:val="auto"/>
          <w:sz w:val="32"/>
          <w:szCs w:val="32"/>
          <w:lang w:eastAsia="zh-CN"/>
        </w:rPr>
        <w:t>县</w:t>
      </w:r>
      <w:r>
        <w:rPr>
          <w:rFonts w:hint="eastAsia" w:ascii="仿宋_GB2312" w:hAnsi="Calibri" w:eastAsia="仿宋_GB2312" w:cs="Times New Roman"/>
          <w:color w:val="auto"/>
          <w:sz w:val="32"/>
          <w:szCs w:val="32"/>
        </w:rPr>
        <w:t>广泛开展豫南特色风貌建筑的建设引导。</w:t>
      </w:r>
      <w:r>
        <w:rPr>
          <w:rFonts w:hint="eastAsia" w:ascii="仿宋_GB2312" w:hAnsi="Calibri" w:eastAsia="仿宋_GB2312" w:cs="Times New Roman"/>
          <w:color w:val="auto"/>
          <w:sz w:val="32"/>
          <w:szCs w:val="32"/>
          <w:lang w:val="en-US" w:eastAsia="zh-CN"/>
        </w:rPr>
        <w:t>选取田铺大塆、西河湾等基础较好的村落开展"数字古村"建设试点，运用5G、VR等技术赋能传统村落保护，打造全国传统村落保护利用样板。</w:t>
      </w:r>
    </w:p>
    <w:p w14:paraId="7DC1DC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Calibri" w:eastAsia="楷体_GB2312" w:cs="Times New Roman"/>
          <w:b/>
          <w:color w:val="auto"/>
          <w:kern w:val="0"/>
          <w:sz w:val="32"/>
          <w:szCs w:val="32"/>
        </w:rPr>
      </w:pPr>
      <w:r>
        <w:rPr>
          <w:rFonts w:hint="eastAsia" w:ascii="楷体_GB2312" w:hAnsi="Calibri" w:eastAsia="楷体_GB2312" w:cs="Times New Roman"/>
          <w:b/>
          <w:color w:val="auto"/>
          <w:kern w:val="0"/>
          <w:sz w:val="32"/>
          <w:szCs w:val="32"/>
          <w:lang w:val="en-US" w:eastAsia="zh-CN"/>
        </w:rPr>
        <w:t>（四）</w:t>
      </w:r>
      <w:r>
        <w:rPr>
          <w:rFonts w:hint="eastAsia" w:ascii="楷体_GB2312" w:hAnsi="Calibri" w:eastAsia="楷体_GB2312" w:cs="Times New Roman"/>
          <w:b/>
          <w:color w:val="auto"/>
          <w:kern w:val="0"/>
          <w:sz w:val="32"/>
          <w:szCs w:val="32"/>
        </w:rPr>
        <w:t>加大资金投入</w:t>
      </w:r>
    </w:p>
    <w:p w14:paraId="357612AA">
      <w:pPr>
        <w:pStyle w:val="4"/>
        <w:keepNext w:val="0"/>
        <w:keepLines w:val="0"/>
        <w:pageBreakBefore w:val="0"/>
        <w:widowControl w:val="0"/>
        <w:tabs>
          <w:tab w:val="left" w:pos="9144"/>
        </w:tabs>
        <w:kinsoku/>
        <w:wordWrap/>
        <w:overflowPunct/>
        <w:topLinePunct w:val="0"/>
        <w:autoSpaceDE/>
        <w:autoSpaceDN/>
        <w:bidi w:val="0"/>
        <w:adjustRightInd/>
        <w:snapToGrid/>
        <w:spacing w:before="133" w:line="580" w:lineRule="exact"/>
        <w:ind w:firstLine="640" w:firstLineChars="200"/>
        <w:jc w:val="both"/>
        <w:textAlignment w:val="auto"/>
        <w:rPr>
          <w:rFonts w:hint="eastAsia" w:ascii="仿宋_GB2312" w:hAnsi="Calibri" w:eastAsia="仿宋_GB2312" w:cs="Times New Roman"/>
          <w:color w:val="auto"/>
          <w:sz w:val="32"/>
          <w:szCs w:val="32"/>
          <w:highlight w:val="yellow"/>
        </w:rPr>
      </w:pPr>
      <w:r>
        <w:rPr>
          <w:rFonts w:hint="eastAsia" w:ascii="仿宋_GB2312" w:hAnsi="Calibri" w:eastAsia="仿宋_GB2312" w:cs="Times New Roman"/>
          <w:color w:val="auto"/>
          <w:sz w:val="32"/>
          <w:szCs w:val="32"/>
          <w:lang w:eastAsia="zh-CN"/>
        </w:rPr>
        <w:t>县</w:t>
      </w:r>
      <w:r>
        <w:rPr>
          <w:rFonts w:hint="eastAsia" w:ascii="仿宋_GB2312" w:hAnsi="Calibri" w:eastAsia="仿宋_GB2312" w:cs="Times New Roman"/>
          <w:color w:val="auto"/>
          <w:sz w:val="32"/>
          <w:szCs w:val="32"/>
        </w:rPr>
        <w:t>财政要加大财政资金投入力度，主要用于编制</w:t>
      </w:r>
      <w:r>
        <w:rPr>
          <w:rFonts w:hint="eastAsia" w:ascii="仿宋_GB2312" w:hAnsi="Calibri" w:eastAsia="仿宋_GB2312" w:cs="Times New Roman"/>
          <w:color w:val="auto"/>
          <w:sz w:val="32"/>
          <w:szCs w:val="32"/>
          <w:lang w:eastAsia="zh-CN"/>
        </w:rPr>
        <w:t>新县</w:t>
      </w:r>
      <w:r>
        <w:rPr>
          <w:rFonts w:hint="eastAsia" w:ascii="仿宋_GB2312" w:hAnsi="Calibri" w:eastAsia="仿宋_GB2312" w:cs="Times New Roman"/>
          <w:color w:val="auto"/>
          <w:sz w:val="32"/>
          <w:szCs w:val="32"/>
        </w:rPr>
        <w:t>传统村落保护发展总体规划、传统村落数字博物馆建设、传统建筑测绘建档工作及对市级示范村和其他传统村落抢救性保护项目进行补助；</w:t>
      </w:r>
      <w:r>
        <w:rPr>
          <w:rFonts w:hint="eastAsia" w:ascii="仿宋_GB2312" w:hAnsi="Calibri" w:eastAsia="仿宋_GB2312" w:cs="Times New Roman"/>
          <w:color w:val="auto"/>
          <w:sz w:val="32"/>
          <w:szCs w:val="32"/>
          <w:highlight w:val="none"/>
        </w:rPr>
        <w:t>加快推进传统村落保护利用发展项目建设，探索在用地保障、规费减免、产权归属等方面为传统村落保护利用发展创造良好政策环境，积极引导社会资本参与传统村落保护利用发展。制定优惠政策，鼓励社会力量通过捐资捐赠、投资、入股、租赁等方式，参与传统村落保护发展。探索建立传统建筑认领保护制度，简化和创新资金使用机制，小额建设资金可采用村级报账制度管理。</w:t>
      </w:r>
    </w:p>
    <w:p w14:paraId="7470F0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Calibri" w:eastAsia="楷体_GB2312" w:cs="Times New Roman"/>
          <w:b/>
          <w:color w:val="auto"/>
          <w:kern w:val="0"/>
          <w:sz w:val="32"/>
          <w:szCs w:val="32"/>
        </w:rPr>
      </w:pPr>
      <w:r>
        <w:rPr>
          <w:rFonts w:hint="eastAsia" w:ascii="楷体_GB2312" w:hAnsi="Calibri" w:eastAsia="楷体_GB2312" w:cs="Times New Roman"/>
          <w:b/>
          <w:color w:val="auto"/>
          <w:kern w:val="0"/>
          <w:sz w:val="32"/>
          <w:szCs w:val="32"/>
        </w:rPr>
        <w:t>（五）加强技术保障</w:t>
      </w:r>
    </w:p>
    <w:p w14:paraId="1CA98FB8">
      <w:pPr>
        <w:pStyle w:val="4"/>
        <w:keepNext w:val="0"/>
        <w:keepLines w:val="0"/>
        <w:pageBreakBefore w:val="0"/>
        <w:widowControl w:val="0"/>
        <w:tabs>
          <w:tab w:val="left" w:pos="9144"/>
        </w:tabs>
        <w:kinsoku/>
        <w:wordWrap/>
        <w:overflowPunct/>
        <w:topLinePunct w:val="0"/>
        <w:autoSpaceDE/>
        <w:autoSpaceDN/>
        <w:bidi w:val="0"/>
        <w:adjustRightInd/>
        <w:snapToGrid/>
        <w:spacing w:before="133" w:line="580" w:lineRule="exact"/>
        <w:ind w:firstLine="640" w:firstLineChars="200"/>
        <w:jc w:val="both"/>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推进</w:t>
      </w:r>
      <w:r>
        <w:rPr>
          <w:rFonts w:hint="eastAsia" w:ascii="仿宋_GB2312" w:hAnsi="Calibri" w:eastAsia="仿宋_GB2312" w:cs="Times New Roman"/>
          <w:color w:val="auto"/>
          <w:sz w:val="32"/>
          <w:szCs w:val="32"/>
          <w:lang w:eastAsia="zh-CN"/>
        </w:rPr>
        <w:t>新县</w:t>
      </w:r>
      <w:r>
        <w:rPr>
          <w:rFonts w:hint="eastAsia" w:ascii="仿宋_GB2312" w:hAnsi="Calibri" w:eastAsia="仿宋_GB2312" w:cs="Times New Roman"/>
          <w:color w:val="auto"/>
          <w:sz w:val="32"/>
          <w:szCs w:val="32"/>
        </w:rPr>
        <w:t>传统村落保护发展专家队伍建设，加强传统村落保护工作智力保障。建立和完善</w:t>
      </w:r>
      <w:r>
        <w:rPr>
          <w:rFonts w:hint="eastAsia" w:ascii="仿宋_GB2312" w:hAnsi="Calibri" w:eastAsia="仿宋_GB2312" w:cs="Times New Roman"/>
          <w:color w:val="auto"/>
          <w:sz w:val="32"/>
          <w:szCs w:val="32"/>
          <w:lang w:eastAsia="zh-CN"/>
        </w:rPr>
        <w:t>新县</w:t>
      </w:r>
      <w:r>
        <w:rPr>
          <w:rFonts w:hint="eastAsia" w:ascii="仿宋_GB2312" w:hAnsi="Calibri" w:eastAsia="仿宋_GB2312" w:cs="Times New Roman"/>
          <w:color w:val="auto"/>
          <w:sz w:val="32"/>
          <w:szCs w:val="32"/>
        </w:rPr>
        <w:t>传统村落保护发展专家指导制度，充分发挥专家在规划编制、项目编报及业态谋划等方面的技术指导和决策咨询作用。开展多层次的传统建筑工匠教育培训，培育一批既掌握古建筑建造技术、又熟悉乡村文化的传统建筑工匠，促进优秀传统建筑技艺传承与创新。组建</w:t>
      </w:r>
      <w:r>
        <w:rPr>
          <w:rFonts w:hint="eastAsia" w:ascii="仿宋_GB2312" w:hAnsi="Calibri" w:eastAsia="仿宋_GB2312" w:cs="Times New Roman"/>
          <w:color w:val="auto"/>
          <w:sz w:val="32"/>
          <w:szCs w:val="32"/>
          <w:lang w:eastAsia="zh-CN"/>
        </w:rPr>
        <w:t>新县</w:t>
      </w:r>
      <w:r>
        <w:rPr>
          <w:rFonts w:hint="eastAsia" w:ascii="仿宋_GB2312" w:hAnsi="Calibri" w:eastAsia="仿宋_GB2312" w:cs="Times New Roman"/>
          <w:color w:val="auto"/>
          <w:sz w:val="32"/>
          <w:szCs w:val="32"/>
        </w:rPr>
        <w:t>传统村落保护利用志愿者队伍，引导当地村民积极参与传统村落保护与发展。</w:t>
      </w:r>
    </w:p>
    <w:p w14:paraId="354FE0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Calibri" w:eastAsia="楷体_GB2312" w:cs="Times New Roman"/>
          <w:b/>
          <w:color w:val="auto"/>
          <w:kern w:val="0"/>
          <w:sz w:val="32"/>
          <w:szCs w:val="32"/>
        </w:rPr>
      </w:pPr>
      <w:r>
        <w:rPr>
          <w:rFonts w:hint="eastAsia" w:ascii="楷体_GB2312" w:hAnsi="Calibri" w:eastAsia="楷体_GB2312" w:cs="Times New Roman"/>
          <w:b/>
          <w:color w:val="auto"/>
          <w:kern w:val="0"/>
          <w:sz w:val="32"/>
          <w:szCs w:val="32"/>
        </w:rPr>
        <w:t>（六）强化监督管理</w:t>
      </w:r>
    </w:p>
    <w:p w14:paraId="0776080F">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color w:val="auto"/>
        </w:rPr>
      </w:pPr>
      <w:r>
        <w:rPr>
          <w:rFonts w:hint="eastAsia" w:ascii="仿宋_GB2312" w:hAnsi="Calibri" w:eastAsia="仿宋_GB2312" w:cs="Times New Roman"/>
          <w:color w:val="auto"/>
          <w:sz w:val="32"/>
          <w:szCs w:val="32"/>
          <w:lang w:val="en-US" w:eastAsia="zh-CN"/>
        </w:rPr>
        <w:t>将传统村落保护发展纳入乡镇（</w:t>
      </w:r>
      <w:r>
        <w:rPr>
          <w:rFonts w:hint="eastAsia" w:ascii="仿宋_GB2312" w:hAnsi="Calibri" w:eastAsia="仿宋_GB2312" w:cs="Times New Roman"/>
          <w:color w:val="auto"/>
          <w:sz w:val="32"/>
          <w:szCs w:val="32"/>
          <w:lang w:eastAsia="zh-CN"/>
        </w:rPr>
        <w:t>街道办</w:t>
      </w:r>
      <w:r>
        <w:rPr>
          <w:rFonts w:hint="eastAsia" w:ascii="仿宋_GB2312" w:hAnsi="Calibri" w:eastAsia="仿宋_GB2312" w:cs="Times New Roman"/>
          <w:color w:val="auto"/>
          <w:sz w:val="32"/>
          <w:szCs w:val="32"/>
          <w:lang w:val="en-US" w:eastAsia="zh-CN"/>
        </w:rPr>
        <w:t>）年度目标考核体系，建立常态化督查机制。</w:t>
      </w:r>
      <w:r>
        <w:rPr>
          <w:rFonts w:hint="eastAsia" w:ascii="仿宋_GB2312" w:hAnsi="Calibri" w:eastAsia="仿宋_GB2312" w:cs="Times New Roman"/>
          <w:color w:val="auto"/>
          <w:sz w:val="32"/>
          <w:szCs w:val="32"/>
        </w:rPr>
        <w:t>严格按照传统村落保护发展规划实施各类建设项目，及时公开项目信息。建立传统村落动态监测信息系统，对传统村落的保护状况和规划实施进行跟踪监测。各级传统村落均应建立保护档案，设置保护标志。坚持动态监测管理，对违反保护要求或因保护不力，造成传统村落建筑、选址和格局，历史风貌和历史文化遗产价值严重损害或破坏性影响的，发出警示。警示期内，暂停国家、省级传统村落名录申报推荐资格和传统村落保护项目各类支持，情节严重的，由有关部门依法查处</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rPr>
        <w:t>对失去保护价值的村落予以除名，退出传统村落名录，实施财政奖补的，同时收回相应资金，并在电视、报纸、网络等媒体进行通报。</w:t>
      </w:r>
    </w:p>
    <w:p w14:paraId="43F557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Calibri" w:eastAsia="楷体_GB2312" w:cs="Times New Roman"/>
          <w:b/>
          <w:color w:val="auto"/>
          <w:kern w:val="0"/>
          <w:sz w:val="32"/>
          <w:szCs w:val="32"/>
        </w:rPr>
      </w:pPr>
      <w:r>
        <w:rPr>
          <w:rFonts w:hint="eastAsia" w:ascii="楷体_GB2312" w:hAnsi="Calibri" w:eastAsia="楷体_GB2312" w:cs="Times New Roman"/>
          <w:b/>
          <w:color w:val="auto"/>
          <w:kern w:val="0"/>
          <w:sz w:val="32"/>
          <w:szCs w:val="32"/>
        </w:rPr>
        <w:t>（七）打造</w:t>
      </w:r>
      <w:r>
        <w:rPr>
          <w:rFonts w:hint="eastAsia" w:ascii="楷体_GB2312" w:hAnsi="Calibri" w:eastAsia="楷体_GB2312" w:cs="Times New Roman"/>
          <w:b/>
          <w:color w:val="auto"/>
          <w:kern w:val="0"/>
          <w:sz w:val="32"/>
          <w:szCs w:val="32"/>
          <w:lang w:eastAsia="zh-CN"/>
        </w:rPr>
        <w:t>新县</w:t>
      </w:r>
      <w:r>
        <w:rPr>
          <w:rFonts w:hint="eastAsia" w:ascii="楷体_GB2312" w:hAnsi="Calibri" w:eastAsia="楷体_GB2312" w:cs="Times New Roman"/>
          <w:b/>
          <w:color w:val="auto"/>
          <w:kern w:val="0"/>
          <w:sz w:val="32"/>
          <w:szCs w:val="32"/>
        </w:rPr>
        <w:t>传统村落金字招牌</w:t>
      </w:r>
    </w:p>
    <w:p w14:paraId="15C1C9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Calibri" w:hAnsi="Calibri" w:eastAsia="仿宋_GB2312" w:cs="Times New Roman"/>
          <w:color w:val="auto"/>
          <w:sz w:val="32"/>
          <w:szCs w:val="32"/>
        </w:rPr>
      </w:pPr>
      <w:r>
        <w:rPr>
          <w:rFonts w:ascii="Calibri" w:hAnsi="Calibri" w:eastAsia="仿宋_GB2312" w:cs="Times New Roman"/>
          <w:color w:val="auto"/>
          <w:sz w:val="32"/>
          <w:szCs w:val="32"/>
        </w:rPr>
        <w:t>借助大数据技术，通过深度文化挖掘与精准情感分析，加强舆情监测，及时回应社会关切，增强广大人民群众参与的积极性、创造性，形成全社会关注推动传统村落保护发展的良好氛围。持续利用电视、广播、报纸等传统媒体和微博、微信、抖音、快手等新媒体，结合</w:t>
      </w:r>
      <w:r>
        <w:rPr>
          <w:rFonts w:hint="eastAsia" w:ascii="Calibri" w:hAnsi="Calibri" w:eastAsia="仿宋_GB2312" w:cs="Times New Roman"/>
          <w:color w:val="auto"/>
          <w:sz w:val="32"/>
          <w:szCs w:val="32"/>
          <w:lang w:eastAsia="zh-CN"/>
        </w:rPr>
        <w:t>新县</w:t>
      </w:r>
      <w:r>
        <w:rPr>
          <w:rFonts w:ascii="Calibri" w:hAnsi="Calibri" w:eastAsia="仿宋_GB2312" w:cs="Times New Roman"/>
          <w:color w:val="auto"/>
          <w:sz w:val="32"/>
          <w:szCs w:val="32"/>
        </w:rPr>
        <w:t>各传统村落的文化特色，策划品牌推广方案，打造爆款营销产品，差异化、跨越式突围，注重口碑效应，通过故事化的讲述体现</w:t>
      </w:r>
      <w:r>
        <w:rPr>
          <w:rFonts w:hint="eastAsia" w:ascii="Calibri" w:hAnsi="Calibri" w:eastAsia="仿宋_GB2312" w:cs="Times New Roman"/>
          <w:color w:val="auto"/>
          <w:sz w:val="32"/>
          <w:szCs w:val="32"/>
          <w:lang w:eastAsia="zh-CN"/>
        </w:rPr>
        <w:t>新县</w:t>
      </w:r>
      <w:r>
        <w:rPr>
          <w:rFonts w:ascii="Calibri" w:hAnsi="Calibri" w:eastAsia="仿宋_GB2312" w:cs="Times New Roman"/>
          <w:color w:val="auto"/>
          <w:sz w:val="32"/>
          <w:szCs w:val="32"/>
        </w:rPr>
        <w:t>传统村落保护利用成效，传递</w:t>
      </w:r>
      <w:r>
        <w:rPr>
          <w:rFonts w:hint="eastAsia" w:ascii="Calibri" w:hAnsi="Calibri" w:eastAsia="仿宋_GB2312" w:cs="Times New Roman"/>
          <w:color w:val="auto"/>
          <w:sz w:val="32"/>
          <w:szCs w:val="32"/>
          <w:lang w:eastAsia="zh-CN"/>
        </w:rPr>
        <w:t>新县</w:t>
      </w:r>
      <w:r>
        <w:rPr>
          <w:rFonts w:ascii="Calibri" w:hAnsi="Calibri" w:eastAsia="仿宋_GB2312" w:cs="Times New Roman"/>
          <w:color w:val="auto"/>
          <w:sz w:val="32"/>
          <w:szCs w:val="32"/>
        </w:rPr>
        <w:t>传统村落历史文化魅力，将线上流量转化为线下客流量，带动当地旅游发展，促进传统村落产业做大做强。</w:t>
      </w:r>
    </w:p>
    <w:p w14:paraId="695654E8">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eastAsia" w:ascii="Calibri" w:hAnsi="Calibri" w:eastAsia="仿宋_GB2312" w:cs="Times New Roman"/>
          <w:color w:val="auto"/>
          <w:kern w:val="2"/>
          <w:sz w:val="32"/>
          <w:szCs w:val="32"/>
          <w:lang w:val="en-US" w:eastAsia="zh-CN" w:bidi="ar-SA"/>
        </w:rPr>
      </w:pPr>
      <w:r>
        <w:rPr>
          <w:rFonts w:hint="eastAsia" w:ascii="Calibri" w:hAnsi="Calibri" w:eastAsia="仿宋_GB2312" w:cs="Times New Roman"/>
          <w:color w:val="auto"/>
          <w:kern w:val="2"/>
          <w:sz w:val="32"/>
          <w:szCs w:val="32"/>
          <w:lang w:val="en-US" w:eastAsia="zh-CN" w:bidi="ar-SA"/>
        </w:rPr>
        <w:t>本意见自发布之日起施行，有效期五年。各乡镇（街道办）、县直各部门要根据本意见制定具体实施方案，确保传统村落保护发展各项任务落到实处，为建设“两个更好</w:t>
      </w:r>
      <w:r>
        <w:rPr>
          <w:rFonts w:hint="default" w:ascii="Calibri" w:hAnsi="Calibri" w:eastAsia="仿宋_GB2312" w:cs="Times New Roman"/>
          <w:color w:val="auto"/>
          <w:kern w:val="2"/>
          <w:sz w:val="32"/>
          <w:szCs w:val="32"/>
          <w:lang w:val="en-US" w:eastAsia="zh-CN" w:bidi="ar-SA"/>
        </w:rPr>
        <w:t>”</w:t>
      </w:r>
      <w:r>
        <w:rPr>
          <w:rFonts w:hint="eastAsia" w:ascii="Calibri" w:hAnsi="Calibri" w:eastAsia="仿宋_GB2312" w:cs="Times New Roman"/>
          <w:color w:val="auto"/>
          <w:kern w:val="2"/>
          <w:sz w:val="32"/>
          <w:szCs w:val="32"/>
          <w:lang w:val="en-US" w:eastAsia="zh-CN" w:bidi="ar-SA"/>
        </w:rPr>
        <w:t>示范区贡献新县力量。</w:t>
      </w:r>
    </w:p>
    <w:p w14:paraId="657058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alibri" w:hAnsi="Calibri" w:eastAsia="仿宋_GB2312" w:cs="Times New Roman"/>
          <w:color w:val="auto"/>
          <w:sz w:val="32"/>
          <w:szCs w:val="32"/>
        </w:rPr>
      </w:pPr>
    </w:p>
    <w:p w14:paraId="56198F51">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eastAsia" w:ascii="仿宋" w:hAnsi="仿宋" w:eastAsia="仿宋" w:cs="仿宋"/>
          <w:color w:val="auto"/>
          <w:sz w:val="32"/>
          <w:szCs w:val="32"/>
          <w:shd w:val="clear" w:color="auto" w:fill="FFFFFF"/>
          <w:lang w:val="en-US" w:eastAsia="zh-CN"/>
        </w:rPr>
      </w:pPr>
    </w:p>
    <w:p w14:paraId="6CA2B44E">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 xml:space="preserve"> </w:t>
      </w:r>
    </w:p>
    <w:p w14:paraId="007E39D1">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eastAsia" w:ascii="仿宋" w:hAnsi="仿宋" w:eastAsia="仿宋" w:cs="仿宋"/>
          <w:color w:val="auto"/>
          <w:sz w:val="32"/>
          <w:szCs w:val="32"/>
          <w:shd w:val="clear" w:color="auto" w:fill="FFFFFF"/>
          <w:lang w:val="en-US" w:eastAsia="zh-CN"/>
        </w:rPr>
      </w:pPr>
    </w:p>
    <w:p w14:paraId="118BB8F1">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eastAsia" w:ascii="仿宋" w:hAnsi="仿宋" w:eastAsia="仿宋" w:cs="仿宋"/>
          <w:color w:val="auto"/>
          <w:sz w:val="32"/>
          <w:szCs w:val="32"/>
          <w:shd w:val="clear" w:color="auto" w:fill="FFFFFF"/>
          <w:lang w:val="en-US" w:eastAsia="zh-CN"/>
        </w:rPr>
      </w:pPr>
    </w:p>
    <w:p w14:paraId="15FD04D3">
      <w:pPr>
        <w:pStyle w:val="2"/>
        <w:rPr>
          <w:rFonts w:hint="eastAsia" w:eastAsia="宋体"/>
          <w:color w:val="auto"/>
          <w:lang w:val="en-US" w:eastAsia="zh-CN"/>
        </w:rPr>
      </w:pPr>
    </w:p>
    <w:p w14:paraId="74CD3DAF">
      <w:pPr>
        <w:rPr>
          <w:color w:val="auto"/>
        </w:rPr>
      </w:pPr>
    </w:p>
    <w:sectPr>
      <w:pgSz w:w="11906" w:h="16838"/>
      <w:pgMar w:top="1389" w:right="1797" w:bottom="1389" w:left="1797" w:header="851" w:footer="1701" w:gutter="0"/>
      <w:cols w:space="720" w:num="1"/>
      <w:titlePg/>
      <w:docGrid w:type="lines" w:linePitch="287"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F2894"/>
    <w:rsid w:val="5E6364D9"/>
    <w:rsid w:val="6BAF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jc w:val="both"/>
    </w:pPr>
    <w:rPr>
      <w:sz w:val="30"/>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3865</Words>
  <Characters>3879</Characters>
  <Lines>0</Lines>
  <Paragraphs>0</Paragraphs>
  <TotalTime>0</TotalTime>
  <ScaleCrop>false</ScaleCrop>
  <LinksUpToDate>false</LinksUpToDate>
  <CharactersWithSpaces>3879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2025-05-08T01:09:00Z</dcterms:created>
  <dc:creator>Admin</dc:creator>
  <cp:lastModifiedBy>李春阳</cp:lastModifiedBy>
  <dcterms:modified xsi:type="dcterms:W3CDTF">2025-05-08T01:16:42Z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eyJoZGlkIjoiNzliZTZiYjA2NzNhZjYwYmY3ZDU2NDlkZmIyZDcxMDkiLCJ1c2VySWQiOiIzOTIxNDg1MjAifQ==</vt:lpwstr>
  </property>
  <property fmtid="{D5CDD505-2E9C-101B-9397-08002B2CF9AE}" pid="4" name="ICV">
    <vt:lpwstr>CF48228BDFBC4B3AB13775A1F39AB98D_12</vt:lpwstr>
  </property>
</Properties>
</file>