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jc w:val="center"/>
        <w:rPr>
          <w:rFonts w:hint="eastAsia" w:ascii="黑体" w:hAnsi="黑体" w:eastAsia="黑体"/>
          <w:sz w:val="52"/>
          <w:szCs w:val="52"/>
        </w:rPr>
      </w:pPr>
      <w:r>
        <w:rPr>
          <w:rFonts w:hint="eastAsia" w:ascii="黑体" w:hAnsi="黑体" w:eastAsia="黑体"/>
          <w:sz w:val="52"/>
          <w:szCs w:val="52"/>
        </w:rPr>
        <w:t>2024年度</w:t>
      </w:r>
    </w:p>
    <w:p>
      <w:pPr>
        <w:jc w:val="center"/>
        <w:rPr>
          <w:rFonts w:hint="eastAsia" w:ascii="黑体" w:hAnsi="黑体" w:eastAsia="黑体"/>
          <w:sz w:val="52"/>
          <w:szCs w:val="52"/>
          <w:lang w:eastAsia="zh-CN"/>
        </w:rPr>
      </w:pPr>
      <w:r>
        <w:rPr>
          <w:rFonts w:hint="eastAsia" w:ascii="黑体" w:hAnsi="黑体" w:eastAsia="黑体"/>
          <w:sz w:val="52"/>
          <w:szCs w:val="52"/>
          <w:lang w:eastAsia="zh-CN"/>
        </w:rPr>
        <w:t>信阳市平桥区政协办公室</w:t>
      </w:r>
      <w:r>
        <w:rPr>
          <w:rFonts w:hint="eastAsia" w:ascii="黑体" w:hAnsi="黑体" w:eastAsia="黑体"/>
          <w:sz w:val="52"/>
          <w:szCs w:val="52"/>
        </w:rPr>
        <w:t>部门决算</w:t>
      </w:r>
    </w:p>
    <w:p>
      <w:pPr>
        <w:jc w:val="center"/>
        <w:rPr>
          <w:rFonts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32"/>
          <w:szCs w:val="32"/>
        </w:rPr>
      </w:pPr>
      <w:r>
        <w:rPr>
          <w:rFonts w:hint="eastAsia" w:ascii="黑体" w:hAnsi="黑体" w:eastAsia="黑体"/>
          <w:sz w:val="32"/>
          <w:szCs w:val="32"/>
        </w:rPr>
        <w:t>二〇二五年</w:t>
      </w:r>
      <w:r>
        <w:rPr>
          <w:rFonts w:hint="eastAsia" w:ascii="黑体" w:hAnsi="黑体" w:eastAsia="黑体"/>
          <w:sz w:val="32"/>
          <w:szCs w:val="32"/>
          <w:lang w:eastAsia="zh-CN"/>
        </w:rPr>
        <w:t>九</w:t>
      </w:r>
      <w:bookmarkStart w:id="0" w:name="_GoBack"/>
      <w:bookmarkEnd w:id="0"/>
      <w:r>
        <w:rPr>
          <w:rFonts w:hint="eastAsia" w:ascii="黑体" w:hAnsi="黑体" w:eastAsia="黑体"/>
          <w:sz w:val="32"/>
          <w:szCs w:val="32"/>
        </w:rPr>
        <w:t>月</w:t>
      </w:r>
    </w:p>
    <w:p>
      <w:pPr>
        <w:rPr>
          <w:rFonts w:hint="eastAsia" w:ascii="黑体" w:hAnsi="黑体" w:eastAsia="黑体"/>
          <w:sz w:val="32"/>
          <w:szCs w:val="32"/>
        </w:rPr>
        <w:sectPr>
          <w:pgSz w:w="11906" w:h="16838"/>
          <w:pgMar w:top="1440" w:right="1531" w:bottom="1440" w:left="1587" w:header="850" w:footer="992" w:gutter="0"/>
          <w:pgNumType w:fmt="decimal"/>
          <w:docGrid w:type="lines" w:linePitch="317" w:charSpace="0"/>
        </w:sectPr>
      </w:pPr>
    </w:p>
    <w:p>
      <w:pPr>
        <w:jc w:val="center"/>
        <w:rPr>
          <w:rFonts w:hint="eastAsia" w:ascii="黑体" w:hAnsi="黑体" w:eastAsia="黑体"/>
          <w:sz w:val="36"/>
          <w:szCs w:val="36"/>
        </w:rPr>
      </w:pPr>
      <w:r>
        <w:rPr>
          <w:rFonts w:hint="eastAsia" w:ascii="黑体" w:hAnsi="黑体" w:eastAsia="黑体"/>
          <w:sz w:val="36"/>
          <w:szCs w:val="36"/>
        </w:rPr>
        <w:t xml:space="preserve">目 </w:t>
      </w:r>
      <w:r>
        <w:rPr>
          <w:rFonts w:ascii="黑体" w:hAnsi="黑体" w:eastAsia="黑体"/>
          <w:sz w:val="36"/>
          <w:szCs w:val="36"/>
        </w:rPr>
        <w:t xml:space="preserve"> </w:t>
      </w:r>
      <w:r>
        <w:rPr>
          <w:rFonts w:hint="eastAsia" w:ascii="黑体" w:hAnsi="黑体" w:eastAsia="黑体"/>
          <w:sz w:val="36"/>
          <w:szCs w:val="36"/>
        </w:rPr>
        <w:t>录</w:t>
      </w:r>
    </w:p>
    <w:p>
      <w:pPr>
        <w:jc w:val="lef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信阳市平桥区政协办公室</w:t>
      </w:r>
      <w:r>
        <w:rPr>
          <w:rFonts w:hint="eastAsia" w:ascii="黑体" w:hAnsi="黑体" w:eastAsia="黑体"/>
          <w:sz w:val="32"/>
          <w:szCs w:val="32"/>
        </w:rPr>
        <w:t>概况</w:t>
      </w:r>
    </w:p>
    <w:p>
      <w:pPr>
        <w:numPr>
          <w:ilvl w:val="0"/>
          <w:numId w:val="1"/>
        </w:numPr>
        <w:ind w:firstLine="640" w:firstLineChars="200"/>
        <w:jc w:val="left"/>
        <w:rPr>
          <w:rFonts w:hint="eastAsia" w:ascii="宋体" w:hAnsi="宋体"/>
          <w:sz w:val="32"/>
          <w:szCs w:val="32"/>
        </w:rPr>
      </w:pPr>
      <w:r>
        <w:rPr>
          <w:rFonts w:hint="eastAsia" w:ascii="宋体" w:hAnsi="宋体"/>
          <w:sz w:val="32"/>
          <w:szCs w:val="32"/>
        </w:rPr>
        <w:t>部门职责</w:t>
      </w:r>
    </w:p>
    <w:p>
      <w:pPr>
        <w:numPr>
          <w:ilvl w:val="0"/>
          <w:numId w:val="1"/>
        </w:numPr>
        <w:ind w:firstLine="640" w:firstLineChars="200"/>
        <w:jc w:val="left"/>
        <w:rPr>
          <w:rFonts w:hint="eastAsia" w:ascii="宋体" w:hAnsi="宋体"/>
          <w:sz w:val="32"/>
          <w:szCs w:val="32"/>
        </w:rPr>
      </w:pPr>
      <w:r>
        <w:rPr>
          <w:rFonts w:hint="eastAsia" w:ascii="宋体" w:hAnsi="宋体"/>
          <w:sz w:val="32"/>
          <w:szCs w:val="32"/>
        </w:rPr>
        <w:t>机构设置</w:t>
      </w:r>
    </w:p>
    <w:p>
      <w:pPr>
        <w:jc w:val="left"/>
        <w:rPr>
          <w:rFonts w:hint="eastAsia" w:ascii="黑体" w:hAnsi="黑体" w:eastAsia="黑体"/>
          <w:sz w:val="32"/>
          <w:szCs w:val="32"/>
        </w:rPr>
      </w:pPr>
      <w:r>
        <w:rPr>
          <w:rFonts w:hint="eastAsia" w:ascii="黑体" w:hAnsi="黑体" w:eastAsia="黑体"/>
          <w:sz w:val="32"/>
          <w:szCs w:val="32"/>
        </w:rPr>
        <w:t>第二部分  2024年度部门决算表</w:t>
      </w:r>
    </w:p>
    <w:p>
      <w:pPr>
        <w:ind w:firstLine="640" w:firstLineChars="200"/>
        <w:jc w:val="left"/>
        <w:rPr>
          <w:rFonts w:hint="eastAsia" w:ascii="宋体" w:hAnsi="宋体"/>
          <w:sz w:val="32"/>
          <w:szCs w:val="32"/>
        </w:rPr>
      </w:pPr>
      <w:r>
        <w:rPr>
          <w:rFonts w:hint="eastAsia" w:ascii="宋体" w:hAnsi="宋体"/>
          <w:sz w:val="32"/>
          <w:szCs w:val="32"/>
        </w:rPr>
        <w:t>一、收入支出决算总表</w:t>
      </w:r>
    </w:p>
    <w:p>
      <w:pPr>
        <w:ind w:firstLine="640" w:firstLineChars="200"/>
        <w:jc w:val="left"/>
        <w:rPr>
          <w:rFonts w:hint="eastAsia" w:ascii="宋体" w:hAnsi="宋体"/>
          <w:sz w:val="32"/>
          <w:szCs w:val="32"/>
        </w:rPr>
      </w:pPr>
      <w:r>
        <w:rPr>
          <w:rFonts w:hint="eastAsia" w:ascii="宋体" w:hAnsi="宋体"/>
          <w:sz w:val="32"/>
          <w:szCs w:val="32"/>
        </w:rPr>
        <w:t>二、收入决算表</w:t>
      </w:r>
    </w:p>
    <w:p>
      <w:pPr>
        <w:ind w:firstLine="640" w:firstLineChars="200"/>
        <w:jc w:val="left"/>
        <w:rPr>
          <w:rFonts w:hint="eastAsia" w:ascii="宋体" w:hAnsi="宋体"/>
          <w:sz w:val="32"/>
          <w:szCs w:val="32"/>
        </w:rPr>
      </w:pPr>
      <w:r>
        <w:rPr>
          <w:rFonts w:hint="eastAsia" w:ascii="宋体" w:hAnsi="宋体"/>
          <w:sz w:val="32"/>
          <w:szCs w:val="32"/>
        </w:rPr>
        <w:t>三、支出决算表</w:t>
      </w:r>
    </w:p>
    <w:p>
      <w:pPr>
        <w:ind w:firstLine="640" w:firstLineChars="200"/>
        <w:jc w:val="left"/>
        <w:rPr>
          <w:rFonts w:hint="eastAsia" w:ascii="宋体" w:hAnsi="宋体"/>
          <w:sz w:val="32"/>
          <w:szCs w:val="32"/>
        </w:rPr>
      </w:pPr>
      <w:r>
        <w:rPr>
          <w:rFonts w:hint="eastAsia" w:ascii="宋体" w:hAnsi="宋体"/>
          <w:sz w:val="32"/>
          <w:szCs w:val="32"/>
        </w:rPr>
        <w:t>四、财政拨款收入支出决算总表</w:t>
      </w:r>
    </w:p>
    <w:p>
      <w:pPr>
        <w:ind w:firstLine="640" w:firstLineChars="200"/>
        <w:jc w:val="left"/>
        <w:rPr>
          <w:rFonts w:hint="eastAsia" w:ascii="宋体" w:hAnsi="宋体"/>
          <w:sz w:val="32"/>
          <w:szCs w:val="32"/>
        </w:rPr>
      </w:pPr>
      <w:r>
        <w:rPr>
          <w:rFonts w:hint="eastAsia" w:ascii="宋体" w:hAnsi="宋体"/>
          <w:sz w:val="32"/>
          <w:szCs w:val="32"/>
        </w:rPr>
        <w:t>五、一般公共预算财政拨款支出决算表</w:t>
      </w:r>
    </w:p>
    <w:p>
      <w:pPr>
        <w:ind w:firstLine="640" w:firstLineChars="200"/>
        <w:jc w:val="left"/>
        <w:rPr>
          <w:rFonts w:hint="eastAsia" w:ascii="宋体" w:hAnsi="宋体"/>
          <w:sz w:val="32"/>
          <w:szCs w:val="32"/>
        </w:rPr>
      </w:pPr>
      <w:r>
        <w:rPr>
          <w:rFonts w:hint="eastAsia" w:ascii="宋体" w:hAnsi="宋体"/>
          <w:sz w:val="32"/>
          <w:szCs w:val="32"/>
        </w:rPr>
        <w:t>六、一般公共预算财政拨款基本支出决算明细表</w:t>
      </w:r>
    </w:p>
    <w:p>
      <w:pPr>
        <w:ind w:firstLine="640" w:firstLineChars="200"/>
        <w:jc w:val="left"/>
        <w:rPr>
          <w:rFonts w:hint="eastAsia" w:ascii="宋体" w:hAnsi="宋体"/>
          <w:sz w:val="32"/>
          <w:szCs w:val="32"/>
        </w:rPr>
      </w:pPr>
      <w:r>
        <w:rPr>
          <w:rFonts w:hint="eastAsia" w:ascii="宋体" w:hAnsi="宋体"/>
          <w:sz w:val="32"/>
          <w:szCs w:val="32"/>
        </w:rPr>
        <w:t>七、政府性基金预算财政拨款收入支出决算表</w:t>
      </w:r>
    </w:p>
    <w:p>
      <w:pPr>
        <w:ind w:firstLine="640" w:firstLineChars="200"/>
        <w:jc w:val="left"/>
        <w:rPr>
          <w:rFonts w:hint="eastAsia" w:ascii="宋体" w:hAnsi="宋体"/>
          <w:sz w:val="32"/>
          <w:szCs w:val="32"/>
        </w:rPr>
      </w:pPr>
      <w:r>
        <w:rPr>
          <w:rFonts w:hint="eastAsia" w:ascii="宋体" w:hAnsi="宋体"/>
          <w:sz w:val="32"/>
          <w:szCs w:val="32"/>
        </w:rPr>
        <w:t>八、国有</w:t>
      </w:r>
      <w:r>
        <w:rPr>
          <w:rFonts w:ascii="宋体" w:hAnsi="宋体"/>
          <w:sz w:val="32"/>
          <w:szCs w:val="32"/>
        </w:rPr>
        <w:t>资本经营预算财政拨款</w:t>
      </w:r>
      <w:r>
        <w:rPr>
          <w:rFonts w:hint="eastAsia" w:ascii="宋体" w:hAnsi="宋体"/>
          <w:sz w:val="32"/>
          <w:szCs w:val="32"/>
        </w:rPr>
        <w:t>支出决算表</w:t>
      </w:r>
    </w:p>
    <w:p>
      <w:pPr>
        <w:ind w:firstLine="640" w:firstLineChars="200"/>
        <w:jc w:val="left"/>
        <w:rPr>
          <w:rFonts w:hint="eastAsia" w:ascii="宋体" w:hAnsi="宋体"/>
          <w:sz w:val="32"/>
          <w:szCs w:val="32"/>
        </w:rPr>
      </w:pPr>
      <w:r>
        <w:rPr>
          <w:rFonts w:hint="eastAsia" w:ascii="宋体" w:hAnsi="宋体"/>
          <w:sz w:val="32"/>
          <w:szCs w:val="32"/>
        </w:rPr>
        <w:t>九、一般公共预算财政拨款“三公”经费支出决算表</w:t>
      </w:r>
    </w:p>
    <w:p>
      <w:pPr>
        <w:jc w:val="left"/>
        <w:rPr>
          <w:rFonts w:hint="eastAsia" w:ascii="黑体" w:hAnsi="黑体" w:eastAsia="黑体"/>
          <w:sz w:val="32"/>
          <w:szCs w:val="32"/>
        </w:rPr>
      </w:pPr>
      <w:r>
        <w:rPr>
          <w:rFonts w:hint="eastAsia" w:ascii="黑体" w:hAnsi="黑体" w:eastAsia="黑体"/>
          <w:sz w:val="32"/>
          <w:szCs w:val="32"/>
        </w:rPr>
        <w:t xml:space="preserve">第三部分  </w:t>
      </w:r>
      <w:r>
        <w:rPr>
          <w:rFonts w:ascii="黑体" w:hAnsi="黑体" w:eastAsia="黑体"/>
          <w:sz w:val="32"/>
          <w:szCs w:val="32"/>
        </w:rPr>
        <w:t>2024</w:t>
      </w:r>
      <w:r>
        <w:rPr>
          <w:rFonts w:hint="eastAsia" w:ascii="黑体" w:hAnsi="黑体" w:eastAsia="黑体"/>
          <w:sz w:val="32"/>
          <w:szCs w:val="32"/>
        </w:rPr>
        <w:t>年度</w:t>
      </w:r>
      <w:r>
        <w:rPr>
          <w:rFonts w:ascii="黑体" w:hAnsi="黑体" w:eastAsia="黑体"/>
          <w:sz w:val="32"/>
          <w:szCs w:val="32"/>
        </w:rPr>
        <w:t>部门</w:t>
      </w:r>
      <w:r>
        <w:rPr>
          <w:rFonts w:hint="eastAsia" w:ascii="黑体" w:hAnsi="黑体" w:eastAsia="黑体"/>
          <w:sz w:val="32"/>
          <w:szCs w:val="32"/>
        </w:rPr>
        <w:t>决算情况说明</w:t>
      </w:r>
    </w:p>
    <w:p>
      <w:pPr>
        <w:ind w:firstLine="640" w:firstLineChars="200"/>
        <w:jc w:val="left"/>
        <w:rPr>
          <w:rFonts w:hint="eastAsia" w:ascii="宋体" w:hAnsi="宋体"/>
          <w:sz w:val="32"/>
          <w:szCs w:val="32"/>
        </w:rPr>
      </w:pPr>
      <w:r>
        <w:rPr>
          <w:rFonts w:hint="eastAsia" w:ascii="宋体" w:hAnsi="宋体"/>
          <w:sz w:val="32"/>
          <w:szCs w:val="32"/>
        </w:rPr>
        <w:t>一、收入支出决算总体情况说明</w:t>
      </w:r>
    </w:p>
    <w:p>
      <w:pPr>
        <w:ind w:firstLine="640" w:firstLineChars="200"/>
        <w:jc w:val="left"/>
        <w:rPr>
          <w:rFonts w:hint="eastAsia" w:ascii="宋体" w:hAnsi="宋体"/>
          <w:sz w:val="32"/>
          <w:szCs w:val="32"/>
        </w:rPr>
      </w:pPr>
      <w:r>
        <w:rPr>
          <w:rFonts w:hint="eastAsia" w:ascii="宋体" w:hAnsi="宋体"/>
          <w:sz w:val="32"/>
          <w:szCs w:val="32"/>
        </w:rPr>
        <w:t>二、收入决算情况说明</w:t>
      </w:r>
    </w:p>
    <w:p>
      <w:pPr>
        <w:ind w:firstLine="640" w:firstLineChars="200"/>
        <w:jc w:val="left"/>
        <w:rPr>
          <w:rFonts w:hint="eastAsia" w:ascii="宋体" w:hAnsi="宋体"/>
          <w:sz w:val="32"/>
          <w:szCs w:val="32"/>
        </w:rPr>
      </w:pPr>
      <w:r>
        <w:rPr>
          <w:rFonts w:hint="eastAsia" w:ascii="宋体" w:hAnsi="宋体"/>
          <w:sz w:val="32"/>
          <w:szCs w:val="32"/>
        </w:rPr>
        <w:t>三、支出决算情况说明</w:t>
      </w:r>
    </w:p>
    <w:p>
      <w:pPr>
        <w:ind w:firstLine="640" w:firstLineChars="200"/>
        <w:jc w:val="left"/>
        <w:rPr>
          <w:rFonts w:hint="eastAsia" w:ascii="宋体" w:hAnsi="宋体"/>
          <w:sz w:val="32"/>
          <w:szCs w:val="32"/>
        </w:rPr>
      </w:pPr>
      <w:r>
        <w:rPr>
          <w:rFonts w:hint="eastAsia" w:ascii="宋体" w:hAnsi="宋体"/>
          <w:sz w:val="32"/>
          <w:szCs w:val="32"/>
        </w:rPr>
        <w:t>四、财政拨款收入支出决算总体情况说明</w:t>
      </w:r>
    </w:p>
    <w:p>
      <w:pPr>
        <w:ind w:firstLine="640" w:firstLineChars="200"/>
        <w:jc w:val="left"/>
        <w:rPr>
          <w:rFonts w:hint="eastAsia" w:ascii="宋体" w:hAnsi="宋体"/>
          <w:sz w:val="32"/>
          <w:szCs w:val="32"/>
        </w:rPr>
      </w:pPr>
      <w:r>
        <w:rPr>
          <w:rFonts w:hint="eastAsia" w:ascii="宋体" w:hAnsi="宋体"/>
          <w:sz w:val="32"/>
          <w:szCs w:val="32"/>
        </w:rPr>
        <w:t>五、一般公共预算财政拨款支出决算情况说明</w:t>
      </w:r>
    </w:p>
    <w:p>
      <w:pPr>
        <w:ind w:firstLine="640" w:firstLineChars="200"/>
        <w:jc w:val="left"/>
        <w:rPr>
          <w:rFonts w:hint="eastAsia" w:ascii="宋体" w:hAnsi="宋体"/>
          <w:sz w:val="32"/>
          <w:szCs w:val="32"/>
        </w:rPr>
      </w:pPr>
      <w:r>
        <w:rPr>
          <w:rFonts w:hint="eastAsia" w:ascii="宋体" w:hAnsi="宋体"/>
          <w:sz w:val="32"/>
          <w:szCs w:val="32"/>
        </w:rPr>
        <w:t>六、一般公共预算财政拨款基本支出决算情况说明</w:t>
      </w:r>
    </w:p>
    <w:p>
      <w:pPr>
        <w:ind w:firstLine="640" w:firstLineChars="200"/>
        <w:jc w:val="left"/>
        <w:rPr>
          <w:rFonts w:hint="eastAsia" w:ascii="宋体" w:hAnsi="宋体"/>
          <w:sz w:val="32"/>
          <w:szCs w:val="32"/>
        </w:rPr>
      </w:pPr>
      <w:r>
        <w:rPr>
          <w:rFonts w:hint="eastAsia" w:ascii="宋体" w:hAnsi="宋体"/>
          <w:sz w:val="32"/>
          <w:szCs w:val="32"/>
        </w:rPr>
        <w:t>七、政府性基金预算财政拨款支出决算情况说明</w:t>
      </w:r>
    </w:p>
    <w:p>
      <w:pPr>
        <w:ind w:firstLine="640" w:firstLineChars="200"/>
        <w:jc w:val="left"/>
        <w:rPr>
          <w:rFonts w:hint="eastAsia" w:ascii="宋体" w:hAnsi="宋体"/>
          <w:sz w:val="32"/>
          <w:szCs w:val="32"/>
        </w:rPr>
      </w:pPr>
      <w:r>
        <w:rPr>
          <w:rFonts w:hint="eastAsia" w:ascii="宋体" w:hAnsi="宋体"/>
          <w:sz w:val="32"/>
          <w:szCs w:val="32"/>
        </w:rPr>
        <w:t>八、国有资本</w:t>
      </w:r>
      <w:r>
        <w:rPr>
          <w:rFonts w:ascii="宋体" w:hAnsi="宋体"/>
          <w:sz w:val="32"/>
          <w:szCs w:val="32"/>
        </w:rPr>
        <w:t>经营</w:t>
      </w:r>
      <w:r>
        <w:rPr>
          <w:rFonts w:hint="eastAsia" w:ascii="宋体" w:hAnsi="宋体"/>
          <w:sz w:val="32"/>
          <w:szCs w:val="32"/>
        </w:rPr>
        <w:t>预算财政拨款支出决算情况说明</w:t>
      </w:r>
    </w:p>
    <w:p>
      <w:pPr>
        <w:ind w:firstLine="640" w:firstLineChars="200"/>
        <w:jc w:val="left"/>
        <w:rPr>
          <w:rFonts w:hint="eastAsia" w:ascii="宋体" w:hAnsi="宋体"/>
          <w:sz w:val="32"/>
          <w:szCs w:val="32"/>
        </w:rPr>
      </w:pPr>
      <w:r>
        <w:rPr>
          <w:rFonts w:hint="eastAsia" w:ascii="宋体" w:hAnsi="宋体"/>
          <w:sz w:val="32"/>
          <w:szCs w:val="32"/>
        </w:rPr>
        <w:t>九、一般公共预算财政拨款“三公”经费支出决算情况说明</w:t>
      </w:r>
    </w:p>
    <w:p>
      <w:pPr>
        <w:ind w:firstLine="640" w:firstLineChars="200"/>
        <w:jc w:val="left"/>
        <w:rPr>
          <w:rFonts w:hint="eastAsia" w:ascii="宋体" w:hAnsi="宋体"/>
          <w:sz w:val="32"/>
          <w:szCs w:val="32"/>
        </w:rPr>
      </w:pPr>
      <w:r>
        <w:rPr>
          <w:rFonts w:hint="eastAsia" w:ascii="宋体" w:hAnsi="宋体"/>
          <w:sz w:val="32"/>
          <w:szCs w:val="32"/>
        </w:rPr>
        <w:t>十、机关运行经费支出情况说明</w:t>
      </w:r>
    </w:p>
    <w:p>
      <w:pPr>
        <w:ind w:firstLine="640" w:firstLineChars="200"/>
        <w:jc w:val="left"/>
        <w:rPr>
          <w:rFonts w:hint="eastAsia" w:ascii="宋体" w:hAnsi="宋体"/>
          <w:sz w:val="32"/>
          <w:szCs w:val="32"/>
        </w:rPr>
      </w:pPr>
      <w:r>
        <w:rPr>
          <w:rFonts w:hint="eastAsia" w:ascii="宋体" w:hAnsi="宋体"/>
          <w:sz w:val="32"/>
          <w:szCs w:val="32"/>
        </w:rPr>
        <w:t>十一、政府采购支出情况说明</w:t>
      </w:r>
    </w:p>
    <w:p>
      <w:pPr>
        <w:ind w:firstLine="640" w:firstLineChars="200"/>
        <w:jc w:val="left"/>
        <w:rPr>
          <w:rFonts w:hint="eastAsia" w:ascii="宋体" w:hAnsi="宋体"/>
          <w:sz w:val="32"/>
          <w:szCs w:val="32"/>
        </w:rPr>
      </w:pPr>
      <w:r>
        <w:rPr>
          <w:rFonts w:hint="eastAsia" w:ascii="宋体" w:hAnsi="宋体"/>
          <w:sz w:val="32"/>
          <w:szCs w:val="32"/>
        </w:rPr>
        <w:t>十二、国有资产占用情况说明</w:t>
      </w:r>
    </w:p>
    <w:p>
      <w:pPr>
        <w:ind w:firstLine="640" w:firstLineChars="200"/>
        <w:jc w:val="left"/>
        <w:rPr>
          <w:rFonts w:hint="eastAsia" w:ascii="宋体" w:hAnsi="宋体"/>
          <w:sz w:val="32"/>
          <w:szCs w:val="32"/>
        </w:rPr>
      </w:pPr>
      <w:r>
        <w:rPr>
          <w:rFonts w:hint="eastAsia" w:ascii="宋体" w:hAnsi="宋体"/>
          <w:sz w:val="32"/>
          <w:szCs w:val="32"/>
        </w:rPr>
        <w:t>十三、预算绩效情况说明</w:t>
      </w:r>
    </w:p>
    <w:p>
      <w:pPr>
        <w:jc w:val="left"/>
        <w:rPr>
          <w:rFonts w:hint="eastAsia" w:ascii="黑体" w:hAnsi="黑体" w:eastAsia="黑体"/>
          <w:sz w:val="32"/>
          <w:szCs w:val="32"/>
        </w:rPr>
      </w:pPr>
      <w:r>
        <w:rPr>
          <w:rFonts w:hint="eastAsia" w:ascii="黑体" w:hAnsi="黑体" w:eastAsia="黑体"/>
          <w:sz w:val="32"/>
          <w:szCs w:val="32"/>
        </w:rPr>
        <w:t>第四部分  名词解释</w:t>
      </w: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center"/>
        <w:outlineLvl w:val="0"/>
        <w:rPr>
          <w:rFonts w:hint="eastAsia" w:ascii="黑体" w:hAnsi="黑体" w:eastAsia="黑体"/>
          <w:sz w:val="48"/>
          <w:szCs w:val="48"/>
        </w:rPr>
      </w:pPr>
      <w:r>
        <w:rPr>
          <w:rFonts w:hint="eastAsia" w:ascii="黑体" w:hAnsi="黑体" w:eastAsia="黑体"/>
          <w:sz w:val="48"/>
          <w:szCs w:val="48"/>
        </w:rPr>
        <w:t xml:space="preserve">第一部分  </w:t>
      </w:r>
      <w:r>
        <w:rPr>
          <w:rFonts w:hint="eastAsia" w:ascii="黑体" w:hAnsi="黑体" w:eastAsia="黑体"/>
          <w:sz w:val="48"/>
          <w:szCs w:val="48"/>
          <w:lang w:eastAsia="zh-CN"/>
        </w:rPr>
        <w:t>信阳市平桥区政协办公室</w:t>
      </w:r>
      <w:r>
        <w:rPr>
          <w:rFonts w:hint="eastAsia" w:ascii="黑体" w:hAnsi="黑体" w:eastAsia="黑体"/>
          <w:sz w:val="48"/>
          <w:szCs w:val="48"/>
        </w:rPr>
        <w:t>概况</w:t>
      </w:r>
    </w:p>
    <w:p>
      <w:pPr>
        <w:widowControl/>
        <w:ind w:firstLine="640" w:firstLineChars="200"/>
        <w:jc w:val="left"/>
        <w:outlineLvl w:val="1"/>
        <w:rPr>
          <w:rFonts w:ascii="黑体" w:hAnsi="黑体" w:eastAsia="黑体"/>
          <w:kern w:val="0"/>
          <w:sz w:val="32"/>
          <w:szCs w:val="32"/>
        </w:rPr>
      </w:pPr>
    </w:p>
    <w:p>
      <w:pPr>
        <w:widowControl/>
        <w:ind w:firstLine="640" w:firstLineChars="200"/>
        <w:jc w:val="left"/>
        <w:outlineLvl w:val="1"/>
        <w:rPr>
          <w:rFonts w:hint="eastAsia" w:ascii="黑体" w:hAnsi="黑体" w:eastAsia="黑体"/>
          <w:kern w:val="0"/>
          <w:sz w:val="32"/>
          <w:szCs w:val="32"/>
        </w:rPr>
      </w:pPr>
      <w:r>
        <w:rPr>
          <w:rFonts w:hint="eastAsia" w:ascii="黑体" w:hAnsi="黑体" w:eastAsia="黑体"/>
          <w:kern w:val="0"/>
          <w:sz w:val="32"/>
          <w:szCs w:val="32"/>
        </w:rPr>
        <w:t>一、部门</w:t>
      </w:r>
      <w:r>
        <w:rPr>
          <w:rFonts w:hint="eastAsia" w:ascii="黑体" w:hAnsi="黑体" w:eastAsia="黑体"/>
          <w:bCs/>
          <w:sz w:val="32"/>
          <w:szCs w:val="32"/>
        </w:rPr>
        <w:t>职责</w:t>
      </w:r>
    </w:p>
    <w:p>
      <w:pPr>
        <w:spacing w:line="60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信阳市平桥区政协办公室的主要职能是政治协商、民主监督、参政议政。</w:t>
      </w:r>
    </w:p>
    <w:p>
      <w:pPr>
        <w:widowControl/>
        <w:ind w:firstLine="640" w:firstLineChars="200"/>
        <w:jc w:val="left"/>
        <w:outlineLvl w:val="1"/>
        <w:rPr>
          <w:rFonts w:hint="eastAsia" w:ascii="黑体" w:hAnsi="黑体" w:eastAsia="黑体"/>
          <w:kern w:val="0"/>
          <w:sz w:val="32"/>
          <w:szCs w:val="32"/>
        </w:rPr>
      </w:pPr>
      <w:r>
        <w:rPr>
          <w:rFonts w:hint="eastAsia" w:ascii="黑体" w:hAnsi="黑体" w:eastAsia="黑体"/>
          <w:kern w:val="0"/>
          <w:sz w:val="32"/>
          <w:szCs w:val="32"/>
        </w:rPr>
        <w:t>二、机构设置</w:t>
      </w:r>
    </w:p>
    <w:p>
      <w:pPr>
        <w:widowControl/>
        <w:ind w:firstLine="640" w:firstLineChars="200"/>
        <w:jc w:val="left"/>
        <w:rPr>
          <w:rFonts w:hint="eastAsia" w:ascii="仿宋_GB2312" w:hAnsi="仿宋_GB2312" w:eastAsia="仿宋_GB2312"/>
          <w:kern w:val="0"/>
          <w:sz w:val="32"/>
          <w:szCs w:val="32"/>
        </w:rPr>
      </w:pPr>
      <w:r>
        <w:rPr>
          <w:rFonts w:hint="eastAsia" w:ascii="仿宋_GB2312" w:hAnsi="仿宋_GB2312" w:eastAsia="仿宋_GB2312"/>
          <w:kern w:val="0"/>
          <w:sz w:val="32"/>
          <w:szCs w:val="32"/>
        </w:rPr>
        <w:t>信阳市平桥区政协办公室内设机构7个，包括：</w:t>
      </w:r>
      <w:r>
        <w:rPr>
          <w:rFonts w:hint="eastAsia" w:ascii="仿宋" w:hAnsi="仿宋" w:eastAsia="仿宋"/>
          <w:sz w:val="32"/>
          <w:szCs w:val="32"/>
        </w:rPr>
        <w:t>办公室、提案工作委员会、经济科技工作委员会、文史工作委员会、文教卫生工作委员会、民主法制工作委员会，委员联络委，编制员18人。上述一室六委暨为202</w:t>
      </w:r>
      <w:r>
        <w:rPr>
          <w:rFonts w:hint="eastAsia" w:ascii="仿宋" w:hAnsi="仿宋" w:eastAsia="仿宋"/>
          <w:sz w:val="32"/>
          <w:szCs w:val="32"/>
          <w:lang w:val="en-US" w:eastAsia="zh-CN"/>
        </w:rPr>
        <w:t>4</w:t>
      </w:r>
      <w:r>
        <w:rPr>
          <w:rFonts w:hint="eastAsia" w:ascii="仿宋" w:hAnsi="仿宋" w:eastAsia="仿宋"/>
          <w:sz w:val="32"/>
          <w:szCs w:val="32"/>
        </w:rPr>
        <w:t>年纳入部门预算的机构。</w:t>
      </w:r>
    </w:p>
    <w:p>
      <w:pPr>
        <w:widowControl/>
        <w:ind w:firstLine="640" w:firstLineChars="200"/>
        <w:jc w:val="left"/>
        <w:rPr>
          <w:rFonts w:ascii="仿宋_GB2312" w:hAnsi="仿宋_GB2312" w:eastAsia="仿宋_GB2312"/>
          <w:kern w:val="0"/>
          <w:sz w:val="32"/>
          <w:szCs w:val="32"/>
        </w:rPr>
      </w:pPr>
      <w:r>
        <w:rPr>
          <w:rFonts w:ascii="仿宋_GB2312" w:hAnsi="仿宋_GB2312" w:eastAsia="仿宋_GB2312"/>
          <w:kern w:val="0"/>
          <w:sz w:val="32"/>
          <w:szCs w:val="32"/>
        </w:rPr>
        <w:t>202</w:t>
      </w:r>
      <w:r>
        <w:rPr>
          <w:rFonts w:hint="eastAsia" w:ascii="仿宋_GB2312" w:hAnsi="仿宋_GB2312" w:eastAsia="仿宋_GB2312"/>
          <w:kern w:val="0"/>
          <w:sz w:val="32"/>
          <w:szCs w:val="32"/>
          <w:lang w:val="en-US" w:eastAsia="zh-CN"/>
        </w:rPr>
        <w:t>4</w:t>
      </w:r>
      <w:r>
        <w:rPr>
          <w:rFonts w:hint="eastAsia" w:ascii="仿宋_GB2312" w:hAnsi="仿宋_GB2312" w:eastAsia="仿宋_GB2312"/>
          <w:kern w:val="0"/>
          <w:sz w:val="32"/>
          <w:szCs w:val="32"/>
        </w:rPr>
        <w:t>年度，信阳市平桥区政协办公室。</w:t>
      </w:r>
    </w:p>
    <w:p>
      <w:pPr>
        <w:widowControl/>
        <w:ind w:firstLine="640" w:firstLineChars="200"/>
        <w:jc w:val="left"/>
        <w:rPr>
          <w:rFonts w:hint="eastAsia" w:ascii="仿宋_GB2312" w:hAnsi="仿宋_GB2312" w:eastAsia="仿宋_GB2312"/>
          <w:kern w:val="0"/>
          <w:sz w:val="32"/>
          <w:szCs w:val="32"/>
        </w:rPr>
      </w:pPr>
      <w:r>
        <w:rPr>
          <w:rFonts w:hint="eastAsia" w:ascii="仿宋_GB2312" w:hAnsi="仿宋_GB2312" w:eastAsia="仿宋_GB2312"/>
          <w:kern w:val="0"/>
          <w:sz w:val="32"/>
          <w:szCs w:val="32"/>
        </w:rPr>
        <w:t>纳入本部门202</w:t>
      </w:r>
      <w:r>
        <w:rPr>
          <w:rFonts w:hint="eastAsia" w:ascii="仿宋_GB2312" w:hAnsi="仿宋_GB2312" w:eastAsia="仿宋_GB2312"/>
          <w:kern w:val="0"/>
          <w:sz w:val="32"/>
          <w:szCs w:val="32"/>
          <w:lang w:val="en-US" w:eastAsia="zh-CN"/>
        </w:rPr>
        <w:t>4</w:t>
      </w:r>
      <w:r>
        <w:rPr>
          <w:rFonts w:hint="eastAsia" w:ascii="仿宋_GB2312" w:hAnsi="仿宋_GB2312" w:eastAsia="仿宋_GB2312"/>
          <w:kern w:val="0"/>
          <w:sz w:val="32"/>
          <w:szCs w:val="32"/>
        </w:rPr>
        <w:t>年度部门决算编制范围的单位共</w:t>
      </w:r>
      <w:r>
        <w:rPr>
          <w:rFonts w:hint="eastAsia" w:ascii="仿宋_GB2312" w:hAnsi="仿宋_GB2312" w:eastAsia="仿宋_GB2312"/>
          <w:kern w:val="0"/>
          <w:sz w:val="32"/>
          <w:szCs w:val="32"/>
          <w:lang w:val="en-US" w:eastAsia="zh-CN"/>
        </w:rPr>
        <w:t>1</w:t>
      </w:r>
      <w:r>
        <w:rPr>
          <w:rFonts w:hint="eastAsia" w:ascii="仿宋_GB2312" w:hAnsi="仿宋_GB2312" w:eastAsia="仿宋_GB2312"/>
          <w:kern w:val="0"/>
          <w:sz w:val="32"/>
          <w:szCs w:val="32"/>
        </w:rPr>
        <w:t>个，</w:t>
      </w:r>
      <w:r>
        <w:rPr>
          <w:rFonts w:hint="eastAsia" w:ascii="仿宋" w:hAnsi="仿宋" w:eastAsia="仿宋"/>
          <w:sz w:val="32"/>
          <w:szCs w:val="32"/>
        </w:rPr>
        <w:t>设二级机构政协信息中心。</w:t>
      </w:r>
    </w:p>
    <w:p>
      <w:pPr>
        <w:widowControl/>
        <w:ind w:firstLine="640" w:firstLineChars="200"/>
        <w:jc w:val="left"/>
        <w:rPr>
          <w:rFonts w:hint="eastAsia" w:ascii="仿宋_GB2312" w:hAnsi="仿宋_GB2312" w:eastAsia="仿宋_GB2312"/>
          <w:kern w:val="0"/>
          <w:sz w:val="32"/>
          <w:szCs w:val="32"/>
        </w:rPr>
      </w:pPr>
    </w:p>
    <w:p>
      <w:pPr>
        <w:widowControl/>
        <w:jc w:val="left"/>
        <w:rPr>
          <w:rFonts w:hint="eastAsia" w:ascii="黑体" w:hAnsi="宋体" w:eastAsia="黑体"/>
          <w:kern w:val="0"/>
          <w:sz w:val="28"/>
          <w:szCs w:val="28"/>
        </w:rPr>
        <w:sectPr>
          <w:footerReference r:id="rId3" w:type="default"/>
          <w:footerReference r:id="rId4" w:type="even"/>
          <w:pgSz w:w="11906" w:h="16838"/>
          <w:pgMar w:top="1440" w:right="1800" w:bottom="1440" w:left="1800" w:header="720" w:footer="720" w:gutter="0"/>
          <w:pgNumType w:fmt="decimal"/>
          <w:docGrid w:type="lines" w:linePitch="312" w:charSpace="0"/>
        </w:sect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pPr>
    </w:p>
    <w:p>
      <w:pPr>
        <w:jc w:val="center"/>
        <w:outlineLvl w:val="0"/>
        <w:rPr>
          <w:rFonts w:hint="eastAsia" w:ascii="黑体" w:hAnsi="黑体" w:eastAsia="黑体"/>
          <w:sz w:val="48"/>
          <w:szCs w:val="48"/>
        </w:rPr>
      </w:pPr>
      <w:r>
        <w:rPr>
          <w:rFonts w:hint="eastAsia" w:ascii="黑体" w:hAnsi="黑体" w:eastAsia="黑体"/>
          <w:sz w:val="48"/>
          <w:szCs w:val="48"/>
        </w:rPr>
        <w:t>第二部分  2024年度部门决算表</w:t>
      </w:r>
    </w:p>
    <w:p>
      <w:pPr>
        <w:widowControl/>
        <w:jc w:val="left"/>
        <w:rPr>
          <w:rFonts w:hint="eastAsia" w:ascii="黑体" w:hAnsi="宋体" w:eastAsia="黑体"/>
          <w:kern w:val="0"/>
          <w:sz w:val="28"/>
          <w:szCs w:val="28"/>
        </w:rPr>
      </w:pPr>
    </w:p>
    <w:p>
      <w:pPr>
        <w:widowControl/>
        <w:jc w:val="left"/>
        <w:rPr>
          <w:rFonts w:hint="eastAsia" w:ascii="黑体" w:hAnsi="宋体" w:eastAsia="黑体"/>
          <w:kern w:val="0"/>
          <w:sz w:val="28"/>
          <w:szCs w:val="28"/>
        </w:rPr>
        <w:sectPr>
          <w:pgSz w:w="11906" w:h="16838"/>
          <w:pgMar w:top="1440" w:right="1800" w:bottom="1440" w:left="1800" w:header="720" w:footer="720" w:gutter="0"/>
          <w:pgNumType w:fmt="decimal"/>
          <w:docGrid w:type="lines" w:linePitch="312" w:charSpace="0"/>
        </w:sectPr>
      </w:pPr>
    </w:p>
    <w:tbl>
      <w:tblPr>
        <w:tblStyle w:val="2"/>
        <w:tblW w:w="0" w:type="auto"/>
        <w:tblInd w:w="-15" w:type="dxa"/>
        <w:tblLayout w:type="fixed"/>
        <w:tblCellMar>
          <w:top w:w="15" w:type="dxa"/>
          <w:left w:w="15" w:type="dxa"/>
          <w:bottom w:w="0" w:type="dxa"/>
          <w:right w:w="15" w:type="dxa"/>
        </w:tblCellMar>
      </w:tblPr>
      <w:tblGrid>
        <w:gridCol w:w="4279"/>
        <w:gridCol w:w="825"/>
        <w:gridCol w:w="1764"/>
        <w:gridCol w:w="4671"/>
        <w:gridCol w:w="750"/>
        <w:gridCol w:w="1699"/>
      </w:tblGrid>
      <w:tr>
        <w:tblPrEx>
          <w:tblCellMar>
            <w:top w:w="15" w:type="dxa"/>
            <w:left w:w="15" w:type="dxa"/>
            <w:bottom w:w="0" w:type="dxa"/>
            <w:right w:w="15" w:type="dxa"/>
          </w:tblCellMar>
        </w:tblPrEx>
        <w:trPr>
          <w:trHeight w:val="360" w:hRule="atLeast"/>
        </w:trPr>
        <w:tc>
          <w:tcPr>
            <w:tcW w:w="13988" w:type="dxa"/>
            <w:gridSpan w:val="6"/>
            <w:tcBorders>
              <w:top w:val="nil"/>
              <w:left w:val="nil"/>
              <w:bottom w:val="nil"/>
              <w:right w:val="nil"/>
            </w:tcBorders>
            <w:noWrap/>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收入支出决算总表</w:t>
            </w:r>
          </w:p>
        </w:tc>
      </w:tr>
      <w:tr>
        <w:tblPrEx>
          <w:tblCellMar>
            <w:top w:w="15" w:type="dxa"/>
            <w:left w:w="15" w:type="dxa"/>
            <w:bottom w:w="0" w:type="dxa"/>
            <w:right w:w="15" w:type="dxa"/>
          </w:tblCellMar>
        </w:tblPrEx>
        <w:trPr>
          <w:trHeight w:val="199" w:hRule="atLeast"/>
        </w:trPr>
        <w:tc>
          <w:tcPr>
            <w:tcW w:w="4279"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公开01表</w:t>
            </w:r>
          </w:p>
        </w:tc>
      </w:tr>
      <w:tr>
        <w:tblPrEx>
          <w:tblCellMar>
            <w:top w:w="15" w:type="dxa"/>
            <w:left w:w="15" w:type="dxa"/>
            <w:bottom w:w="0" w:type="dxa"/>
            <w:right w:w="15" w:type="dxa"/>
          </w:tblCellMar>
        </w:tblPrEx>
        <w:trPr>
          <w:trHeight w:val="300" w:hRule="atLeast"/>
        </w:trPr>
        <w:tc>
          <w:tcPr>
            <w:tcW w:w="4279"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439" w:hRule="atLeast"/>
        </w:trPr>
        <w:tc>
          <w:tcPr>
            <w:tcW w:w="6868" w:type="dxa"/>
            <w:gridSpan w:val="3"/>
            <w:tcBorders>
              <w:top w:val="single" w:color="00000B" w:sz="8"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收入</w:t>
            </w:r>
          </w:p>
        </w:tc>
        <w:tc>
          <w:tcPr>
            <w:tcW w:w="7120" w:type="dxa"/>
            <w:gridSpan w:val="3"/>
            <w:tcBorders>
              <w:top w:val="single" w:color="00000B" w:sz="8"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支出</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行次</w:t>
            </w:r>
          </w:p>
        </w:tc>
        <w:tc>
          <w:tcPr>
            <w:tcW w:w="17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行次</w:t>
            </w:r>
          </w:p>
        </w:tc>
        <w:tc>
          <w:tcPr>
            <w:tcW w:w="1699"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    次</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7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    次</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699"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一、一般公共预算财政拨款收入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17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559.23 </w:t>
            </w: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一、一般公共服务支出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25</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439.38 </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二、政府性基金</w:t>
            </w:r>
            <w:r>
              <w:rPr>
                <w:rFonts w:ascii="宋体" w:hAnsi="宋体"/>
                <w:color w:val="000000"/>
                <w:kern w:val="0"/>
                <w:sz w:val="20"/>
                <w:szCs w:val="20"/>
                <w:lang w:bidi="ar"/>
              </w:rPr>
              <w:t>预算财政拨款</w:t>
            </w:r>
            <w:r>
              <w:rPr>
                <w:rFonts w:hint="eastAsia" w:ascii="宋体" w:hAnsi="宋体"/>
                <w:color w:val="000000"/>
                <w:kern w:val="0"/>
                <w:sz w:val="20"/>
                <w:szCs w:val="20"/>
                <w:lang w:bidi="ar"/>
              </w:rPr>
              <w:t>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二、外交支出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26</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三、国有资本</w:t>
            </w:r>
            <w:r>
              <w:rPr>
                <w:rFonts w:ascii="宋体" w:hAnsi="宋体"/>
                <w:color w:val="000000"/>
                <w:kern w:val="0"/>
                <w:sz w:val="20"/>
                <w:szCs w:val="20"/>
                <w:lang w:bidi="ar"/>
              </w:rPr>
              <w:t>经营预算财政拨款</w:t>
            </w:r>
            <w:r>
              <w:rPr>
                <w:rFonts w:hint="eastAsia" w:ascii="宋体" w:hAnsi="宋体"/>
                <w:color w:val="000000"/>
                <w:kern w:val="0"/>
                <w:sz w:val="20"/>
                <w:szCs w:val="20"/>
                <w:lang w:bidi="ar"/>
              </w:rPr>
              <w:t>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三、国防支出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27</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四、上级补助收入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四、公共安全支出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28</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五、事业收入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5</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五、教育支出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29</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六、经营收入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6</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六、科学技术支出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30</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七、附属单位上缴收入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7</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sz w:val="20"/>
                <w:szCs w:val="20"/>
              </w:rPr>
            </w:pPr>
            <w:r>
              <w:rPr>
                <w:rFonts w:hint="eastAsia" w:ascii="宋体" w:hAnsi="宋体"/>
                <w:color w:val="000000"/>
                <w:sz w:val="20"/>
                <w:szCs w:val="20"/>
              </w:rPr>
              <w:t>七、文化旅游体育与传媒支出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31</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八、其他收入</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8</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sz w:val="20"/>
                <w:szCs w:val="20"/>
              </w:rPr>
            </w:pPr>
            <w:r>
              <w:rPr>
                <w:rFonts w:hint="eastAsia" w:ascii="宋体" w:hAnsi="宋体"/>
                <w:color w:val="000000"/>
                <w:sz w:val="20"/>
                <w:szCs w:val="20"/>
              </w:rPr>
              <w:t>八、社会保障和就业支出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32</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44.78 </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9</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九、卫生健康支出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33</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10</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十、节能环保支出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34</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11</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十一、城乡社区支出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35</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12</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十二、农林水支出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36</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13</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十三、交通运输支出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36</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14</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十四、资源勘探工业信息等支出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37</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15</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十五、商业服务业等支出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38</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16</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十六、金融支出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39</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17</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十七、援助其他地区支出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40</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18</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十八、自然资源海洋气象等支出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41</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19</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十九、住房保障支出</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42</w:t>
            </w:r>
          </w:p>
        </w:tc>
        <w:tc>
          <w:tcPr>
            <w:tcW w:w="169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75.07 </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本年收入合计</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20</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559.23 </w:t>
            </w:r>
          </w:p>
        </w:tc>
        <w:tc>
          <w:tcPr>
            <w:tcW w:w="4671"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本年支出合计</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43</w:t>
            </w:r>
          </w:p>
        </w:tc>
        <w:tc>
          <w:tcPr>
            <w:tcW w:w="1699" w:type="dxa"/>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559.23 </w:t>
            </w: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使用非财政拨款结余（含专用结余）</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21</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结余分配</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44</w:t>
            </w:r>
          </w:p>
        </w:tc>
        <w:tc>
          <w:tcPr>
            <w:tcW w:w="1699" w:type="dxa"/>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年初结转和结余</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22</w:t>
            </w:r>
          </w:p>
        </w:tc>
        <w:tc>
          <w:tcPr>
            <w:tcW w:w="1764"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年末结转和结余</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45</w:t>
            </w:r>
          </w:p>
        </w:tc>
        <w:tc>
          <w:tcPr>
            <w:tcW w:w="1699" w:type="dxa"/>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nil"/>
              <w:right w:val="nil"/>
            </w:tcBorders>
            <w:noWrap/>
            <w:tcMar>
              <w:top w:w="15" w:type="dxa"/>
              <w:left w:w="15" w:type="dxa"/>
              <w:right w:w="15" w:type="dxa"/>
            </w:tcMar>
            <w:vAlign w:val="center"/>
          </w:tcPr>
          <w:p>
            <w:pPr>
              <w:jc w:val="left"/>
              <w:rPr>
                <w:rFonts w:hint="eastAsia" w:ascii="宋体" w:hAnsi="宋体"/>
                <w:color w:val="000000"/>
                <w:sz w:val="20"/>
                <w:szCs w:val="20"/>
              </w:rPr>
            </w:pP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23</w:t>
            </w:r>
          </w:p>
        </w:tc>
        <w:tc>
          <w:tcPr>
            <w:tcW w:w="1764" w:type="dxa"/>
            <w:tcBorders>
              <w:top w:val="single" w:color="00000B" w:sz="4" w:space="0"/>
              <w:left w:val="single" w:color="00000B" w:sz="4" w:space="0"/>
              <w:bottom w:val="nil"/>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4671" w:type="dxa"/>
            <w:tcBorders>
              <w:top w:val="single" w:color="00000B" w:sz="4" w:space="0"/>
              <w:left w:val="single" w:color="00000B" w:sz="4" w:space="0"/>
              <w:bottom w:val="nil"/>
              <w:right w:val="nil"/>
            </w:tcBorders>
            <w:noWrap/>
            <w:tcMar>
              <w:top w:w="15" w:type="dxa"/>
              <w:left w:w="15" w:type="dxa"/>
              <w:right w:w="15" w:type="dxa"/>
            </w:tcMar>
            <w:vAlign w:val="center"/>
          </w:tcPr>
          <w:p>
            <w:pPr>
              <w:jc w:val="left"/>
              <w:rPr>
                <w:rFonts w:hint="eastAsia" w:ascii="宋体" w:hAnsi="宋体"/>
                <w:color w:val="000000"/>
                <w:sz w:val="20"/>
                <w:szCs w:val="20"/>
              </w:rPr>
            </w:pP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46</w:t>
            </w:r>
          </w:p>
        </w:tc>
        <w:tc>
          <w:tcPr>
            <w:tcW w:w="1699" w:type="dxa"/>
            <w:tcBorders>
              <w:top w:val="single" w:color="00000B" w:sz="4" w:space="0"/>
              <w:left w:val="nil"/>
              <w:bottom w:val="nil"/>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39" w:hRule="atLeast"/>
        </w:trPr>
        <w:tc>
          <w:tcPr>
            <w:tcW w:w="4279" w:type="dxa"/>
            <w:tcBorders>
              <w:top w:val="single" w:color="00000B" w:sz="4" w:space="0"/>
              <w:left w:val="single" w:color="00000B" w:sz="8" w:space="0"/>
              <w:bottom w:val="single" w:color="00000B" w:sz="8" w:space="0"/>
              <w:right w:val="nil"/>
            </w:tcBorders>
            <w:shd w:val="clear" w:color="auto" w:fill="FFFFFF"/>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总计</w:t>
            </w:r>
          </w:p>
        </w:tc>
        <w:tc>
          <w:tcPr>
            <w:tcW w:w="825"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24</w:t>
            </w:r>
          </w:p>
        </w:tc>
        <w:tc>
          <w:tcPr>
            <w:tcW w:w="1764" w:type="dxa"/>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559.23 </w:t>
            </w:r>
          </w:p>
        </w:tc>
        <w:tc>
          <w:tcPr>
            <w:tcW w:w="4671" w:type="dxa"/>
            <w:tcBorders>
              <w:top w:val="single" w:color="00000B" w:sz="4" w:space="0"/>
              <w:left w:val="single" w:color="00000B" w:sz="4" w:space="0"/>
              <w:bottom w:val="single" w:color="00000B" w:sz="8" w:space="0"/>
              <w:right w:val="nil"/>
            </w:tcBorders>
            <w:shd w:val="clear" w:color="auto" w:fill="FFFFFF"/>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总计</w:t>
            </w:r>
          </w:p>
        </w:tc>
        <w:tc>
          <w:tcPr>
            <w:tcW w:w="75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r>
              <w:rPr>
                <w:rFonts w:hint="eastAsia" w:ascii="宋体" w:hAnsi="宋体"/>
                <w:color w:val="000000"/>
                <w:sz w:val="20"/>
                <w:szCs w:val="20"/>
              </w:rPr>
              <w:t>47</w:t>
            </w:r>
          </w:p>
        </w:tc>
        <w:tc>
          <w:tcPr>
            <w:tcW w:w="1699" w:type="dxa"/>
            <w:tcBorders>
              <w:top w:val="single" w:color="00000B" w:sz="4" w:space="0"/>
              <w:left w:val="nil"/>
              <w:bottom w:val="single" w:color="00000B" w:sz="8" w:space="0"/>
              <w:right w:val="single" w:color="00000B" w:sz="8" w:space="0"/>
            </w:tcBorders>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 xml:space="preserve">559.23 </w:t>
            </w:r>
          </w:p>
        </w:tc>
      </w:tr>
      <w:tr>
        <w:tblPrEx>
          <w:tblCellMar>
            <w:top w:w="15" w:type="dxa"/>
            <w:left w:w="15" w:type="dxa"/>
            <w:bottom w:w="0" w:type="dxa"/>
            <w:right w:w="15" w:type="dxa"/>
          </w:tblCellMar>
        </w:tblPrEx>
        <w:trPr>
          <w:trHeight w:val="585" w:hRule="atLeast"/>
        </w:trPr>
        <w:tc>
          <w:tcPr>
            <w:tcW w:w="13988" w:type="dxa"/>
            <w:gridSpan w:val="6"/>
            <w:tcBorders>
              <w:top w:val="single" w:color="00000B" w:sz="8" w:space="0"/>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注：本表反映部门本年度的总收支和年末结转结余情况。本表金额转换为万元时，因四舍五入可能存在尾差。</w:t>
            </w:r>
          </w:p>
        </w:tc>
      </w:tr>
    </w:tbl>
    <w:p>
      <w:pPr>
        <w:rPr>
          <w:rFonts w:hint="eastAsia" w:ascii="仿宋_GB2312" w:hAnsi="仿宋_GB2312" w:eastAsia="仿宋_GB2312"/>
          <w:sz w:val="32"/>
          <w:szCs w:val="32"/>
        </w:rPr>
      </w:pPr>
    </w:p>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tbl>
      <w:tblPr>
        <w:tblStyle w:val="2"/>
        <w:tblW w:w="0" w:type="auto"/>
        <w:tblInd w:w="-15" w:type="dxa"/>
        <w:tblLayout w:type="fixed"/>
        <w:tblCellMar>
          <w:top w:w="15" w:type="dxa"/>
          <w:left w:w="15" w:type="dxa"/>
          <w:bottom w:w="0" w:type="dxa"/>
          <w:right w:w="15" w:type="dxa"/>
        </w:tblCellMar>
      </w:tblPr>
      <w:tblGrid>
        <w:gridCol w:w="1027"/>
        <w:gridCol w:w="59"/>
        <w:gridCol w:w="1438"/>
        <w:gridCol w:w="1386"/>
        <w:gridCol w:w="88"/>
        <w:gridCol w:w="1465"/>
        <w:gridCol w:w="176"/>
        <w:gridCol w:w="1377"/>
        <w:gridCol w:w="264"/>
        <w:gridCol w:w="1289"/>
        <w:gridCol w:w="352"/>
        <w:gridCol w:w="1201"/>
        <w:gridCol w:w="440"/>
        <w:gridCol w:w="1113"/>
        <w:gridCol w:w="528"/>
        <w:gridCol w:w="1642"/>
      </w:tblGrid>
      <w:tr>
        <w:tblPrEx>
          <w:tblCellMar>
            <w:top w:w="15" w:type="dxa"/>
            <w:left w:w="15" w:type="dxa"/>
            <w:bottom w:w="0" w:type="dxa"/>
            <w:right w:w="15" w:type="dxa"/>
          </w:tblCellMar>
        </w:tblPrEx>
        <w:trPr>
          <w:trHeight w:val="435" w:hRule="atLeast"/>
        </w:trPr>
        <w:tc>
          <w:tcPr>
            <w:tcW w:w="13845" w:type="dxa"/>
            <w:gridSpan w:val="16"/>
            <w:tcBorders>
              <w:top w:val="nil"/>
              <w:left w:val="nil"/>
              <w:bottom w:val="nil"/>
              <w:right w:val="nil"/>
            </w:tcBorders>
            <w:noWrap/>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收入决算表</w:t>
            </w:r>
          </w:p>
        </w:tc>
      </w:tr>
      <w:tr>
        <w:tblPrEx>
          <w:tblCellMar>
            <w:top w:w="15" w:type="dxa"/>
            <w:left w:w="15" w:type="dxa"/>
            <w:bottom w:w="0" w:type="dxa"/>
            <w:right w:w="15" w:type="dxa"/>
          </w:tblCellMar>
        </w:tblPrEx>
        <w:trPr>
          <w:trHeight w:val="285" w:hRule="atLeast"/>
        </w:trPr>
        <w:tc>
          <w:tcPr>
            <w:tcW w:w="1027"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9"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38"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386"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公开02表</w:t>
            </w:r>
          </w:p>
        </w:tc>
      </w:tr>
      <w:tr>
        <w:tblPrEx>
          <w:tblCellMar>
            <w:top w:w="15" w:type="dxa"/>
            <w:left w:w="15" w:type="dxa"/>
            <w:bottom w:w="0" w:type="dxa"/>
            <w:right w:w="15" w:type="dxa"/>
          </w:tblCellMar>
        </w:tblPrEx>
        <w:trPr>
          <w:trHeight w:val="300" w:hRule="atLeast"/>
        </w:trPr>
        <w:tc>
          <w:tcPr>
            <w:tcW w:w="3910" w:type="dxa"/>
            <w:gridSpan w:val="4"/>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450" w:hRule="atLeast"/>
        </w:trPr>
        <w:tc>
          <w:tcPr>
            <w:tcW w:w="2524" w:type="dxa"/>
            <w:gridSpan w:val="3"/>
            <w:tcBorders>
              <w:top w:val="single" w:color="00000B" w:sz="8" w:space="0"/>
              <w:left w:val="single" w:color="00000B" w:sz="8" w:space="0"/>
              <w:bottom w:val="single" w:color="00000B" w:sz="4" w:space="0"/>
              <w:right w:val="nil"/>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147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本年收入合计</w:t>
            </w:r>
          </w:p>
        </w:tc>
        <w:tc>
          <w:tcPr>
            <w:tcW w:w="1641" w:type="dxa"/>
            <w:gridSpan w:val="2"/>
            <w:vMerge w:val="restart"/>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财政拨款收入</w:t>
            </w:r>
          </w:p>
        </w:tc>
        <w:tc>
          <w:tcPr>
            <w:tcW w:w="1641"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上级补助收入</w:t>
            </w:r>
          </w:p>
        </w:tc>
        <w:tc>
          <w:tcPr>
            <w:tcW w:w="1641"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事业收入</w:t>
            </w:r>
          </w:p>
        </w:tc>
        <w:tc>
          <w:tcPr>
            <w:tcW w:w="1641"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经营收入</w:t>
            </w:r>
          </w:p>
        </w:tc>
        <w:tc>
          <w:tcPr>
            <w:tcW w:w="1641"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附属单位上缴收入</w:t>
            </w:r>
          </w:p>
        </w:tc>
        <w:tc>
          <w:tcPr>
            <w:tcW w:w="1642" w:type="dxa"/>
            <w:vMerge w:val="restart"/>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其他收入</w:t>
            </w:r>
          </w:p>
        </w:tc>
      </w:tr>
      <w:tr>
        <w:tblPrEx>
          <w:tblCellMar>
            <w:top w:w="15" w:type="dxa"/>
            <w:left w:w="15" w:type="dxa"/>
            <w:bottom w:w="0" w:type="dxa"/>
            <w:right w:w="15" w:type="dxa"/>
          </w:tblCellMar>
        </w:tblPrEx>
        <w:trPr>
          <w:trHeight w:val="450" w:hRule="atLeast"/>
        </w:trPr>
        <w:tc>
          <w:tcPr>
            <w:tcW w:w="1086" w:type="dxa"/>
            <w:gridSpan w:val="2"/>
            <w:vMerge w:val="restart"/>
            <w:tcBorders>
              <w:top w:val="single" w:color="00000B" w:sz="4" w:space="0"/>
              <w:left w:val="single" w:color="00000B" w:sz="8" w:space="0"/>
              <w:bottom w:val="single" w:color="00000B" w:sz="4" w:space="0"/>
              <w:right w:val="nil"/>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功能分类</w:t>
            </w:r>
          </w:p>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科目编码</w:t>
            </w:r>
          </w:p>
        </w:tc>
        <w:tc>
          <w:tcPr>
            <w:tcW w:w="1438" w:type="dxa"/>
            <w:vMerge w:val="restart"/>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147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2" w:type="dxa"/>
            <w:vMerge w:val="continue"/>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vMerge w:val="continue"/>
            <w:tcBorders>
              <w:top w:val="single" w:color="00000B" w:sz="4" w:space="0"/>
              <w:left w:val="single" w:color="00000B" w:sz="8" w:space="0"/>
              <w:bottom w:val="single" w:color="00000B" w:sz="4" w:space="0"/>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438" w:type="dxa"/>
            <w:vMerge w:val="continue"/>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47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1"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642" w:type="dxa"/>
            <w:vMerge w:val="continue"/>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2524" w:type="dxa"/>
            <w:gridSpan w:val="3"/>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栏次</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5</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6</w:t>
            </w:r>
          </w:p>
        </w:tc>
        <w:tc>
          <w:tcPr>
            <w:tcW w:w="1642"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7</w:t>
            </w:r>
          </w:p>
        </w:tc>
      </w:tr>
      <w:tr>
        <w:tblPrEx>
          <w:tblCellMar>
            <w:top w:w="15" w:type="dxa"/>
            <w:left w:w="15" w:type="dxa"/>
            <w:bottom w:w="0" w:type="dxa"/>
            <w:right w:w="15" w:type="dxa"/>
          </w:tblCellMar>
        </w:tblPrEx>
        <w:trPr>
          <w:trHeight w:val="450" w:hRule="atLeast"/>
        </w:trPr>
        <w:tc>
          <w:tcPr>
            <w:tcW w:w="2524" w:type="dxa"/>
            <w:gridSpan w:val="3"/>
            <w:tcBorders>
              <w:top w:val="nil"/>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2010201</w:t>
            </w:r>
          </w:p>
        </w:tc>
        <w:tc>
          <w:tcPr>
            <w:tcW w:w="14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行政运行</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2011199</w:t>
            </w:r>
          </w:p>
        </w:tc>
        <w:tc>
          <w:tcPr>
            <w:tcW w:w="14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其他纪检监察事务支出</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1025" w:hRule="atLeast"/>
        </w:trPr>
        <w:tc>
          <w:tcPr>
            <w:tcW w:w="1086" w:type="dxa"/>
            <w:gridSpan w:val="2"/>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2080505</w:t>
            </w:r>
          </w:p>
        </w:tc>
        <w:tc>
          <w:tcPr>
            <w:tcW w:w="14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机关事业单位基本养老保险缴费支出</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2210302</w:t>
            </w:r>
          </w:p>
        </w:tc>
        <w:tc>
          <w:tcPr>
            <w:tcW w:w="14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住房公积金管理</w:t>
            </w:r>
          </w:p>
        </w:tc>
        <w:tc>
          <w:tcPr>
            <w:tcW w:w="147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641"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7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086" w:type="dxa"/>
            <w:gridSpan w:val="2"/>
            <w:tcBorders>
              <w:top w:val="single" w:color="00000B" w:sz="4" w:space="0"/>
              <w:left w:val="single" w:color="00000B" w:sz="8" w:space="0"/>
              <w:bottom w:val="single" w:color="00000B" w:sz="8"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38" w:type="dxa"/>
            <w:tcBorders>
              <w:top w:val="single" w:color="00000B" w:sz="4" w:space="0"/>
              <w:left w:val="single" w:color="00000B" w:sz="4" w:space="0"/>
              <w:bottom w:val="single" w:color="00000B" w:sz="8"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7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1"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642" w:type="dxa"/>
            <w:tcBorders>
              <w:top w:val="single" w:color="00000B" w:sz="4" w:space="0"/>
              <w:left w:val="single" w:color="00000B" w:sz="4" w:space="0"/>
              <w:bottom w:val="single" w:color="00000B" w:sz="8"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615" w:hRule="atLeast"/>
        </w:trPr>
        <w:tc>
          <w:tcPr>
            <w:tcW w:w="13845" w:type="dxa"/>
            <w:gridSpan w:val="16"/>
            <w:tcBorders>
              <w:top w:val="single" w:color="00000B" w:sz="8" w:space="0"/>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注：本表反映部门本年度取得的各项收入情况。本表金额转换为万元时，因四舍五入可能存在尾差。</w:t>
            </w:r>
          </w:p>
        </w:tc>
      </w:tr>
    </w:tbl>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tbl>
      <w:tblPr>
        <w:tblStyle w:val="2"/>
        <w:tblW w:w="0" w:type="auto"/>
        <w:tblInd w:w="-15" w:type="dxa"/>
        <w:tblLayout w:type="fixed"/>
        <w:tblCellMar>
          <w:top w:w="15" w:type="dxa"/>
          <w:left w:w="15" w:type="dxa"/>
          <w:bottom w:w="0" w:type="dxa"/>
          <w:right w:w="15" w:type="dxa"/>
        </w:tblCellMar>
      </w:tblPr>
      <w:tblGrid>
        <w:gridCol w:w="1120"/>
        <w:gridCol w:w="63"/>
        <w:gridCol w:w="27"/>
        <w:gridCol w:w="1349"/>
        <w:gridCol w:w="1774"/>
        <w:gridCol w:w="130"/>
        <w:gridCol w:w="1672"/>
        <w:gridCol w:w="232"/>
        <w:gridCol w:w="1569"/>
        <w:gridCol w:w="335"/>
        <w:gridCol w:w="1467"/>
        <w:gridCol w:w="437"/>
        <w:gridCol w:w="1364"/>
        <w:gridCol w:w="540"/>
        <w:gridCol w:w="1909"/>
      </w:tblGrid>
      <w:tr>
        <w:tblPrEx>
          <w:tblCellMar>
            <w:top w:w="15" w:type="dxa"/>
            <w:left w:w="15" w:type="dxa"/>
            <w:bottom w:w="0" w:type="dxa"/>
            <w:right w:w="15" w:type="dxa"/>
          </w:tblCellMar>
        </w:tblPrEx>
        <w:trPr>
          <w:trHeight w:val="435" w:hRule="atLeast"/>
        </w:trPr>
        <w:tc>
          <w:tcPr>
            <w:tcW w:w="13988" w:type="dxa"/>
            <w:gridSpan w:val="15"/>
            <w:tcBorders>
              <w:top w:val="nil"/>
              <w:left w:val="nil"/>
              <w:bottom w:val="nil"/>
              <w:right w:val="nil"/>
            </w:tcBorders>
            <w:noWrap/>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支出决算表</w:t>
            </w:r>
          </w:p>
        </w:tc>
      </w:tr>
      <w:tr>
        <w:tblPrEx>
          <w:tblCellMar>
            <w:top w:w="15" w:type="dxa"/>
            <w:left w:w="15" w:type="dxa"/>
            <w:bottom w:w="0" w:type="dxa"/>
            <w:right w:w="15" w:type="dxa"/>
          </w:tblCellMar>
        </w:tblPrEx>
        <w:trPr>
          <w:trHeight w:val="285" w:hRule="atLeast"/>
        </w:trPr>
        <w:tc>
          <w:tcPr>
            <w:tcW w:w="112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90"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349"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77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449"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公开03表</w:t>
            </w:r>
          </w:p>
        </w:tc>
      </w:tr>
      <w:tr>
        <w:tblPrEx>
          <w:tblCellMar>
            <w:top w:w="15" w:type="dxa"/>
            <w:left w:w="15" w:type="dxa"/>
            <w:bottom w:w="0" w:type="dxa"/>
            <w:right w:w="15" w:type="dxa"/>
          </w:tblCellMar>
        </w:tblPrEx>
        <w:trPr>
          <w:trHeight w:val="300" w:hRule="atLeast"/>
        </w:trPr>
        <w:tc>
          <w:tcPr>
            <w:tcW w:w="4333" w:type="dxa"/>
            <w:gridSpan w:val="5"/>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449"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450" w:hRule="atLeast"/>
        </w:trPr>
        <w:tc>
          <w:tcPr>
            <w:tcW w:w="2559" w:type="dxa"/>
            <w:gridSpan w:val="4"/>
            <w:tcBorders>
              <w:top w:val="single" w:color="00000B" w:sz="8" w:space="0"/>
              <w:left w:val="single" w:color="00000B" w:sz="8" w:space="0"/>
              <w:bottom w:val="single" w:color="00000B" w:sz="4" w:space="0"/>
              <w:right w:val="nil"/>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190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本年支出合计</w:t>
            </w:r>
          </w:p>
        </w:tc>
        <w:tc>
          <w:tcPr>
            <w:tcW w:w="190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基本支出</w:t>
            </w:r>
          </w:p>
        </w:tc>
        <w:tc>
          <w:tcPr>
            <w:tcW w:w="190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项目支出</w:t>
            </w:r>
          </w:p>
        </w:tc>
        <w:tc>
          <w:tcPr>
            <w:tcW w:w="190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上缴上级支出</w:t>
            </w:r>
          </w:p>
        </w:tc>
        <w:tc>
          <w:tcPr>
            <w:tcW w:w="1904" w:type="dxa"/>
            <w:gridSpan w:val="2"/>
            <w:vMerge w:val="restart"/>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经营支出</w:t>
            </w:r>
          </w:p>
        </w:tc>
        <w:tc>
          <w:tcPr>
            <w:tcW w:w="1909" w:type="dxa"/>
            <w:vMerge w:val="restart"/>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对附属单位补助支出</w:t>
            </w:r>
          </w:p>
        </w:tc>
      </w:tr>
      <w:tr>
        <w:tblPrEx>
          <w:tblCellMar>
            <w:top w:w="15" w:type="dxa"/>
            <w:left w:w="15" w:type="dxa"/>
            <w:bottom w:w="0" w:type="dxa"/>
            <w:right w:w="15" w:type="dxa"/>
          </w:tblCellMar>
        </w:tblPrEx>
        <w:trPr>
          <w:trHeight w:val="450" w:hRule="atLeast"/>
        </w:trPr>
        <w:tc>
          <w:tcPr>
            <w:tcW w:w="1183" w:type="dxa"/>
            <w:gridSpan w:val="2"/>
            <w:vMerge w:val="restart"/>
            <w:tcBorders>
              <w:top w:val="single" w:color="00000B" w:sz="4" w:space="0"/>
              <w:left w:val="single" w:color="00000B" w:sz="8" w:space="0"/>
              <w:bottom w:val="single" w:color="00000B" w:sz="4" w:space="0"/>
              <w:right w:val="nil"/>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功能分类</w:t>
            </w:r>
          </w:p>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科目编码</w:t>
            </w:r>
          </w:p>
        </w:tc>
        <w:tc>
          <w:tcPr>
            <w:tcW w:w="1376" w:type="dxa"/>
            <w:gridSpan w:val="2"/>
            <w:vMerge w:val="restart"/>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9" w:type="dxa"/>
            <w:vMerge w:val="continue"/>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vMerge w:val="continue"/>
            <w:tcBorders>
              <w:top w:val="single" w:color="00000B" w:sz="4" w:space="0"/>
              <w:left w:val="single" w:color="00000B" w:sz="8" w:space="0"/>
              <w:bottom w:val="single" w:color="00000B" w:sz="4" w:space="0"/>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376" w:type="dxa"/>
            <w:gridSpan w:val="2"/>
            <w:vMerge w:val="continue"/>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4" w:type="dxa"/>
            <w:gridSpan w:val="2"/>
            <w:vMerge w:val="continue"/>
            <w:tcBorders>
              <w:top w:val="single" w:color="00000B" w:sz="8"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09" w:type="dxa"/>
            <w:vMerge w:val="continue"/>
            <w:tcBorders>
              <w:top w:val="single" w:color="00000B" w:sz="8" w:space="0"/>
              <w:left w:val="single" w:color="00000B" w:sz="4" w:space="0"/>
              <w:bottom w:val="single" w:color="00000B" w:sz="4" w:space="0"/>
              <w:right w:val="single" w:color="00000B" w:sz="8" w:space="0"/>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2559" w:type="dxa"/>
            <w:gridSpan w:val="4"/>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栏次</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5</w:t>
            </w:r>
          </w:p>
        </w:tc>
        <w:tc>
          <w:tcPr>
            <w:tcW w:w="1909"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6</w:t>
            </w:r>
          </w:p>
        </w:tc>
      </w:tr>
      <w:tr>
        <w:tblPrEx>
          <w:tblCellMar>
            <w:top w:w="15" w:type="dxa"/>
            <w:left w:w="15" w:type="dxa"/>
            <w:bottom w:w="0" w:type="dxa"/>
            <w:right w:w="15" w:type="dxa"/>
          </w:tblCellMar>
        </w:tblPrEx>
        <w:trPr>
          <w:trHeight w:val="450" w:hRule="atLeast"/>
        </w:trPr>
        <w:tc>
          <w:tcPr>
            <w:tcW w:w="2559" w:type="dxa"/>
            <w:gridSpan w:val="4"/>
            <w:tcBorders>
              <w:top w:val="nil"/>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2010201</w:t>
            </w:r>
          </w:p>
        </w:tc>
        <w:tc>
          <w:tcPr>
            <w:tcW w:w="1376"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行政运行</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2011199</w:t>
            </w:r>
          </w:p>
        </w:tc>
        <w:tc>
          <w:tcPr>
            <w:tcW w:w="1376"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其他纪检监察事务支出</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2080505</w:t>
            </w:r>
          </w:p>
        </w:tc>
        <w:tc>
          <w:tcPr>
            <w:tcW w:w="1376"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机关事业单位基本养老保险缴费支出</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2210302</w:t>
            </w:r>
          </w:p>
        </w:tc>
        <w:tc>
          <w:tcPr>
            <w:tcW w:w="1376"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住房公积金管理</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904"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4" w:space="0"/>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376" w:type="dxa"/>
            <w:gridSpan w:val="2"/>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183" w:type="dxa"/>
            <w:gridSpan w:val="2"/>
            <w:tcBorders>
              <w:top w:val="single" w:color="00000B" w:sz="4" w:space="0"/>
              <w:left w:val="single" w:color="00000B" w:sz="8" w:space="0"/>
              <w:bottom w:val="single" w:color="00000B" w:sz="8" w:space="0"/>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376" w:type="dxa"/>
            <w:gridSpan w:val="2"/>
            <w:tcBorders>
              <w:top w:val="single" w:color="00000B" w:sz="4" w:space="0"/>
              <w:left w:val="single" w:color="00000B" w:sz="4" w:space="0"/>
              <w:bottom w:val="single" w:color="00000B" w:sz="8"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4" w:type="dxa"/>
            <w:gridSpan w:val="2"/>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1909" w:type="dxa"/>
            <w:tcBorders>
              <w:top w:val="single" w:color="00000B" w:sz="4" w:space="0"/>
              <w:left w:val="single" w:color="00000B" w:sz="4" w:space="0"/>
              <w:bottom w:val="single" w:color="00000B" w:sz="8"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630" w:hRule="atLeast"/>
        </w:trPr>
        <w:tc>
          <w:tcPr>
            <w:tcW w:w="13988" w:type="dxa"/>
            <w:gridSpan w:val="15"/>
            <w:tcBorders>
              <w:top w:val="single" w:color="00000B" w:sz="8" w:space="0"/>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注：本表反映部门本年度各项支出情况。本表金额转换为万元时，因四舍五入可能存在尾差。</w:t>
            </w:r>
          </w:p>
        </w:tc>
      </w:tr>
    </w:tbl>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tbl>
      <w:tblPr>
        <w:tblStyle w:val="2"/>
        <w:tblW w:w="0" w:type="auto"/>
        <w:tblInd w:w="-15" w:type="dxa"/>
        <w:tblLayout w:type="fixed"/>
        <w:tblCellMar>
          <w:top w:w="15" w:type="dxa"/>
          <w:left w:w="15" w:type="dxa"/>
          <w:bottom w:w="0" w:type="dxa"/>
          <w:right w:w="15" w:type="dxa"/>
        </w:tblCellMar>
      </w:tblPr>
      <w:tblGrid>
        <w:gridCol w:w="3417"/>
        <w:gridCol w:w="564"/>
        <w:gridCol w:w="1427"/>
        <w:gridCol w:w="2400"/>
        <w:gridCol w:w="493"/>
        <w:gridCol w:w="1560"/>
        <w:gridCol w:w="1494"/>
        <w:gridCol w:w="617"/>
        <w:gridCol w:w="943"/>
        <w:gridCol w:w="1058"/>
      </w:tblGrid>
      <w:tr>
        <w:tblPrEx>
          <w:tblCellMar>
            <w:top w:w="15" w:type="dxa"/>
            <w:left w:w="15" w:type="dxa"/>
            <w:bottom w:w="0" w:type="dxa"/>
            <w:right w:w="15" w:type="dxa"/>
          </w:tblCellMar>
        </w:tblPrEx>
        <w:trPr>
          <w:trHeight w:val="360" w:hRule="atLeast"/>
        </w:trPr>
        <w:tc>
          <w:tcPr>
            <w:tcW w:w="12915" w:type="dxa"/>
            <w:gridSpan w:val="9"/>
            <w:tcBorders>
              <w:top w:val="nil"/>
              <w:left w:val="nil"/>
              <w:bottom w:val="nil"/>
              <w:right w:val="nil"/>
            </w:tcBorders>
            <w:noWrap/>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财政拨款收入支出决算总表</w:t>
            </w:r>
          </w:p>
        </w:tc>
        <w:tc>
          <w:tcPr>
            <w:tcW w:w="1058" w:type="dxa"/>
            <w:tcBorders>
              <w:top w:val="nil"/>
              <w:left w:val="nil"/>
              <w:bottom w:val="nil"/>
              <w:right w:val="nil"/>
            </w:tcBorders>
            <w:vAlign w:val="top"/>
          </w:tcPr>
          <w:p>
            <w:pPr>
              <w:widowControl/>
              <w:jc w:val="center"/>
              <w:rPr>
                <w:rFonts w:hint="eastAsia" w:ascii="华文中宋" w:hAnsi="华文中宋" w:eastAsia="华文中宋"/>
                <w:color w:val="000000"/>
                <w:kern w:val="0"/>
                <w:sz w:val="32"/>
                <w:szCs w:val="32"/>
                <w:lang w:bidi="ar"/>
              </w:rPr>
            </w:pPr>
          </w:p>
        </w:tc>
      </w:tr>
      <w:tr>
        <w:tblPrEx>
          <w:tblCellMar>
            <w:top w:w="15" w:type="dxa"/>
            <w:left w:w="15" w:type="dxa"/>
            <w:bottom w:w="0" w:type="dxa"/>
            <w:right w:w="15" w:type="dxa"/>
          </w:tblCellMar>
        </w:tblPrEx>
        <w:trPr>
          <w:trHeight w:val="199" w:hRule="atLeast"/>
        </w:trPr>
        <w:tc>
          <w:tcPr>
            <w:tcW w:w="3417"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27"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493"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6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111" w:type="dxa"/>
            <w:gridSpan w:val="2"/>
            <w:tcBorders>
              <w:top w:val="nil"/>
              <w:left w:val="nil"/>
              <w:bottom w:val="nil"/>
              <w:right w:val="nil"/>
            </w:tcBorders>
            <w:shd w:val="clear" w:color="auto" w:fill="FFFFFF"/>
            <w:noWrap/>
            <w:tcMar>
              <w:top w:w="15" w:type="dxa"/>
              <w:left w:w="15" w:type="dxa"/>
              <w:right w:w="15" w:type="dxa"/>
            </w:tcMar>
            <w:vAlign w:val="center"/>
          </w:tcPr>
          <w:p>
            <w:pPr>
              <w:wordWrap w:val="0"/>
              <w:jc w:val="left"/>
              <w:rPr>
                <w:rFonts w:hint="eastAsia" w:ascii="宋体" w:hAnsi="宋体"/>
                <w:color w:val="000000"/>
                <w:sz w:val="20"/>
                <w:szCs w:val="20"/>
              </w:rPr>
            </w:pPr>
            <w:r>
              <w:rPr>
                <w:rFonts w:hint="eastAsia" w:ascii="宋体" w:hAnsi="宋体"/>
                <w:color w:val="000000"/>
                <w:sz w:val="20"/>
                <w:szCs w:val="20"/>
              </w:rPr>
              <w:t xml:space="preserve"> </w:t>
            </w:r>
            <w:r>
              <w:rPr>
                <w:rFonts w:ascii="宋体" w:hAnsi="宋体"/>
                <w:color w:val="000000"/>
                <w:sz w:val="20"/>
                <w:szCs w:val="20"/>
              </w:rPr>
              <w:t xml:space="preserve">       </w:t>
            </w: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p>
        </w:tc>
        <w:tc>
          <w:tcPr>
            <w:tcW w:w="1058" w:type="dxa"/>
            <w:tcBorders>
              <w:top w:val="nil"/>
              <w:left w:val="nil"/>
              <w:bottom w:val="nil"/>
              <w:right w:val="nil"/>
            </w:tcBorders>
            <w:shd w:val="clear" w:color="auto" w:fill="FFFFFF"/>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公开04表</w:t>
            </w:r>
          </w:p>
        </w:tc>
      </w:tr>
      <w:tr>
        <w:tblPrEx>
          <w:tblCellMar>
            <w:top w:w="15" w:type="dxa"/>
            <w:left w:w="15" w:type="dxa"/>
            <w:bottom w:w="0" w:type="dxa"/>
            <w:right w:w="15" w:type="dxa"/>
          </w:tblCellMar>
        </w:tblPrEx>
        <w:trPr>
          <w:trHeight w:val="300" w:hRule="atLeast"/>
        </w:trPr>
        <w:tc>
          <w:tcPr>
            <w:tcW w:w="3417"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56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427"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493"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156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2111" w:type="dxa"/>
            <w:gridSpan w:val="2"/>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p>
        </w:tc>
        <w:tc>
          <w:tcPr>
            <w:tcW w:w="1058" w:type="dxa"/>
            <w:tcBorders>
              <w:top w:val="nil"/>
              <w:left w:val="nil"/>
              <w:bottom w:val="nil"/>
              <w:right w:val="nil"/>
            </w:tcBorders>
            <w:shd w:val="clear" w:color="auto" w:fill="FFFFFF"/>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402" w:hRule="atLeast"/>
        </w:trPr>
        <w:tc>
          <w:tcPr>
            <w:tcW w:w="5408" w:type="dxa"/>
            <w:gridSpan w:val="3"/>
            <w:tcBorders>
              <w:top w:val="single" w:color="00000B" w:sz="8"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收入</w:t>
            </w:r>
          </w:p>
        </w:tc>
        <w:tc>
          <w:tcPr>
            <w:tcW w:w="8565" w:type="dxa"/>
            <w:gridSpan w:val="7"/>
            <w:tcBorders>
              <w:top w:val="single" w:color="00000B" w:sz="8"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支出</w:t>
            </w:r>
          </w:p>
        </w:tc>
      </w:tr>
      <w:tr>
        <w:tblPrEx>
          <w:tblCellMar>
            <w:top w:w="15" w:type="dxa"/>
            <w:left w:w="15" w:type="dxa"/>
            <w:bottom w:w="0" w:type="dxa"/>
            <w:right w:w="15" w:type="dxa"/>
          </w:tblCellMar>
        </w:tblPrEx>
        <w:trPr>
          <w:trHeight w:val="630"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行次</w:t>
            </w:r>
          </w:p>
        </w:tc>
        <w:tc>
          <w:tcPr>
            <w:tcW w:w="1427"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金额</w:t>
            </w: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行次</w:t>
            </w:r>
          </w:p>
        </w:tc>
        <w:tc>
          <w:tcPr>
            <w:tcW w:w="156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494"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一般公共预算财政拨款</w:t>
            </w:r>
          </w:p>
        </w:tc>
        <w:tc>
          <w:tcPr>
            <w:tcW w:w="1560" w:type="dxa"/>
            <w:gridSpan w:val="2"/>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政府性基金预算财政拨款</w:t>
            </w:r>
          </w:p>
        </w:tc>
        <w:tc>
          <w:tcPr>
            <w:tcW w:w="1058" w:type="dxa"/>
            <w:tcBorders>
              <w:top w:val="single" w:color="00000B" w:sz="4" w:space="0"/>
              <w:left w:val="single" w:color="00000B" w:sz="4" w:space="0"/>
              <w:bottom w:val="single" w:color="00000B" w:sz="4" w:space="0"/>
              <w:right w:val="single" w:color="00000B" w:sz="8" w:space="0"/>
            </w:tcBorders>
            <w:vAlign w:val="top"/>
          </w:tcPr>
          <w:p>
            <w:pPr>
              <w:widowControl/>
              <w:jc w:val="center"/>
              <w:rPr>
                <w:rFonts w:hint="eastAsia" w:ascii="宋体" w:hAnsi="宋体"/>
                <w:color w:val="000000"/>
                <w:sz w:val="20"/>
                <w:szCs w:val="20"/>
              </w:rPr>
            </w:pPr>
            <w:r>
              <w:rPr>
                <w:rFonts w:hint="eastAsia" w:ascii="宋体" w:hAnsi="宋体"/>
                <w:color w:val="000000"/>
                <w:sz w:val="20"/>
                <w:szCs w:val="20"/>
              </w:rPr>
              <w:t>国有资本经营预算财政拨款</w:t>
            </w: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    次</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27"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    次</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560" w:type="dxa"/>
            <w:gridSpan w:val="2"/>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058" w:type="dxa"/>
            <w:tcBorders>
              <w:top w:val="single" w:color="00000B" w:sz="4" w:space="0"/>
              <w:left w:val="single" w:color="00000B" w:sz="4" w:space="0"/>
              <w:bottom w:val="single" w:color="00000B" w:sz="4" w:space="0"/>
              <w:right w:val="single" w:color="00000B" w:sz="8" w:space="0"/>
            </w:tcBorders>
            <w:shd w:val="clear" w:color="auto" w:fill="FFFFFF"/>
            <w:vAlign w:val="top"/>
          </w:tcPr>
          <w:p>
            <w:pPr>
              <w:widowControl/>
              <w:jc w:val="center"/>
              <w:rPr>
                <w:rFonts w:ascii="宋体" w:hAnsi="宋体"/>
                <w:color w:val="000000"/>
                <w:kern w:val="0"/>
                <w:sz w:val="20"/>
                <w:szCs w:val="20"/>
                <w:lang w:bidi="ar"/>
              </w:rPr>
            </w:pPr>
            <w:r>
              <w:rPr>
                <w:rFonts w:ascii="宋体" w:hAnsi="宋体"/>
                <w:color w:val="000000"/>
                <w:kern w:val="0"/>
                <w:sz w:val="20"/>
                <w:szCs w:val="20"/>
                <w:lang w:bidi="ar"/>
              </w:rPr>
              <w:t>5</w:t>
            </w: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一、一般公共预算财政拨款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w:t>
            </w:r>
          </w:p>
        </w:tc>
        <w:tc>
          <w:tcPr>
            <w:tcW w:w="1427"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一、一般公共服务支出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26</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439.38</w:t>
            </w: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439.38</w:t>
            </w: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二、政府性基金预算财政拨款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二、外交支出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27</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三、国有资本经营预算财政拨款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三、国防支出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28</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四、公共安全支出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29</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5</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五、教育支出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30</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6</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六、科学技术支出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31</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shd w:val="clear" w:color="auto" w:fill="FFFFFF"/>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7</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七、文化旅游体育与传媒支出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32</w:t>
            </w:r>
          </w:p>
        </w:tc>
        <w:tc>
          <w:tcPr>
            <w:tcW w:w="1560"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jc w:val="left"/>
              <w:rPr>
                <w:rFonts w:hint="eastAsia" w:ascii="宋体" w:hAnsi="宋体"/>
                <w:color w:val="000000"/>
                <w:sz w:val="20"/>
                <w:szCs w:val="20"/>
              </w:rPr>
            </w:pPr>
          </w:p>
        </w:tc>
        <w:tc>
          <w:tcPr>
            <w:tcW w:w="1058" w:type="dxa"/>
            <w:tcBorders>
              <w:top w:val="single" w:color="00000B" w:sz="4" w:space="0"/>
              <w:left w:val="single" w:color="00000B" w:sz="4" w:space="0"/>
              <w:bottom w:val="single" w:color="00000B" w:sz="4" w:space="0"/>
              <w:right w:val="single" w:color="00000B" w:sz="8" w:space="0"/>
            </w:tcBorders>
            <w:vAlign w:val="top"/>
          </w:tcPr>
          <w:p>
            <w:pPr>
              <w:jc w:val="left"/>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8</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八、社会保障和就业支出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33</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9</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九、卫生健康支出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34</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10</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十、节能环保支出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35</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11</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十一、城乡社区支出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36</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12</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十二、农林水支出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37</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13</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十三、交通运输支出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38</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14</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十四、资源勘探工业信息等支出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39</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15</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十五、商业服务业等支出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40</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16</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十六、金融支出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41</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17</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十七、援助其他地区支出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42</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18</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十八、自然资源海洋气象等支出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43</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19</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r>
              <w:rPr>
                <w:rFonts w:hint="eastAsia" w:ascii="宋体" w:hAnsi="宋体"/>
                <w:color w:val="000000"/>
                <w:sz w:val="20"/>
                <w:szCs w:val="20"/>
              </w:rPr>
              <w:t>十九、住房保障支出</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44</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jc w:val="cente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本年收入合计</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20</w:t>
            </w:r>
          </w:p>
        </w:tc>
        <w:tc>
          <w:tcPr>
            <w:tcW w:w="1427"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本年支出合计</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45</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rPr>
                <w:rFonts w:hint="eastAsia" w:ascii="宋体" w:hAnsi="宋体"/>
                <w:b/>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rPr>
                <w:rFonts w:hint="eastAsia" w:ascii="宋体" w:hAnsi="宋体"/>
                <w:b/>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年初财政拨款结转和结余</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21</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年末财政拨款结转和结余</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46</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一般公共预算财政拨款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22</w:t>
            </w:r>
          </w:p>
        </w:tc>
        <w:tc>
          <w:tcPr>
            <w:tcW w:w="1427"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single" w:color="00000B" w:sz="4" w:space="0"/>
              <w:right w:val="nil"/>
            </w:tcBorders>
            <w:noWrap/>
            <w:tcMar>
              <w:top w:w="15" w:type="dxa"/>
              <w:left w:w="15" w:type="dxa"/>
              <w:right w:w="15" w:type="dxa"/>
            </w:tcMar>
            <w:vAlign w:val="center"/>
          </w:tcPr>
          <w:p>
            <w:pPr>
              <w:jc w:val="left"/>
              <w:rPr>
                <w:rFonts w:hint="eastAsia" w:ascii="宋体" w:hAnsi="宋体"/>
                <w:color w:val="000000"/>
                <w:sz w:val="20"/>
                <w:szCs w:val="20"/>
              </w:rPr>
            </w:pP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47</w:t>
            </w:r>
          </w:p>
        </w:tc>
        <w:tc>
          <w:tcPr>
            <w:tcW w:w="1560" w:type="dxa"/>
            <w:tcBorders>
              <w:top w:val="single" w:color="00000B" w:sz="4" w:space="0"/>
              <w:left w:val="nil"/>
              <w:bottom w:val="single" w:color="00000B" w:sz="4" w:space="0"/>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c>
          <w:tcPr>
            <w:tcW w:w="1058" w:type="dxa"/>
            <w:tcBorders>
              <w:top w:val="single" w:color="00000B" w:sz="4" w:space="0"/>
              <w:left w:val="nil"/>
              <w:bottom w:val="single" w:color="00000B" w:sz="4" w:space="0"/>
              <w:right w:val="single" w:color="00000B" w:sz="8" w:space="0"/>
            </w:tcBorders>
            <w:vAlign w:val="top"/>
          </w:tcPr>
          <w:p>
            <w:pP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nil"/>
              <w:right w:val="nil"/>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政府性基金预算财政拨款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23</w:t>
            </w:r>
          </w:p>
        </w:tc>
        <w:tc>
          <w:tcPr>
            <w:tcW w:w="1427" w:type="dxa"/>
            <w:tcBorders>
              <w:top w:val="single" w:color="00000B" w:sz="4" w:space="0"/>
              <w:left w:val="single" w:color="00000B" w:sz="4" w:space="0"/>
              <w:bottom w:val="nil"/>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nil"/>
              <w:right w:val="nil"/>
            </w:tcBorders>
            <w:noWrap/>
            <w:tcMar>
              <w:top w:w="15" w:type="dxa"/>
              <w:left w:w="15" w:type="dxa"/>
              <w:right w:w="15" w:type="dxa"/>
            </w:tcMar>
            <w:vAlign w:val="center"/>
          </w:tcPr>
          <w:p>
            <w:pPr>
              <w:jc w:val="left"/>
              <w:rPr>
                <w:rFonts w:hint="eastAsia" w:ascii="宋体" w:hAnsi="宋体"/>
                <w:color w:val="000000"/>
                <w:sz w:val="20"/>
                <w:szCs w:val="20"/>
              </w:rPr>
            </w:pP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48</w:t>
            </w:r>
          </w:p>
        </w:tc>
        <w:tc>
          <w:tcPr>
            <w:tcW w:w="1560" w:type="dxa"/>
            <w:tcBorders>
              <w:top w:val="single" w:color="00000B" w:sz="4" w:space="0"/>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nil"/>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c>
          <w:tcPr>
            <w:tcW w:w="1058" w:type="dxa"/>
            <w:tcBorders>
              <w:top w:val="single" w:color="00000B" w:sz="4" w:space="0"/>
              <w:left w:val="nil"/>
              <w:bottom w:val="nil"/>
              <w:right w:val="single" w:color="00000B" w:sz="8" w:space="0"/>
            </w:tcBorders>
            <w:vAlign w:val="top"/>
          </w:tcPr>
          <w:p>
            <w:pP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nil"/>
              <w:right w:val="nil"/>
            </w:tcBorders>
            <w:noWrap/>
            <w:tcMar>
              <w:top w:w="15" w:type="dxa"/>
              <w:left w:w="15" w:type="dxa"/>
              <w:right w:w="15" w:type="dxa"/>
            </w:tcMar>
            <w:vAlign w:val="center"/>
          </w:tcPr>
          <w:p>
            <w:pPr>
              <w:jc w:val="center"/>
              <w:rPr>
                <w:rFonts w:hint="eastAsia" w:ascii="宋体" w:hAnsi="宋体"/>
                <w:color w:val="000000"/>
                <w:sz w:val="20"/>
                <w:szCs w:val="20"/>
              </w:rPr>
            </w:pPr>
            <w:r>
              <w:rPr>
                <w:rFonts w:hint="eastAsia" w:ascii="宋体" w:hAnsi="宋体"/>
                <w:color w:val="000000"/>
                <w:sz w:val="20"/>
                <w:szCs w:val="20"/>
              </w:rPr>
              <w:t xml:space="preserve">       国有资本经营预算财政拨款</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24</w:t>
            </w:r>
          </w:p>
        </w:tc>
        <w:tc>
          <w:tcPr>
            <w:tcW w:w="1427" w:type="dxa"/>
            <w:tcBorders>
              <w:top w:val="single" w:color="00000B" w:sz="4" w:space="0"/>
              <w:left w:val="single" w:color="00000B" w:sz="4" w:space="0"/>
              <w:bottom w:val="nil"/>
              <w:right w:val="single" w:color="00000B" w:sz="4" w:space="0"/>
            </w:tcBorders>
            <w:noWrap/>
            <w:tcMar>
              <w:top w:w="15" w:type="dxa"/>
              <w:left w:w="15" w:type="dxa"/>
              <w:right w:w="15" w:type="dxa"/>
            </w:tcMar>
            <w:vAlign w:val="center"/>
          </w:tcPr>
          <w:p>
            <w:pPr>
              <w:jc w:val="left"/>
              <w:rPr>
                <w:rFonts w:hint="eastAsia" w:ascii="宋体" w:hAnsi="宋体"/>
                <w:color w:val="000000"/>
                <w:sz w:val="20"/>
                <w:szCs w:val="20"/>
              </w:rPr>
            </w:pPr>
          </w:p>
        </w:tc>
        <w:tc>
          <w:tcPr>
            <w:tcW w:w="2400" w:type="dxa"/>
            <w:tcBorders>
              <w:top w:val="single" w:color="00000B" w:sz="4" w:space="0"/>
              <w:left w:val="single" w:color="00000B" w:sz="4" w:space="0"/>
              <w:bottom w:val="nil"/>
              <w:right w:val="nil"/>
            </w:tcBorders>
            <w:noWrap/>
            <w:tcMar>
              <w:top w:w="15" w:type="dxa"/>
              <w:left w:w="15" w:type="dxa"/>
              <w:right w:w="15" w:type="dxa"/>
            </w:tcMar>
            <w:vAlign w:val="center"/>
          </w:tcPr>
          <w:p>
            <w:pPr>
              <w:jc w:val="left"/>
              <w:rPr>
                <w:rFonts w:hint="eastAsia" w:ascii="宋体" w:hAnsi="宋体"/>
                <w:color w:val="000000"/>
                <w:sz w:val="20"/>
                <w:szCs w:val="20"/>
              </w:rPr>
            </w:pP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sz w:val="20"/>
                <w:szCs w:val="20"/>
              </w:rPr>
            </w:pPr>
            <w:r>
              <w:rPr>
                <w:rFonts w:hint="eastAsia" w:ascii="宋体" w:hAnsi="宋体"/>
                <w:color w:val="000000"/>
                <w:sz w:val="20"/>
                <w:szCs w:val="20"/>
              </w:rPr>
              <w:t>49</w:t>
            </w:r>
          </w:p>
        </w:tc>
        <w:tc>
          <w:tcPr>
            <w:tcW w:w="1560" w:type="dxa"/>
            <w:tcBorders>
              <w:top w:val="single" w:color="00000B" w:sz="4" w:space="0"/>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49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jc w:val="center"/>
              <w:rPr>
                <w:rFonts w:hint="eastAsia" w:ascii="宋体" w:hAnsi="宋体"/>
                <w:color w:val="000000"/>
                <w:sz w:val="20"/>
                <w:szCs w:val="20"/>
              </w:rPr>
            </w:pPr>
          </w:p>
        </w:tc>
        <w:tc>
          <w:tcPr>
            <w:tcW w:w="1560" w:type="dxa"/>
            <w:gridSpan w:val="2"/>
            <w:tcBorders>
              <w:top w:val="single" w:color="00000B" w:sz="4" w:space="0"/>
              <w:left w:val="nil"/>
              <w:bottom w:val="nil"/>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c>
          <w:tcPr>
            <w:tcW w:w="1058" w:type="dxa"/>
            <w:tcBorders>
              <w:top w:val="single" w:color="00000B" w:sz="4" w:space="0"/>
              <w:left w:val="nil"/>
              <w:bottom w:val="nil"/>
              <w:right w:val="single" w:color="00000B" w:sz="8" w:space="0"/>
            </w:tcBorders>
            <w:vAlign w:val="top"/>
          </w:tcPr>
          <w:p>
            <w:pPr>
              <w:rPr>
                <w:rFonts w:hint="eastAsia" w:ascii="宋体" w:hAnsi="宋体"/>
                <w:color w:val="000000"/>
                <w:sz w:val="20"/>
                <w:szCs w:val="20"/>
              </w:rPr>
            </w:pPr>
          </w:p>
        </w:tc>
      </w:tr>
      <w:tr>
        <w:tblPrEx>
          <w:tblCellMar>
            <w:top w:w="15" w:type="dxa"/>
            <w:left w:w="15" w:type="dxa"/>
            <w:bottom w:w="0" w:type="dxa"/>
            <w:right w:w="15" w:type="dxa"/>
          </w:tblCellMar>
        </w:tblPrEx>
        <w:trPr>
          <w:trHeight w:val="402" w:hRule="atLeast"/>
        </w:trPr>
        <w:tc>
          <w:tcPr>
            <w:tcW w:w="3417" w:type="dxa"/>
            <w:tcBorders>
              <w:top w:val="single" w:color="00000B" w:sz="4" w:space="0"/>
              <w:left w:val="single" w:color="00000B" w:sz="8" w:space="0"/>
              <w:bottom w:val="single" w:color="00000B" w:sz="8" w:space="0"/>
              <w:right w:val="nil"/>
            </w:tcBorders>
            <w:shd w:val="clear" w:color="auto" w:fill="FFFFFF"/>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总计</w:t>
            </w:r>
          </w:p>
        </w:tc>
        <w:tc>
          <w:tcPr>
            <w:tcW w:w="564"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25</w:t>
            </w:r>
          </w:p>
        </w:tc>
        <w:tc>
          <w:tcPr>
            <w:tcW w:w="1427" w:type="dxa"/>
            <w:tcBorders>
              <w:top w:val="single" w:color="00000B" w:sz="4" w:space="0"/>
              <w:left w:val="single" w:color="00000B" w:sz="4" w:space="0"/>
              <w:bottom w:val="single" w:color="00000B" w:sz="8"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2400" w:type="dxa"/>
            <w:tcBorders>
              <w:top w:val="single" w:color="00000B" w:sz="4" w:space="0"/>
              <w:left w:val="single" w:color="00000B" w:sz="4" w:space="0"/>
              <w:bottom w:val="single" w:color="00000B" w:sz="8" w:space="0"/>
              <w:right w:val="nil"/>
            </w:tcBorders>
            <w:shd w:val="clear" w:color="auto" w:fill="FFFFFF"/>
            <w:noWrap/>
            <w:tcMar>
              <w:top w:w="15" w:type="dxa"/>
              <w:left w:w="15" w:type="dxa"/>
              <w:right w:w="15" w:type="dxa"/>
            </w:tcMar>
            <w:vAlign w:val="center"/>
          </w:tcPr>
          <w:p>
            <w:pPr>
              <w:widowControl/>
              <w:jc w:val="center"/>
              <w:rPr>
                <w:rFonts w:hint="eastAsia" w:ascii="宋体" w:hAnsi="宋体"/>
                <w:b/>
                <w:color w:val="000000"/>
                <w:kern w:val="0"/>
                <w:sz w:val="20"/>
                <w:szCs w:val="20"/>
                <w:lang w:bidi="ar"/>
              </w:rPr>
            </w:pPr>
            <w:r>
              <w:rPr>
                <w:rFonts w:hint="eastAsia" w:ascii="宋体" w:hAnsi="宋体"/>
                <w:b/>
                <w:color w:val="000000"/>
                <w:kern w:val="0"/>
                <w:sz w:val="20"/>
                <w:szCs w:val="20"/>
                <w:lang w:bidi="ar"/>
              </w:rPr>
              <w:t>总计</w:t>
            </w:r>
          </w:p>
        </w:tc>
        <w:tc>
          <w:tcPr>
            <w:tcW w:w="493"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2"/>
                <w:lang w:bidi="ar"/>
              </w:rPr>
            </w:pPr>
            <w:r>
              <w:rPr>
                <w:rFonts w:hint="eastAsia" w:ascii="宋体" w:hAnsi="宋体"/>
                <w:color w:val="000000"/>
                <w:kern w:val="0"/>
                <w:sz w:val="22"/>
                <w:lang w:bidi="ar"/>
              </w:rPr>
              <w:t>50</w:t>
            </w:r>
          </w:p>
        </w:tc>
        <w:tc>
          <w:tcPr>
            <w:tcW w:w="1560" w:type="dxa"/>
            <w:tcBorders>
              <w:top w:val="single" w:color="00000B" w:sz="4" w:space="0"/>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1494" w:type="dxa"/>
            <w:tcBorders>
              <w:top w:val="single" w:color="00000B" w:sz="4" w:space="0"/>
              <w:left w:val="single" w:color="00000B" w:sz="4" w:space="0"/>
              <w:bottom w:val="single" w:color="00000B" w:sz="8"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559.23</w:t>
            </w:r>
          </w:p>
        </w:tc>
        <w:tc>
          <w:tcPr>
            <w:tcW w:w="1560" w:type="dxa"/>
            <w:gridSpan w:val="2"/>
            <w:tcBorders>
              <w:top w:val="single" w:color="00000B" w:sz="4" w:space="0"/>
              <w:left w:val="nil"/>
              <w:bottom w:val="single" w:color="00000B" w:sz="8" w:space="0"/>
              <w:right w:val="single" w:color="00000B" w:sz="8" w:space="0"/>
            </w:tcBorders>
            <w:noWrap/>
            <w:tcMar>
              <w:top w:w="15" w:type="dxa"/>
              <w:left w:w="15" w:type="dxa"/>
              <w:right w:w="15" w:type="dxa"/>
            </w:tcMar>
            <w:vAlign w:val="center"/>
          </w:tcPr>
          <w:p>
            <w:pPr>
              <w:rPr>
                <w:rFonts w:hint="eastAsia" w:ascii="宋体" w:hAnsi="宋体"/>
                <w:b/>
                <w:color w:val="000000"/>
                <w:sz w:val="20"/>
                <w:szCs w:val="20"/>
              </w:rPr>
            </w:pPr>
          </w:p>
        </w:tc>
        <w:tc>
          <w:tcPr>
            <w:tcW w:w="1058" w:type="dxa"/>
            <w:tcBorders>
              <w:top w:val="single" w:color="00000B" w:sz="4" w:space="0"/>
              <w:left w:val="nil"/>
              <w:bottom w:val="single" w:color="00000B" w:sz="8" w:space="0"/>
              <w:right w:val="single" w:color="00000B" w:sz="8" w:space="0"/>
            </w:tcBorders>
            <w:vAlign w:val="top"/>
          </w:tcPr>
          <w:p>
            <w:pPr>
              <w:rPr>
                <w:rFonts w:hint="eastAsia" w:ascii="宋体" w:hAnsi="宋体"/>
                <w:b/>
                <w:color w:val="000000"/>
                <w:sz w:val="20"/>
                <w:szCs w:val="20"/>
              </w:rPr>
            </w:pPr>
          </w:p>
        </w:tc>
      </w:tr>
      <w:tr>
        <w:tblPrEx>
          <w:tblCellMar>
            <w:top w:w="15" w:type="dxa"/>
            <w:left w:w="15" w:type="dxa"/>
            <w:bottom w:w="0" w:type="dxa"/>
            <w:right w:w="15" w:type="dxa"/>
          </w:tblCellMar>
        </w:tblPrEx>
        <w:trPr>
          <w:trHeight w:val="585" w:hRule="atLeast"/>
        </w:trPr>
        <w:tc>
          <w:tcPr>
            <w:tcW w:w="12915" w:type="dxa"/>
            <w:gridSpan w:val="9"/>
            <w:tcBorders>
              <w:top w:val="single" w:color="00000B" w:sz="8" w:space="0"/>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注：本表反映部门本年度一般公共预算财政拨款、政府性基金预算财政拨款和国有资本经营预算财政拨款的总收支和年末结转结余情况。本表金额转换为万元时，因四舍五入可能存在尾差。</w:t>
            </w:r>
          </w:p>
        </w:tc>
        <w:tc>
          <w:tcPr>
            <w:tcW w:w="1058" w:type="dxa"/>
            <w:tcBorders>
              <w:top w:val="single" w:color="00000B" w:sz="8" w:space="0"/>
              <w:left w:val="nil"/>
              <w:bottom w:val="nil"/>
              <w:right w:val="nil"/>
            </w:tcBorders>
            <w:vAlign w:val="top"/>
          </w:tcPr>
          <w:p>
            <w:pPr>
              <w:widowControl/>
              <w:jc w:val="left"/>
              <w:rPr>
                <w:rFonts w:hint="eastAsia" w:ascii="宋体" w:hAnsi="宋体"/>
                <w:color w:val="000000"/>
                <w:kern w:val="0"/>
                <w:sz w:val="20"/>
                <w:szCs w:val="20"/>
                <w:lang w:bidi="ar"/>
              </w:rPr>
            </w:pPr>
          </w:p>
        </w:tc>
      </w:tr>
    </w:tbl>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tbl>
      <w:tblPr>
        <w:tblStyle w:val="2"/>
        <w:tblW w:w="0" w:type="auto"/>
        <w:tblInd w:w="-15" w:type="dxa"/>
        <w:tblLayout w:type="fixed"/>
        <w:tblCellMar>
          <w:top w:w="15" w:type="dxa"/>
          <w:left w:w="15" w:type="dxa"/>
          <w:bottom w:w="0" w:type="dxa"/>
          <w:right w:w="15" w:type="dxa"/>
        </w:tblCellMar>
      </w:tblPr>
      <w:tblGrid>
        <w:gridCol w:w="726"/>
        <w:gridCol w:w="688"/>
        <w:gridCol w:w="2225"/>
        <w:gridCol w:w="3449"/>
        <w:gridCol w:w="3449"/>
        <w:gridCol w:w="3451"/>
      </w:tblGrid>
      <w:tr>
        <w:tblPrEx>
          <w:tblCellMar>
            <w:top w:w="15" w:type="dxa"/>
            <w:left w:w="15" w:type="dxa"/>
            <w:bottom w:w="0" w:type="dxa"/>
            <w:right w:w="15" w:type="dxa"/>
          </w:tblCellMar>
        </w:tblPrEx>
        <w:trPr>
          <w:trHeight w:val="600" w:hRule="atLeast"/>
        </w:trPr>
        <w:tc>
          <w:tcPr>
            <w:tcW w:w="13988" w:type="dxa"/>
            <w:gridSpan w:val="6"/>
            <w:tcBorders>
              <w:top w:val="nil"/>
              <w:left w:val="nil"/>
              <w:bottom w:val="nil"/>
              <w:right w:val="nil"/>
            </w:tcBorders>
            <w:shd w:val="clear" w:color="auto" w:fill="FFFFFF"/>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一般公共预算财政拨款支出决算表</w:t>
            </w:r>
          </w:p>
        </w:tc>
      </w:tr>
      <w:tr>
        <w:tblPrEx>
          <w:tblCellMar>
            <w:top w:w="15" w:type="dxa"/>
            <w:left w:w="15" w:type="dxa"/>
            <w:bottom w:w="0" w:type="dxa"/>
            <w:right w:w="15" w:type="dxa"/>
          </w:tblCellMar>
        </w:tblPrEx>
        <w:trPr>
          <w:trHeight w:val="222" w:hRule="atLeast"/>
        </w:trPr>
        <w:tc>
          <w:tcPr>
            <w:tcW w:w="72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688"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2225"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3449"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3449"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w:t>
            </w:r>
            <w:r>
              <w:rPr>
                <w:rStyle w:val="18"/>
                <w:lang w:bidi="ar"/>
              </w:rPr>
              <w:t>5表</w:t>
            </w:r>
          </w:p>
        </w:tc>
      </w:tr>
      <w:tr>
        <w:tblPrEx>
          <w:tblCellMar>
            <w:top w:w="15" w:type="dxa"/>
            <w:left w:w="15" w:type="dxa"/>
            <w:bottom w:w="0" w:type="dxa"/>
            <w:right w:w="15" w:type="dxa"/>
          </w:tblCellMar>
        </w:tblPrEx>
        <w:trPr>
          <w:trHeight w:val="300" w:hRule="atLeast"/>
        </w:trPr>
        <w:tc>
          <w:tcPr>
            <w:tcW w:w="3639" w:type="dxa"/>
            <w:gridSpan w:val="3"/>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3449"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3449"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405" w:hRule="atLeast"/>
        </w:trPr>
        <w:tc>
          <w:tcPr>
            <w:tcW w:w="3639" w:type="dxa"/>
            <w:gridSpan w:val="3"/>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项 </w:t>
            </w:r>
            <w:r>
              <w:rPr>
                <w:rStyle w:val="15"/>
                <w:sz w:val="20"/>
                <w:szCs w:val="20"/>
                <w:lang w:bidi="ar"/>
              </w:rPr>
              <w:t xml:space="preserve">   </w:t>
            </w:r>
            <w:r>
              <w:rPr>
                <w:rStyle w:val="17"/>
                <w:sz w:val="20"/>
                <w:szCs w:val="20"/>
                <w:lang w:bidi="ar"/>
              </w:rPr>
              <w:t>目</w:t>
            </w:r>
          </w:p>
        </w:tc>
        <w:tc>
          <w:tcPr>
            <w:tcW w:w="10349" w:type="dxa"/>
            <w:gridSpan w:val="3"/>
            <w:tcBorders>
              <w:top w:val="single" w:color="00000B" w:sz="8"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本年支出</w:t>
            </w:r>
          </w:p>
        </w:tc>
      </w:tr>
      <w:tr>
        <w:tblPrEx>
          <w:tblCellMar>
            <w:top w:w="15" w:type="dxa"/>
            <w:left w:w="15" w:type="dxa"/>
            <w:bottom w:w="0" w:type="dxa"/>
            <w:right w:w="15" w:type="dxa"/>
          </w:tblCellMar>
        </w:tblPrEx>
        <w:trPr>
          <w:trHeight w:val="495" w:hRule="atLeast"/>
        </w:trPr>
        <w:tc>
          <w:tcPr>
            <w:tcW w:w="1414" w:type="dxa"/>
            <w:gridSpan w:val="2"/>
            <w:vMerge w:val="restart"/>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功能分类</w:t>
            </w:r>
          </w:p>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科目编码</w:t>
            </w:r>
          </w:p>
        </w:tc>
        <w:tc>
          <w:tcPr>
            <w:tcW w:w="2225" w:type="dxa"/>
            <w:vMerge w:val="restart"/>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3449" w:type="dxa"/>
            <w:vMerge w:val="restart"/>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小计</w:t>
            </w:r>
          </w:p>
        </w:tc>
        <w:tc>
          <w:tcPr>
            <w:tcW w:w="3449" w:type="dxa"/>
            <w:vMerge w:val="restart"/>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基本支出</w:t>
            </w:r>
          </w:p>
        </w:tc>
        <w:tc>
          <w:tcPr>
            <w:tcW w:w="3451" w:type="dxa"/>
            <w:vMerge w:val="restart"/>
            <w:tcBorders>
              <w:top w:val="nil"/>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项目支出</w:t>
            </w:r>
          </w:p>
        </w:tc>
      </w:tr>
      <w:tr>
        <w:tblPrEx>
          <w:tblCellMar>
            <w:top w:w="15" w:type="dxa"/>
            <w:left w:w="15" w:type="dxa"/>
            <w:bottom w:w="0" w:type="dxa"/>
            <w:right w:w="15" w:type="dxa"/>
          </w:tblCellMar>
        </w:tblPrEx>
        <w:trPr>
          <w:trHeight w:val="360" w:hRule="atLeast"/>
        </w:trPr>
        <w:tc>
          <w:tcPr>
            <w:tcW w:w="1414" w:type="dxa"/>
            <w:gridSpan w:val="2"/>
            <w:vMerge w:val="continue"/>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2225"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49"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49"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51" w:type="dxa"/>
            <w:vMerge w:val="continue"/>
            <w:tcBorders>
              <w:top w:val="nil"/>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vMerge w:val="continue"/>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2225"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49"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49"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3451" w:type="dxa"/>
            <w:vMerge w:val="continue"/>
            <w:tcBorders>
              <w:top w:val="nil"/>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3639" w:type="dxa"/>
            <w:gridSpan w:val="3"/>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栏次</w:t>
            </w:r>
          </w:p>
        </w:tc>
        <w:tc>
          <w:tcPr>
            <w:tcW w:w="3449"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3449"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r>
      <w:tr>
        <w:tblPrEx>
          <w:tblCellMar>
            <w:top w:w="15" w:type="dxa"/>
            <w:left w:w="15" w:type="dxa"/>
            <w:bottom w:w="0" w:type="dxa"/>
            <w:right w:w="15" w:type="dxa"/>
          </w:tblCellMar>
        </w:tblPrEx>
        <w:trPr>
          <w:trHeight w:val="450" w:hRule="atLeast"/>
        </w:trPr>
        <w:tc>
          <w:tcPr>
            <w:tcW w:w="3639" w:type="dxa"/>
            <w:gridSpan w:val="3"/>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b/>
                <w:bCs/>
                <w:i w:val="0"/>
                <w:iCs w:val="0"/>
                <w:color w:val="000000"/>
                <w:kern w:val="0"/>
                <w:sz w:val="22"/>
                <w:szCs w:val="22"/>
                <w:u w:val="none"/>
                <w:lang w:val="en-US" w:eastAsia="zh-CN" w:bidi="ar"/>
              </w:rPr>
            </w:pPr>
            <w:r>
              <w:rPr>
                <w:rFonts w:hint="eastAsia" w:ascii="宋体" w:hAnsi="宋体" w:eastAsia="宋体"/>
                <w:b/>
                <w:bCs/>
                <w:i w:val="0"/>
                <w:iCs w:val="0"/>
                <w:color w:val="000000"/>
                <w:kern w:val="0"/>
                <w:sz w:val="22"/>
                <w:szCs w:val="22"/>
                <w:u w:val="none"/>
                <w:lang w:val="en-US" w:eastAsia="zh-CN" w:bidi="ar"/>
              </w:rPr>
              <w:t>559.23</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2010201</w:t>
            </w:r>
          </w:p>
        </w:tc>
        <w:tc>
          <w:tcPr>
            <w:tcW w:w="2225"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行政运行</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430.37</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2011199</w:t>
            </w:r>
          </w:p>
        </w:tc>
        <w:tc>
          <w:tcPr>
            <w:tcW w:w="2225"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其他纪检监察事务支出</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9.01</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2080505</w:t>
            </w:r>
          </w:p>
        </w:tc>
        <w:tc>
          <w:tcPr>
            <w:tcW w:w="2225"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机关事业单位基本养老保险缴费支出</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2210302</w:t>
            </w:r>
          </w:p>
        </w:tc>
        <w:tc>
          <w:tcPr>
            <w:tcW w:w="2225"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住房公积金管理</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3449" w:type="dxa"/>
            <w:tcBorders>
              <w:top w:val="single" w:color="00000B" w:sz="4" w:space="0"/>
              <w:left w:val="single" w:color="00000B" w:sz="4" w:space="0"/>
              <w:bottom w:val="single" w:color="00000B" w:sz="4" w:space="0"/>
              <w:right w:val="single" w:color="00000B" w:sz="4" w:space="0"/>
            </w:tcBorders>
            <w:shd w:val="clear" w:color="auto" w:fill="FFFFFF"/>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2225"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49"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49"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450" w:hRule="atLeast"/>
        </w:trPr>
        <w:tc>
          <w:tcPr>
            <w:tcW w:w="1414" w:type="dxa"/>
            <w:gridSpan w:val="2"/>
            <w:tcBorders>
              <w:top w:val="single" w:color="00000B" w:sz="4" w:space="0"/>
              <w:left w:val="single" w:color="00000B" w:sz="8" w:space="0"/>
              <w:bottom w:val="single" w:color="00000B" w:sz="8"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2225"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49"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49"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3451" w:type="dxa"/>
            <w:tcBorders>
              <w:top w:val="single" w:color="00000B" w:sz="4" w:space="0"/>
              <w:left w:val="single" w:color="00000B" w:sz="4"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645" w:hRule="atLeast"/>
        </w:trPr>
        <w:tc>
          <w:tcPr>
            <w:tcW w:w="13988" w:type="dxa"/>
            <w:gridSpan w:val="6"/>
            <w:tcBorders>
              <w:top w:val="nil"/>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注：本表反映部门本年度一般公共预算财政拨款支出情况。本表金额转换为万元时，因四舍五入可能存在尾差。</w:t>
            </w:r>
          </w:p>
        </w:tc>
      </w:tr>
    </w:tbl>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tbl>
      <w:tblPr>
        <w:tblStyle w:val="2"/>
        <w:tblW w:w="14332" w:type="dxa"/>
        <w:tblInd w:w="-15" w:type="dxa"/>
        <w:tblLayout w:type="fixed"/>
        <w:tblCellMar>
          <w:top w:w="15" w:type="dxa"/>
          <w:left w:w="15" w:type="dxa"/>
          <w:bottom w:w="0" w:type="dxa"/>
          <w:right w:w="15" w:type="dxa"/>
        </w:tblCellMar>
      </w:tblPr>
      <w:tblGrid>
        <w:gridCol w:w="1008"/>
        <w:gridCol w:w="2785"/>
        <w:gridCol w:w="938"/>
        <w:gridCol w:w="870"/>
        <w:gridCol w:w="2066"/>
        <w:gridCol w:w="938"/>
        <w:gridCol w:w="870"/>
        <w:gridCol w:w="3575"/>
        <w:gridCol w:w="1282"/>
      </w:tblGrid>
      <w:tr>
        <w:tblPrEx>
          <w:tblCellMar>
            <w:top w:w="15" w:type="dxa"/>
            <w:left w:w="15" w:type="dxa"/>
            <w:bottom w:w="0" w:type="dxa"/>
            <w:right w:w="15" w:type="dxa"/>
          </w:tblCellMar>
        </w:tblPrEx>
        <w:trPr>
          <w:trHeight w:val="435"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一般公共预算财政拨款基本支出决算明细表</w:t>
            </w:r>
          </w:p>
        </w:tc>
      </w:tr>
      <w:tr>
        <w:tblPrEx>
          <w:tblCellMar>
            <w:top w:w="15" w:type="dxa"/>
            <w:left w:w="15" w:type="dxa"/>
            <w:bottom w:w="0" w:type="dxa"/>
            <w:right w:w="15" w:type="dxa"/>
          </w:tblCellMar>
        </w:tblPrEx>
        <w:trPr>
          <w:trHeight w:val="405" w:hRule="atLeast"/>
        </w:trPr>
        <w:tc>
          <w:tcPr>
            <w:tcW w:w="1008"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2785"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938"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2066"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938"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3575"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282"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公开06表</w:t>
            </w:r>
          </w:p>
        </w:tc>
      </w:tr>
      <w:tr>
        <w:tblPrEx>
          <w:tblCellMar>
            <w:top w:w="15" w:type="dxa"/>
            <w:left w:w="15" w:type="dxa"/>
            <w:bottom w:w="0" w:type="dxa"/>
            <w:right w:w="15" w:type="dxa"/>
          </w:tblCellMar>
        </w:tblPrEx>
        <w:trPr>
          <w:trHeight w:val="300" w:hRule="atLeast"/>
        </w:trPr>
        <w:tc>
          <w:tcPr>
            <w:tcW w:w="3793" w:type="dxa"/>
            <w:gridSpan w:val="2"/>
            <w:tcBorders>
              <w:top w:val="nil"/>
              <w:left w:val="nil"/>
              <w:bottom w:val="nil"/>
              <w:right w:val="nil"/>
            </w:tcBorders>
            <w:noWrap/>
            <w:tcMar>
              <w:top w:w="15" w:type="dxa"/>
              <w:left w:w="15" w:type="dxa"/>
              <w:right w:w="15" w:type="dxa"/>
            </w:tcMar>
            <w:vAlign w:val="center"/>
          </w:tcPr>
          <w:p>
            <w:pPr>
              <w:rPr>
                <w:rFonts w:hint="eastAsia" w:ascii="宋体" w:hAnsi="宋体"/>
                <w:color w:val="000000"/>
                <w:kern w:val="0"/>
                <w:sz w:val="20"/>
                <w:szCs w:val="20"/>
                <w:lang w:bidi="ar"/>
              </w:rPr>
            </w:pPr>
            <w:r>
              <w:rPr>
                <w:rFonts w:hint="eastAsia" w:ascii="宋体" w:hAnsi="宋体"/>
                <w:color w:val="000000"/>
                <w:kern w:val="0"/>
                <w:sz w:val="20"/>
                <w:szCs w:val="20"/>
                <w:lang w:bidi="ar"/>
              </w:rPr>
              <w:t>部门</w:t>
            </w:r>
            <w:r>
              <w:rPr>
                <w:rFonts w:ascii="Arial" w:hAnsi="Arial"/>
                <w:color w:val="000000"/>
                <w:kern w:val="0"/>
                <w:sz w:val="20"/>
                <w:szCs w:val="20"/>
                <w:lang w:bidi="ar"/>
              </w:rPr>
              <w:t>：</w:t>
            </w:r>
            <w:r>
              <w:rPr>
                <w:rFonts w:hint="eastAsia" w:ascii="Arial" w:hAnsi="Arial"/>
                <w:color w:val="000000"/>
                <w:kern w:val="0"/>
                <w:sz w:val="20"/>
                <w:szCs w:val="20"/>
                <w:lang w:bidi="ar"/>
              </w:rPr>
              <w:t>信阳市平桥区政协办公室</w:t>
            </w:r>
          </w:p>
        </w:tc>
        <w:tc>
          <w:tcPr>
            <w:tcW w:w="938"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2066"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938"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3575" w:type="dxa"/>
            <w:tcBorders>
              <w:top w:val="nil"/>
              <w:left w:val="nil"/>
              <w:bottom w:val="nil"/>
              <w:right w:val="nil"/>
            </w:tcBorders>
            <w:noWrap/>
            <w:tcMar>
              <w:top w:w="15" w:type="dxa"/>
              <w:left w:w="15" w:type="dxa"/>
              <w:right w:w="15" w:type="dxa"/>
            </w:tcMar>
            <w:vAlign w:val="center"/>
          </w:tcPr>
          <w:p>
            <w:pPr>
              <w:rPr>
                <w:rFonts w:ascii="Arial" w:hAnsi="Arial"/>
                <w:color w:val="000000"/>
                <w:sz w:val="20"/>
                <w:szCs w:val="20"/>
              </w:rPr>
            </w:pPr>
          </w:p>
        </w:tc>
        <w:tc>
          <w:tcPr>
            <w:tcW w:w="1282" w:type="dxa"/>
            <w:tcBorders>
              <w:top w:val="nil"/>
              <w:left w:val="nil"/>
              <w:bottom w:val="nil"/>
              <w:right w:val="nil"/>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trHeight w:val="615" w:hRule="atLeast"/>
        </w:trPr>
        <w:tc>
          <w:tcPr>
            <w:tcW w:w="1008" w:type="dxa"/>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经济分类科目编码</w:t>
            </w:r>
          </w:p>
        </w:tc>
        <w:tc>
          <w:tcPr>
            <w:tcW w:w="2785" w:type="dxa"/>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938" w:type="dxa"/>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c>
          <w:tcPr>
            <w:tcW w:w="870" w:type="dxa"/>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经济分类科目编码</w:t>
            </w:r>
          </w:p>
        </w:tc>
        <w:tc>
          <w:tcPr>
            <w:tcW w:w="2066" w:type="dxa"/>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938" w:type="dxa"/>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c>
          <w:tcPr>
            <w:tcW w:w="870" w:type="dxa"/>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经济分类科目编码</w:t>
            </w:r>
          </w:p>
        </w:tc>
        <w:tc>
          <w:tcPr>
            <w:tcW w:w="3575" w:type="dxa"/>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1282" w:type="dxa"/>
            <w:tcBorders>
              <w:top w:val="single" w:color="00000B" w:sz="8"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工资福利支出</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406.35</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商品和服务支出</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131.04</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资本性支出</w:t>
            </w:r>
          </w:p>
        </w:tc>
        <w:tc>
          <w:tcPr>
            <w:tcW w:w="1282"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6.12</w:t>
            </w: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30101</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基本工资</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107.16</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30201</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办公费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22.84</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31001</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房屋建筑物购建</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30102</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津贴补贴</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94.67</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30202</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印刷费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31002</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办公设备购置</w:t>
            </w:r>
          </w:p>
        </w:tc>
        <w:tc>
          <w:tcPr>
            <w:tcW w:w="1282" w:type="dxa"/>
            <w:tcBorders>
              <w:top w:val="single" w:color="00000B" w:sz="4" w:space="0"/>
              <w:left w:val="single" w:color="00000B" w:sz="4" w:space="0"/>
              <w:bottom w:val="single" w:color="00000B" w:sz="4" w:space="0"/>
              <w:right w:val="single" w:color="00000B" w:sz="8"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6.12</w:t>
            </w: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30103</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奖金</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59.45</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30203</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咨询费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31003</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专用设备购置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30106</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伙食补助费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30204</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手续费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31005</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基础设施建设</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30107</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绩效工资</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30205</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水费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31006</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大型修缮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30108</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机关事业单位基本养老保险费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44.78</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30206</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电费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31007</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信息网络及软件购置更新</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30109</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职业年金缴费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7.98</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30207</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邮电费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0.36</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31008</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物资储备</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30110</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职工基本医疗保险缴费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16.91</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30208</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取暖费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31009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土地补偿</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30111</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公务员医疗补助缴费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30209</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物业管理费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31010</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安置补助</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30112</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其他社会保障缴费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0.32</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30211</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差旅费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10.12</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31011</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地上附着物和青苗补偿</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30113</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住房公积金</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75.07</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30212</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因公出国（境）费用</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31012</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拆迁补偿</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30114</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医疗费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30213</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维修（护）费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12.02</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31013</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公务用车购置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30199</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其他工资福利支出</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30214</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租赁费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5.46</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31019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其他交通工具购置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对个人和家庭的补助</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15.71</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30215</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会议费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31021</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文物和陈列品购置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30301</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离休费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15.33</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30216</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培训费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31022</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无形资产购置</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30302</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退休费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30217</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公务招待费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31099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其他资本性支出</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30303</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退职（役）费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30218</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专用材料费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对企业补助</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30304</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抚恤金</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30224</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被装购置费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31201</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资本金注入</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30305</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生活补助</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30225</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专用燃料费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31203</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政府投资基金股权投资</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30306</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救济费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30226</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劳务费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1.40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31204</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费用补贴</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30307</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医疗费补助</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0.38</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30227</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委托业务费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24.50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31205</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利息补贴</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30308</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助学金</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30228</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工会经费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1.01</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31299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其他对企业补助</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30309</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奖励金</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30229</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福利费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4.09</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313</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对社会保障基金补助</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30310</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个人农业生产补贴</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30231</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公务用车运行维护费</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31302</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对社会保险基金补助</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30399</w:t>
            </w: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对其他个人和家庭的补助支出</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30239</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其他交通费用</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26.15</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31303</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补充全国社会保障基金</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30240</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税金及附加费用</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0.00</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399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其他支出</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30299</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其他商品和服务支出</w:t>
            </w:r>
          </w:p>
        </w:tc>
        <w:tc>
          <w:tcPr>
            <w:tcW w:w="938" w:type="dxa"/>
            <w:tcBorders>
              <w:top w:val="single" w:color="00000B" w:sz="4" w:space="0"/>
              <w:left w:val="single" w:color="00000B" w:sz="4" w:space="0"/>
              <w:bottom w:val="single" w:color="00000B" w:sz="4"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23.08</w:t>
            </w: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39906</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赠与</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307</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债务利息及费用支出</w:t>
            </w: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39907</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国家赔偿费用支出</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30701</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国内债务付息</w:t>
            </w: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39908</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对民间非营利组织和群众性自治组织补贴</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30702</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国外债务付息</w:t>
            </w: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39999</w:t>
            </w: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其他支出</w:t>
            </w: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1008" w:type="dxa"/>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278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30703</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国内债务发行费用</w:t>
            </w: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3793" w:type="dxa"/>
            <w:gridSpan w:val="2"/>
            <w:tcBorders>
              <w:top w:val="single" w:color="00000B" w:sz="4" w:space="0"/>
              <w:left w:val="single" w:color="00000B" w:sz="8" w:space="0"/>
              <w:bottom w:val="single" w:color="00000B" w:sz="4" w:space="0"/>
              <w:right w:val="single" w:color="00000B" w:sz="4" w:space="0"/>
            </w:tcBorders>
            <w:noWrap/>
            <w:tcMar>
              <w:top w:w="15" w:type="dxa"/>
              <w:left w:w="15" w:type="dxa"/>
              <w:right w:w="15" w:type="dxa"/>
            </w:tcMar>
            <w:vAlign w:val="center"/>
          </w:tcPr>
          <w:p>
            <w:pPr>
              <w:jc w:val="center"/>
              <w:rPr>
                <w:rFonts w:hint="eastAsia" w:ascii="宋体" w:hAnsi="宋体"/>
                <w:color w:val="000000"/>
                <w:sz w:val="20"/>
                <w:szCs w:val="20"/>
              </w:rPr>
            </w:pP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30704</w:t>
            </w:r>
          </w:p>
        </w:tc>
        <w:tc>
          <w:tcPr>
            <w:tcW w:w="2066"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 xml:space="preserve">  国外债务发行费用</w:t>
            </w:r>
          </w:p>
        </w:tc>
        <w:tc>
          <w:tcPr>
            <w:tcW w:w="938"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20"/>
                <w:szCs w:val="20"/>
              </w:rPr>
            </w:pPr>
          </w:p>
        </w:tc>
        <w:tc>
          <w:tcPr>
            <w:tcW w:w="870"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18"/>
                <w:szCs w:val="18"/>
              </w:rPr>
            </w:pPr>
          </w:p>
        </w:tc>
        <w:tc>
          <w:tcPr>
            <w:tcW w:w="3575" w:type="dxa"/>
            <w:tcBorders>
              <w:top w:val="single" w:color="00000B" w:sz="4" w:space="0"/>
              <w:left w:val="single" w:color="00000B" w:sz="4" w:space="0"/>
              <w:bottom w:val="single" w:color="00000B" w:sz="4" w:space="0"/>
              <w:right w:val="single" w:color="00000B" w:sz="4" w:space="0"/>
            </w:tcBorders>
            <w:noWrap/>
            <w:tcMar>
              <w:top w:w="15" w:type="dxa"/>
              <w:left w:w="15" w:type="dxa"/>
              <w:right w:w="15" w:type="dxa"/>
            </w:tcMar>
            <w:vAlign w:val="center"/>
          </w:tcPr>
          <w:p>
            <w:pPr>
              <w:rPr>
                <w:rFonts w:hint="eastAsia" w:ascii="宋体" w:hAnsi="宋体"/>
                <w:color w:val="000000"/>
                <w:sz w:val="18"/>
                <w:szCs w:val="18"/>
              </w:rPr>
            </w:pPr>
          </w:p>
        </w:tc>
        <w:tc>
          <w:tcPr>
            <w:tcW w:w="1282" w:type="dxa"/>
            <w:tcBorders>
              <w:top w:val="single" w:color="00000B" w:sz="4" w:space="0"/>
              <w:left w:val="single" w:color="00000B" w:sz="4" w:space="0"/>
              <w:bottom w:val="single" w:color="00000B" w:sz="4" w:space="0"/>
              <w:right w:val="single" w:color="00000B" w:sz="8" w:space="0"/>
            </w:tcBorders>
            <w:noWrap/>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trHeight w:val="252" w:hRule="atLeast"/>
        </w:trPr>
        <w:tc>
          <w:tcPr>
            <w:tcW w:w="3793" w:type="dxa"/>
            <w:gridSpan w:val="2"/>
            <w:tcBorders>
              <w:top w:val="single" w:color="00000B" w:sz="4" w:space="0"/>
              <w:left w:val="single" w:color="00000B" w:sz="8" w:space="0"/>
              <w:bottom w:val="single" w:color="00000B" w:sz="8" w:space="0"/>
              <w:right w:val="single" w:color="00000B" w:sz="4" w:space="0"/>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人员经费合计</w:t>
            </w:r>
          </w:p>
        </w:tc>
        <w:tc>
          <w:tcPr>
            <w:tcW w:w="938" w:type="dxa"/>
            <w:tcBorders>
              <w:top w:val="single" w:color="00000B" w:sz="4" w:space="0"/>
              <w:left w:val="single" w:color="00000B" w:sz="4" w:space="0"/>
              <w:bottom w:val="single" w:color="00000B" w:sz="8" w:space="0"/>
              <w:right w:val="single" w:color="00000B" w:sz="4"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422.06</w:t>
            </w:r>
          </w:p>
        </w:tc>
        <w:tc>
          <w:tcPr>
            <w:tcW w:w="8319" w:type="dxa"/>
            <w:gridSpan w:val="5"/>
            <w:tcBorders>
              <w:top w:val="single" w:color="00000B" w:sz="4" w:space="0"/>
              <w:left w:val="single" w:color="00000B" w:sz="4" w:space="0"/>
              <w:bottom w:val="single" w:color="00000B" w:sz="8" w:space="0"/>
              <w:right w:val="single" w:color="00000B" w:sz="4" w:space="0"/>
            </w:tcBorders>
            <w:noWrap/>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公用经费合计</w:t>
            </w:r>
          </w:p>
        </w:tc>
        <w:tc>
          <w:tcPr>
            <w:tcW w:w="1282" w:type="dxa"/>
            <w:tcBorders>
              <w:top w:val="single" w:color="00000B" w:sz="4" w:space="0"/>
              <w:left w:val="single" w:color="00000B" w:sz="4" w:space="0"/>
              <w:bottom w:val="single" w:color="00000B" w:sz="8" w:space="0"/>
              <w:right w:val="single" w:color="00000B" w:sz="8" w:space="0"/>
            </w:tcBorders>
            <w:shd w:val="clear" w:color="auto" w:fill="FFFFFF"/>
            <w:noWrap/>
            <w:tcMar>
              <w:top w:w="15" w:type="dxa"/>
              <w:left w:w="15" w:type="dxa"/>
              <w:right w:w="15" w:type="dxa"/>
            </w:tcMar>
            <w:vAlign w:val="center"/>
          </w:tcPr>
          <w:p>
            <w:pPr>
              <w:keepNext w:val="0"/>
              <w:keepLines w:val="0"/>
              <w:widowControl/>
              <w:suppressLineNumbers w:val="0"/>
              <w:jc w:val="left"/>
              <w:rPr>
                <w:rFonts w:hint="eastAsia" w:ascii="宋体" w:hAnsi="宋体" w:eastAsia="宋体"/>
                <w:i w:val="0"/>
                <w:iCs w:val="0"/>
                <w:color w:val="000000"/>
                <w:kern w:val="0"/>
                <w:sz w:val="22"/>
                <w:szCs w:val="22"/>
                <w:u w:val="none"/>
                <w:lang w:val="en-US" w:eastAsia="zh-CN" w:bidi="ar"/>
              </w:rPr>
            </w:pPr>
            <w:r>
              <w:rPr>
                <w:rFonts w:hint="eastAsia" w:ascii="宋体" w:hAnsi="宋体" w:eastAsia="宋体"/>
                <w:i w:val="0"/>
                <w:iCs w:val="0"/>
                <w:color w:val="000000"/>
                <w:kern w:val="0"/>
                <w:sz w:val="22"/>
                <w:szCs w:val="22"/>
                <w:u w:val="none"/>
                <w:lang w:val="en-US" w:eastAsia="zh-CN" w:bidi="ar"/>
              </w:rPr>
              <w:t>137.17</w:t>
            </w:r>
          </w:p>
        </w:tc>
      </w:tr>
      <w:tr>
        <w:tblPrEx>
          <w:tblCellMar>
            <w:top w:w="15" w:type="dxa"/>
            <w:left w:w="15" w:type="dxa"/>
            <w:bottom w:w="0" w:type="dxa"/>
            <w:right w:w="15" w:type="dxa"/>
          </w:tblCellMar>
        </w:tblPrEx>
        <w:trPr>
          <w:trHeight w:val="390"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注：本表反映部门本年度一般公共预算财政拨款基本支出明细情况。本表金额转换为万元时，因四舍五入可能存在尾差。</w:t>
            </w:r>
          </w:p>
          <w:p>
            <w:pPr>
              <w:widowControl/>
              <w:jc w:val="left"/>
              <w:rPr>
                <w:rFonts w:ascii="宋体" w:hAnsi="宋体"/>
                <w:color w:val="000000"/>
                <w:kern w:val="0"/>
                <w:sz w:val="20"/>
                <w:szCs w:val="20"/>
                <w:lang w:bidi="ar"/>
              </w:rPr>
            </w:pPr>
          </w:p>
          <w:p>
            <w:pPr>
              <w:widowControl/>
              <w:jc w:val="left"/>
              <w:rPr>
                <w:rFonts w:ascii="宋体" w:hAnsi="宋体"/>
                <w:color w:val="000000"/>
                <w:kern w:val="0"/>
                <w:sz w:val="20"/>
                <w:szCs w:val="20"/>
                <w:lang w:bidi="ar"/>
              </w:rPr>
            </w:pPr>
          </w:p>
          <w:p>
            <w:pPr>
              <w:widowControl/>
              <w:jc w:val="left"/>
              <w:rPr>
                <w:rFonts w:ascii="宋体" w:hAnsi="宋体"/>
                <w:color w:val="000000"/>
                <w:kern w:val="0"/>
                <w:sz w:val="20"/>
                <w:szCs w:val="20"/>
                <w:lang w:bidi="ar"/>
              </w:rPr>
            </w:pPr>
          </w:p>
          <w:p>
            <w:pPr>
              <w:widowControl/>
              <w:jc w:val="left"/>
              <w:rPr>
                <w:rFonts w:ascii="宋体" w:hAnsi="宋体"/>
                <w:color w:val="000000"/>
                <w:kern w:val="0"/>
                <w:sz w:val="20"/>
                <w:szCs w:val="20"/>
                <w:lang w:bidi="ar"/>
              </w:rPr>
            </w:pPr>
          </w:p>
          <w:p>
            <w:pPr>
              <w:widowControl/>
              <w:jc w:val="left"/>
              <w:rPr>
                <w:rFonts w:ascii="宋体" w:hAnsi="宋体"/>
                <w:color w:val="000000"/>
                <w:kern w:val="0"/>
                <w:sz w:val="20"/>
                <w:szCs w:val="20"/>
                <w:lang w:bidi="ar"/>
              </w:rPr>
            </w:pPr>
          </w:p>
          <w:tbl>
            <w:tblPr>
              <w:tblStyle w:val="2"/>
              <w:tblW w:w="14175" w:type="dxa"/>
              <w:tblInd w:w="0" w:type="dxa"/>
              <w:tblLayout w:type="fixed"/>
              <w:tblCellMar>
                <w:top w:w="15" w:type="dxa"/>
                <w:left w:w="15" w:type="dxa"/>
                <w:bottom w:w="0" w:type="dxa"/>
                <w:right w:w="15" w:type="dxa"/>
              </w:tblCellMar>
            </w:tblPr>
            <w:tblGrid>
              <w:gridCol w:w="14175"/>
              <w:gridCol w:w="360"/>
              <w:gridCol w:w="360"/>
              <w:gridCol w:w="360"/>
              <w:gridCol w:w="360"/>
              <w:gridCol w:w="360"/>
              <w:gridCol w:w="360"/>
              <w:gridCol w:w="360"/>
              <w:gridCol w:w="360"/>
            </w:tblGrid>
            <w:tr>
              <w:tblPrEx>
                <w:tblCellMar>
                  <w:top w:w="15" w:type="dxa"/>
                  <w:left w:w="15" w:type="dxa"/>
                  <w:bottom w:w="0" w:type="dxa"/>
                  <w:right w:w="15" w:type="dxa"/>
                </w:tblCellMar>
              </w:tblPrEx>
              <w:trPr>
                <w:gridAfter w:val="8"/>
                <w:trHeight w:val="600" w:hRule="atLeast"/>
              </w:trPr>
              <w:tc>
                <w:tcPr>
                  <w:tcW w:w="14175" w:type="dxa"/>
                  <w:tcBorders>
                    <w:top w:val="nil"/>
                    <w:left w:val="nil"/>
                    <w:bottom w:val="nil"/>
                    <w:right w:val="nil"/>
                  </w:tcBorders>
                  <w:shd w:val="clear" w:color="auto" w:fill="FFFFFF"/>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政府性基金预算财政拨款收入支出决算表</w:t>
                  </w:r>
                </w:p>
              </w:tc>
            </w:tr>
            <w:tr>
              <w:tblPrEx>
                <w:tblCellMar>
                  <w:top w:w="15" w:type="dxa"/>
                  <w:left w:w="15" w:type="dxa"/>
                  <w:bottom w:w="0" w:type="dxa"/>
                  <w:right w:w="15" w:type="dxa"/>
                </w:tblCellMar>
              </w:tblPrEx>
              <w:trPr>
                <w:trHeight w:val="222" w:hRule="atLeast"/>
              </w:trPr>
              <w:tc>
                <w:tcPr>
                  <w:tcW w:w="612"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53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927"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637"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w:t>
                  </w:r>
                  <w:r>
                    <w:rPr>
                      <w:rFonts w:ascii="宋体" w:hAnsi="宋体"/>
                      <w:color w:val="000000"/>
                      <w:kern w:val="0"/>
                      <w:sz w:val="20"/>
                      <w:szCs w:val="20"/>
                      <w:lang w:bidi="ar"/>
                    </w:rPr>
                    <w:t>7</w:t>
                  </w:r>
                  <w:r>
                    <w:rPr>
                      <w:rFonts w:hint="eastAsia" w:ascii="宋体" w:hAnsi="宋体"/>
                      <w:color w:val="000000"/>
                      <w:kern w:val="0"/>
                      <w:sz w:val="20"/>
                      <w:szCs w:val="20"/>
                      <w:lang w:bidi="ar"/>
                    </w:rPr>
                    <w:t>表</w:t>
                  </w:r>
                </w:p>
              </w:tc>
            </w:tr>
            <w:tr>
              <w:tblPrEx>
                <w:tblCellMar>
                  <w:top w:w="15" w:type="dxa"/>
                  <w:left w:w="15" w:type="dxa"/>
                  <w:bottom w:w="0" w:type="dxa"/>
                  <w:right w:w="15" w:type="dxa"/>
                </w:tblCellMar>
              </w:tblPrEx>
              <w:trPr>
                <w:gridAfter w:val="3"/>
                <w:trHeight w:val="300" w:hRule="atLeast"/>
              </w:trPr>
              <w:tc>
                <w:tcPr>
                  <w:tcW w:w="4380" w:type="dxa"/>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1926"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926"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927"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607"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gridAfter w:val="4"/>
                <w:trHeight w:val="405" w:hRule="atLeast"/>
              </w:trPr>
              <w:tc>
                <w:tcPr>
                  <w:tcW w:w="2424" w:type="dxa"/>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    目</w:t>
                  </w:r>
                </w:p>
              </w:tc>
              <w:tc>
                <w:tcPr>
                  <w:tcW w:w="1926" w:type="dxa"/>
                  <w:vMerge w:val="restart"/>
                  <w:tcBorders>
                    <w:top w:val="single" w:color="00000B" w:sz="8" w:space="0"/>
                    <w:left w:val="single" w:color="00000B" w:sz="4" w:space="0"/>
                    <w:bottom w:val="single" w:color="00000B" w:sz="4" w:space="0"/>
                    <w:right w:val="nil"/>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年初结转和结余</w:t>
                  </w:r>
                </w:p>
              </w:tc>
              <w:tc>
                <w:tcPr>
                  <w:tcW w:w="1926" w:type="dxa"/>
                  <w:vMerge w:val="restart"/>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本年收入</w:t>
                  </w:r>
                </w:p>
              </w:tc>
              <w:tc>
                <w:tcPr>
                  <w:tcW w:w="5490" w:type="dxa"/>
                  <w:tcBorders>
                    <w:top w:val="single" w:color="00000B" w:sz="8"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本年支出</w:t>
                  </w:r>
                </w:p>
              </w:tc>
              <w:tc>
                <w:tcPr>
                  <w:tcW w:w="2409" w:type="dxa"/>
                  <w:vMerge w:val="restart"/>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年末结转和结余</w:t>
                  </w:r>
                </w:p>
              </w:tc>
            </w:tr>
            <w:tr>
              <w:tblPrEx>
                <w:tblCellMar>
                  <w:top w:w="15" w:type="dxa"/>
                  <w:left w:w="15" w:type="dxa"/>
                  <w:bottom w:w="0" w:type="dxa"/>
                  <w:right w:w="15" w:type="dxa"/>
                </w:tblCellMar>
              </w:tblPrEx>
              <w:trPr>
                <w:gridAfter w:val="1"/>
                <w:trHeight w:val="540" w:hRule="atLeast"/>
              </w:trPr>
              <w:tc>
                <w:tcPr>
                  <w:tcW w:w="1148" w:type="dxa"/>
                  <w:vMerge w:val="restart"/>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功能分类</w:t>
                  </w:r>
                </w:p>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科目编码</w:t>
                  </w:r>
                </w:p>
              </w:tc>
              <w:tc>
                <w:tcPr>
                  <w:tcW w:w="1276" w:type="dxa"/>
                  <w:vMerge w:val="restart"/>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科目名称</w:t>
                  </w:r>
                </w:p>
              </w:tc>
              <w:tc>
                <w:tcPr>
                  <w:tcW w:w="1926" w:type="dxa"/>
                  <w:vMerge w:val="continue"/>
                  <w:tcBorders>
                    <w:top w:val="single" w:color="00000B" w:sz="8" w:space="0"/>
                    <w:left w:val="single" w:color="00000B" w:sz="4" w:space="0"/>
                    <w:bottom w:val="single" w:color="00000B" w:sz="4" w:space="0"/>
                    <w:right w:val="nil"/>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restart"/>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小计</w:t>
                  </w:r>
                </w:p>
              </w:tc>
              <w:tc>
                <w:tcPr>
                  <w:tcW w:w="1927" w:type="dxa"/>
                  <w:vMerge w:val="restart"/>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基本支出</w:t>
                  </w:r>
                </w:p>
              </w:tc>
              <w:tc>
                <w:tcPr>
                  <w:tcW w:w="1637" w:type="dxa"/>
                  <w:vMerge w:val="restart"/>
                  <w:tcBorders>
                    <w:top w:val="nil"/>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项目支出</w:t>
                  </w:r>
                </w:p>
              </w:tc>
              <w:tc>
                <w:tcPr>
                  <w:tcW w:w="2409" w:type="dxa"/>
                  <w:vMerge w:val="continue"/>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360" w:hRule="atLeast"/>
              </w:trPr>
              <w:tc>
                <w:tcPr>
                  <w:tcW w:w="1148" w:type="dxa"/>
                  <w:vMerge w:val="continue"/>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single" w:color="00000B" w:sz="8" w:space="0"/>
                    <w:left w:val="single" w:color="00000B" w:sz="4" w:space="0"/>
                    <w:bottom w:val="single" w:color="00000B" w:sz="4" w:space="0"/>
                    <w:right w:val="nil"/>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7"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637" w:type="dxa"/>
                  <w:vMerge w:val="continue"/>
                  <w:tcBorders>
                    <w:top w:val="nil"/>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c>
                <w:tcPr>
                  <w:tcW w:w="2409" w:type="dxa"/>
                  <w:vMerge w:val="continue"/>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vMerge w:val="continue"/>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single" w:color="00000B" w:sz="8" w:space="0"/>
                    <w:left w:val="single" w:color="00000B" w:sz="4" w:space="0"/>
                    <w:bottom w:val="single" w:color="00000B" w:sz="4" w:space="0"/>
                    <w:right w:val="nil"/>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single" w:color="00000B" w:sz="8"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7" w:type="dxa"/>
                  <w:vMerge w:val="continue"/>
                  <w:tcBorders>
                    <w:top w:val="nil"/>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637" w:type="dxa"/>
                  <w:vMerge w:val="continue"/>
                  <w:tcBorders>
                    <w:top w:val="nil"/>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c>
                <w:tcPr>
                  <w:tcW w:w="2409" w:type="dxa"/>
                  <w:vMerge w:val="continue"/>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gridAfter w:val="2"/>
                <w:trHeight w:val="450" w:hRule="atLeast"/>
              </w:trPr>
              <w:tc>
                <w:tcPr>
                  <w:tcW w:w="2424"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栏次</w:t>
                  </w: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5</w:t>
                  </w: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6</w:t>
                  </w:r>
                </w:p>
              </w:tc>
            </w:tr>
            <w:tr>
              <w:tblPrEx>
                <w:tblCellMar>
                  <w:top w:w="15" w:type="dxa"/>
                  <w:left w:w="15" w:type="dxa"/>
                  <w:bottom w:w="0" w:type="dxa"/>
                  <w:right w:w="15" w:type="dxa"/>
                </w:tblCellMar>
              </w:tblPrEx>
              <w:trPr>
                <w:gridAfter w:val="2"/>
                <w:trHeight w:val="450" w:hRule="atLeast"/>
              </w:trPr>
              <w:tc>
                <w:tcPr>
                  <w:tcW w:w="2424" w:type="dxa"/>
                  <w:tcBorders>
                    <w:top w:val="nil"/>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7"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637"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1"/>
                <w:trHeight w:val="450" w:hRule="atLeast"/>
              </w:trPr>
              <w:tc>
                <w:tcPr>
                  <w:tcW w:w="1148" w:type="dxa"/>
                  <w:tcBorders>
                    <w:top w:val="single" w:color="00000B" w:sz="4" w:space="0"/>
                    <w:left w:val="single" w:color="00000B" w:sz="8" w:space="0"/>
                    <w:bottom w:val="single" w:color="00000B" w:sz="8"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276"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6"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927"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637" w:type="dxa"/>
                  <w:tcBorders>
                    <w:top w:val="single" w:color="00000B" w:sz="4" w:space="0"/>
                    <w:left w:val="single" w:color="00000B" w:sz="4"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c>
                <w:tcPr>
                  <w:tcW w:w="2409" w:type="dxa"/>
                  <w:tcBorders>
                    <w:top w:val="single" w:color="00000B" w:sz="8" w:space="0"/>
                    <w:left w:val="single" w:color="00000B" w:sz="8"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8"/>
                <w:trHeight w:val="645" w:hRule="atLeast"/>
              </w:trPr>
              <w:tc>
                <w:tcPr>
                  <w:tcW w:w="14175" w:type="dxa"/>
                  <w:tcBorders>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注：本表反映部门本年度政府性基金预算财政拨款收入、支出及结转和结余情况。</w:t>
                  </w:r>
                </w:p>
                <w:p>
                  <w:pPr>
                    <w:widowControl/>
                    <w:jc w:val="left"/>
                    <w:rPr>
                      <w:rFonts w:hint="eastAsia" w:ascii="宋体" w:hAnsi="宋体"/>
                      <w:color w:val="000000"/>
                      <w:sz w:val="22"/>
                    </w:rPr>
                  </w:pPr>
                  <w:r>
                    <w:rPr>
                      <w:rFonts w:hint="eastAsia" w:ascii="宋体" w:hAnsi="宋体"/>
                      <w:color w:val="000000"/>
                      <w:sz w:val="22"/>
                    </w:rPr>
                    <w:t>说明：我部门没有政府性基金收入，也没有使用政府性基金安排的支出，故本表无数据。</w:t>
                  </w:r>
                </w:p>
                <w:p>
                  <w:pPr>
                    <w:widowControl/>
                    <w:jc w:val="left"/>
                    <w:rPr>
                      <w:rFonts w:ascii="宋体" w:hAnsi="宋体"/>
                      <w:color w:val="000000"/>
                      <w:sz w:val="20"/>
                      <w:szCs w:val="20"/>
                    </w:rPr>
                  </w:pPr>
                </w:p>
                <w:p>
                  <w:pPr>
                    <w:widowControl/>
                    <w:jc w:val="center"/>
                    <w:rPr>
                      <w:rFonts w:ascii="宋体" w:hAnsi="宋体"/>
                      <w:color w:val="000000"/>
                      <w:sz w:val="20"/>
                      <w:szCs w:val="20"/>
                    </w:rPr>
                  </w:pPr>
                </w:p>
                <w:p>
                  <w:pPr>
                    <w:widowControl/>
                    <w:jc w:val="center"/>
                    <w:rPr>
                      <w:rFonts w:ascii="宋体" w:hAnsi="宋体"/>
                      <w:color w:val="000000"/>
                      <w:sz w:val="20"/>
                      <w:szCs w:val="20"/>
                    </w:rPr>
                  </w:pPr>
                </w:p>
                <w:p>
                  <w:pPr>
                    <w:widowControl/>
                    <w:jc w:val="center"/>
                    <w:rPr>
                      <w:rFonts w:ascii="宋体" w:hAnsi="宋体"/>
                      <w:color w:val="000000"/>
                      <w:sz w:val="20"/>
                      <w:szCs w:val="20"/>
                    </w:rPr>
                  </w:pPr>
                </w:p>
                <w:tbl>
                  <w:tblPr>
                    <w:tblStyle w:val="2"/>
                    <w:tblW w:w="11980" w:type="dxa"/>
                    <w:tblInd w:w="868" w:type="dxa"/>
                    <w:tblLayout w:type="fixed"/>
                    <w:tblCellMar>
                      <w:top w:w="0" w:type="dxa"/>
                      <w:left w:w="108" w:type="dxa"/>
                      <w:bottom w:w="0" w:type="dxa"/>
                      <w:right w:w="108" w:type="dxa"/>
                    </w:tblCellMar>
                  </w:tblPr>
                  <w:tblGrid>
                    <w:gridCol w:w="11980"/>
                    <w:gridCol w:w="360"/>
                    <w:gridCol w:w="360"/>
                    <w:gridCol w:w="360"/>
                    <w:gridCol w:w="360"/>
                    <w:gridCol w:w="360"/>
                  </w:tblGrid>
                  <w:tr>
                    <w:tblPrEx>
                      <w:tblCellMar>
                        <w:top w:w="0" w:type="dxa"/>
                        <w:left w:w="108" w:type="dxa"/>
                        <w:bottom w:w="0" w:type="dxa"/>
                        <w:right w:w="108" w:type="dxa"/>
                      </w:tblCellMar>
                    </w:tblPrEx>
                    <w:trPr>
                      <w:gridAfter w:val="5"/>
                      <w:trHeight w:val="720" w:hRule="atLeast"/>
                    </w:trPr>
                    <w:tc>
                      <w:tcPr>
                        <w:tcW w:w="11980" w:type="dxa"/>
                        <w:tcBorders>
                          <w:top w:val="nil"/>
                          <w:left w:val="nil"/>
                          <w:bottom w:val="nil"/>
                          <w:right w:val="nil"/>
                        </w:tcBorders>
                        <w:shd w:val="clear" w:color="000000" w:fill="FFFFFF"/>
                        <w:vAlign w:val="center"/>
                      </w:tcPr>
                      <w:p>
                        <w:pPr>
                          <w:widowControl/>
                          <w:jc w:val="center"/>
                          <w:rPr>
                            <w:rFonts w:hint="eastAsia" w:ascii="华文中宋" w:hAnsi="华文中宋" w:eastAsia="华文中宋"/>
                            <w:kern w:val="0"/>
                            <w:sz w:val="32"/>
                            <w:szCs w:val="32"/>
                          </w:rPr>
                        </w:pPr>
                        <w:r>
                          <w:rPr>
                            <w:rFonts w:hint="eastAsia" w:ascii="华文中宋" w:hAnsi="华文中宋" w:eastAsia="华文中宋"/>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hint="eastAsia" w:ascii="宋体" w:hAnsi="宋体"/>
                            <w:kern w:val="0"/>
                            <w:sz w:val="20"/>
                            <w:szCs w:val="20"/>
                          </w:rPr>
                        </w:pPr>
                        <w:r>
                          <w:rPr>
                            <w:rFonts w:hint="eastAsia" w:ascii="宋体" w:hAnsi="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hint="eastAsia" w:ascii="宋体" w:hAnsi="宋体"/>
                            <w:kern w:val="0"/>
                            <w:sz w:val="20"/>
                            <w:szCs w:val="20"/>
                          </w:rPr>
                        </w:pPr>
                        <w:r>
                          <w:rPr>
                            <w:rFonts w:hint="eastAsia" w:ascii="宋体" w:hAnsi="宋体"/>
                            <w:kern w:val="0"/>
                            <w:sz w:val="20"/>
                            <w:szCs w:val="20"/>
                          </w:rPr>
                          <w:t>　</w:t>
                        </w:r>
                      </w:p>
                    </w:tc>
                    <w:tc>
                      <w:tcPr>
                        <w:tcW w:w="1820" w:type="dxa"/>
                        <w:tcBorders>
                          <w:top w:val="nil"/>
                          <w:left w:val="nil"/>
                          <w:bottom w:val="nil"/>
                          <w:right w:val="nil"/>
                        </w:tcBorders>
                        <w:shd w:val="clear" w:color="000000" w:fill="FFFFFF"/>
                        <w:vAlign w:val="center"/>
                      </w:tcPr>
                      <w:p>
                        <w:pPr>
                          <w:widowControl/>
                          <w:jc w:val="center"/>
                          <w:rPr>
                            <w:rFonts w:hint="eastAsia" w:ascii="宋体" w:hAnsi="宋体"/>
                            <w:kern w:val="0"/>
                            <w:sz w:val="20"/>
                            <w:szCs w:val="20"/>
                          </w:rPr>
                        </w:pPr>
                        <w:r>
                          <w:rPr>
                            <w:rFonts w:hint="eastAsia" w:ascii="宋体" w:hAnsi="宋体"/>
                            <w:kern w:val="0"/>
                            <w:sz w:val="20"/>
                            <w:szCs w:val="20"/>
                          </w:rPr>
                          <w:t>　</w:t>
                        </w:r>
                      </w:p>
                    </w:tc>
                    <w:tc>
                      <w:tcPr>
                        <w:tcW w:w="2620" w:type="dxa"/>
                        <w:tcBorders>
                          <w:top w:val="nil"/>
                          <w:left w:val="nil"/>
                          <w:bottom w:val="nil"/>
                          <w:right w:val="nil"/>
                        </w:tcBorders>
                        <w:shd w:val="clear" w:color="000000" w:fill="FFFFFF"/>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2620" w:type="dxa"/>
                        <w:tcBorders>
                          <w:top w:val="nil"/>
                          <w:left w:val="nil"/>
                          <w:bottom w:val="nil"/>
                          <w:right w:val="nil"/>
                        </w:tcBorders>
                        <w:shd w:val="clear" w:color="000000" w:fill="FFFFFF"/>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3300" w:type="dxa"/>
                        <w:tcBorders>
                          <w:top w:val="nil"/>
                          <w:left w:val="nil"/>
                          <w:bottom w:val="nil"/>
                          <w:right w:val="nil"/>
                        </w:tcBorders>
                        <w:shd w:val="clear" w:color="000000" w:fill="FFFFFF"/>
                        <w:noWrap/>
                        <w:vAlign w:val="center"/>
                      </w:tcPr>
                      <w:p>
                        <w:pPr>
                          <w:widowControl/>
                          <w:jc w:val="left"/>
                          <w:rPr>
                            <w:rFonts w:hint="eastAsia" w:ascii="宋体" w:hAnsi="宋体"/>
                            <w:color w:val="000000"/>
                            <w:kern w:val="0"/>
                            <w:sz w:val="20"/>
                            <w:szCs w:val="20"/>
                          </w:rPr>
                        </w:pPr>
                        <w:r>
                          <w:rPr>
                            <w:rFonts w:hint="eastAsia" w:ascii="宋体" w:hAnsi="宋体"/>
                            <w:color w:val="000000"/>
                            <w:kern w:val="0"/>
                            <w:sz w:val="20"/>
                            <w:szCs w:val="20"/>
                          </w:rPr>
                          <w:t>公开08表</w:t>
                        </w:r>
                      </w:p>
                    </w:tc>
                  </w:tr>
                  <w:tr>
                    <w:tblPrEx>
                      <w:tblCellMar>
                        <w:top w:w="0" w:type="dxa"/>
                        <w:left w:w="108" w:type="dxa"/>
                        <w:bottom w:w="0" w:type="dxa"/>
                        <w:right w:w="108" w:type="dxa"/>
                      </w:tblCellMar>
                    </w:tblPrEx>
                    <w:trPr>
                      <w:gridAfter w:val="2"/>
                      <w:trHeight w:val="285" w:hRule="atLeast"/>
                    </w:trPr>
                    <w:tc>
                      <w:tcPr>
                        <w:tcW w:w="3440" w:type="dxa"/>
                        <w:tcBorders>
                          <w:top w:val="nil"/>
                          <w:left w:val="nil"/>
                          <w:bottom w:val="nil"/>
                          <w:right w:val="nil"/>
                        </w:tcBorders>
                        <w:shd w:val="clear" w:color="000000" w:fill="FFFFFF"/>
                        <w:noWrap/>
                        <w:vAlign w:val="center"/>
                      </w:tcPr>
                      <w:p>
                        <w:pPr>
                          <w:widowControl/>
                          <w:jc w:val="left"/>
                          <w:rPr>
                            <w:rFonts w:hint="eastAsia" w:ascii="宋体" w:hAnsi="宋体"/>
                            <w:color w:val="000000"/>
                            <w:kern w:val="0"/>
                            <w:sz w:val="20"/>
                            <w:szCs w:val="20"/>
                          </w:rPr>
                        </w:pPr>
                        <w:r>
                          <w:rPr>
                            <w:rFonts w:hint="eastAsia" w:ascii="宋体" w:hAnsi="宋体"/>
                            <w:color w:val="000000"/>
                            <w:kern w:val="0"/>
                            <w:sz w:val="20"/>
                            <w:szCs w:val="20"/>
                          </w:rPr>
                          <w:t>部门：信阳市平桥区政协办公室</w:t>
                        </w:r>
                        <w:r>
                          <w:rPr>
                            <w:rFonts w:hint="eastAsia" w:ascii="宋体" w:hAnsi="宋体"/>
                            <w:kern w:val="0"/>
                            <w:sz w:val="20"/>
                            <w:szCs w:val="20"/>
                          </w:rPr>
                          <w:t>　</w:t>
                        </w:r>
                      </w:p>
                    </w:tc>
                    <w:tc>
                      <w:tcPr>
                        <w:tcW w:w="2620" w:type="dxa"/>
                        <w:tcBorders>
                          <w:top w:val="nil"/>
                          <w:left w:val="nil"/>
                          <w:bottom w:val="nil"/>
                          <w:right w:val="nil"/>
                        </w:tcBorders>
                        <w:shd w:val="clear" w:color="000000" w:fill="FFFFFF"/>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2620" w:type="dxa"/>
                        <w:tcBorders>
                          <w:top w:val="nil"/>
                          <w:left w:val="nil"/>
                          <w:bottom w:val="nil"/>
                          <w:right w:val="nil"/>
                        </w:tcBorders>
                        <w:shd w:val="clear" w:color="000000" w:fill="FFFFFF"/>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3300" w:type="dxa"/>
                        <w:tcBorders>
                          <w:top w:val="nil"/>
                          <w:left w:val="nil"/>
                          <w:bottom w:val="nil"/>
                          <w:right w:val="nil"/>
                        </w:tcBorders>
                        <w:shd w:val="clear" w:color="000000" w:fill="FFFFFF"/>
                        <w:noWrap/>
                        <w:vAlign w:val="center"/>
                      </w:tcPr>
                      <w:p>
                        <w:pPr>
                          <w:widowControl/>
                          <w:jc w:val="left"/>
                          <w:rPr>
                            <w:rFonts w:hint="eastAsia" w:ascii="宋体" w:hAnsi="宋体"/>
                            <w:color w:val="000000"/>
                            <w:kern w:val="0"/>
                            <w:sz w:val="20"/>
                            <w:szCs w:val="20"/>
                          </w:rPr>
                        </w:pPr>
                        <w:r>
                          <w:rPr>
                            <w:rFonts w:hint="eastAsia" w:ascii="宋体" w:hAnsi="宋体"/>
                            <w:color w:val="000000"/>
                            <w:kern w:val="0"/>
                            <w:sz w:val="20"/>
                            <w:szCs w:val="20"/>
                          </w:rPr>
                          <w:t>单位：万元</w:t>
                        </w:r>
                      </w:p>
                    </w:tc>
                  </w:tr>
                  <w:tr>
                    <w:tblPrEx>
                      <w:tblCellMar>
                        <w:top w:w="0" w:type="dxa"/>
                        <w:left w:w="108" w:type="dxa"/>
                        <w:bottom w:w="0" w:type="dxa"/>
                        <w:right w:w="108" w:type="dxa"/>
                      </w:tblCellMar>
                    </w:tblPrEx>
                    <w:trPr>
                      <w:gridAfter w:val="4"/>
                      <w:trHeight w:val="402" w:hRule="atLeast"/>
                    </w:trPr>
                    <w:tc>
                      <w:tcPr>
                        <w:tcW w:w="3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xml:space="preserve">项 </w:t>
                        </w:r>
                        <w:r>
                          <w:rPr>
                            <w:rFonts w:hint="eastAsia" w:ascii="宋体" w:hAnsi="宋体"/>
                            <w:color w:val="000000"/>
                            <w:kern w:val="0"/>
                            <w:sz w:val="22"/>
                          </w:rPr>
                          <w:t xml:space="preserve">   </w:t>
                        </w:r>
                        <w:r>
                          <w:rPr>
                            <w:rFonts w:hint="eastAsia" w:ascii="宋体" w:hAnsi="宋体"/>
                            <w:kern w:val="0"/>
                            <w:sz w:val="24"/>
                            <w:szCs w:val="24"/>
                          </w:rPr>
                          <w:t>目</w:t>
                        </w:r>
                      </w:p>
                    </w:tc>
                    <w:tc>
                      <w:tcPr>
                        <w:tcW w:w="85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本年支出</w:t>
                        </w:r>
                      </w:p>
                    </w:tc>
                  </w:tr>
                  <w:tr>
                    <w:tblPrEx>
                      <w:tblCellMar>
                        <w:top w:w="0" w:type="dxa"/>
                        <w:left w:w="108" w:type="dxa"/>
                        <w:bottom w:w="0" w:type="dxa"/>
                        <w:right w:w="108" w:type="dxa"/>
                      </w:tblCellMar>
                    </w:tblPrEx>
                    <w:trPr>
                      <w:gridAfter w:val="1"/>
                      <w:trHeight w:val="402" w:hRule="atLeast"/>
                    </w:trPr>
                    <w:tc>
                      <w:tcPr>
                        <w:tcW w:w="16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科目代码</w:t>
                        </w:r>
                      </w:p>
                    </w:tc>
                    <w:tc>
                      <w:tcPr>
                        <w:tcW w:w="182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科目名称</w:t>
                        </w:r>
                      </w:p>
                    </w:tc>
                    <w:tc>
                      <w:tcPr>
                        <w:tcW w:w="262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合计</w:t>
                        </w:r>
                      </w:p>
                    </w:tc>
                    <w:tc>
                      <w:tcPr>
                        <w:tcW w:w="262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xml:space="preserve">基本支出  </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项目支出</w:t>
                        </w:r>
                      </w:p>
                    </w:tc>
                  </w:tr>
                  <w:tr>
                    <w:tblPrEx>
                      <w:tblCellMar>
                        <w:top w:w="0" w:type="dxa"/>
                        <w:left w:w="108" w:type="dxa"/>
                        <w:bottom w:w="0" w:type="dxa"/>
                        <w:right w:w="108" w:type="dxa"/>
                      </w:tblCellMar>
                    </w:tblPrEx>
                    <w:trPr>
                      <w:gridAfter w:val="1"/>
                      <w:trHeight w:val="402" w:hRule="atLeast"/>
                    </w:trPr>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18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2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2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3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r>
                  <w:tr>
                    <w:tblPrEx>
                      <w:tblCellMar>
                        <w:top w:w="0" w:type="dxa"/>
                        <w:left w:w="108" w:type="dxa"/>
                        <w:bottom w:w="0" w:type="dxa"/>
                        <w:right w:w="108" w:type="dxa"/>
                      </w:tblCellMar>
                    </w:tblPrEx>
                    <w:trPr>
                      <w:gridAfter w:val="1"/>
                      <w:trHeight w:val="402" w:hRule="atLeast"/>
                    </w:trPr>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18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2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2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c>
                      <w:tcPr>
                        <w:tcW w:w="33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24"/>
                            <w:szCs w:val="24"/>
                          </w:rPr>
                        </w:pPr>
                      </w:p>
                    </w:tc>
                  </w:tr>
                  <w:tr>
                    <w:tblPrEx>
                      <w:tblCellMar>
                        <w:top w:w="0" w:type="dxa"/>
                        <w:left w:w="108" w:type="dxa"/>
                        <w:bottom w:w="0" w:type="dxa"/>
                        <w:right w:w="108" w:type="dxa"/>
                      </w:tblCellMar>
                    </w:tblPrEx>
                    <w:trPr>
                      <w:gridAfter w:val="2"/>
                      <w:trHeight w:val="402" w:hRule="atLeast"/>
                    </w:trPr>
                    <w:tc>
                      <w:tcPr>
                        <w:tcW w:w="3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栏次</w:t>
                        </w:r>
                      </w:p>
                    </w:tc>
                    <w:tc>
                      <w:tcPr>
                        <w:tcW w:w="262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1</w:t>
                        </w:r>
                      </w:p>
                    </w:tc>
                    <w:tc>
                      <w:tcPr>
                        <w:tcW w:w="262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2</w:t>
                        </w:r>
                      </w:p>
                    </w:tc>
                    <w:tc>
                      <w:tcPr>
                        <w:tcW w:w="330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3</w:t>
                        </w:r>
                      </w:p>
                    </w:tc>
                  </w:tr>
                  <w:tr>
                    <w:tblPrEx>
                      <w:tblCellMar>
                        <w:top w:w="0" w:type="dxa"/>
                        <w:left w:w="108" w:type="dxa"/>
                        <w:bottom w:w="0" w:type="dxa"/>
                        <w:right w:w="108" w:type="dxa"/>
                      </w:tblCellMar>
                    </w:tblPrEx>
                    <w:trPr>
                      <w:gridAfter w:val="2"/>
                      <w:trHeight w:val="402" w:hRule="atLeast"/>
                    </w:trPr>
                    <w:tc>
                      <w:tcPr>
                        <w:tcW w:w="3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合计</w:t>
                        </w:r>
                      </w:p>
                    </w:tc>
                    <w:tc>
                      <w:tcPr>
                        <w:tcW w:w="262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0"/>
                            <w:szCs w:val="20"/>
                          </w:rPr>
                        </w:pPr>
                        <w:r>
                          <w:rPr>
                            <w:rFonts w:hint="eastAsia" w:ascii="宋体" w:hAnsi="宋体"/>
                            <w:kern w:val="0"/>
                            <w:sz w:val="20"/>
                            <w:szCs w:val="20"/>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1"/>
                      <w:trHeight w:val="402" w:hRule="atLeast"/>
                    </w:trPr>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24"/>
                            <w:szCs w:val="24"/>
                          </w:rPr>
                        </w:pPr>
                        <w:r>
                          <w:rPr>
                            <w:rFonts w:hint="eastAsia" w:ascii="宋体" w:hAnsi="宋体"/>
                            <w:kern w:val="0"/>
                            <w:sz w:val="24"/>
                            <w:szCs w:val="24"/>
                          </w:rPr>
                          <w:t>　</w:t>
                        </w:r>
                      </w:p>
                    </w:tc>
                    <w:tc>
                      <w:tcPr>
                        <w:tcW w:w="18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262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c>
                      <w:tcPr>
                        <w:tcW w:w="3300" w:type="dxa"/>
                        <w:tcBorders>
                          <w:top w:val="nil"/>
                          <w:left w:val="nil"/>
                          <w:bottom w:val="single" w:color="auto" w:sz="4" w:space="0"/>
                          <w:right w:val="single" w:color="auto" w:sz="4" w:space="0"/>
                        </w:tcBorders>
                        <w:vAlign w:val="center"/>
                      </w:tcPr>
                      <w:p>
                        <w:pPr>
                          <w:widowControl/>
                          <w:jc w:val="left"/>
                          <w:rPr>
                            <w:rFonts w:hint="eastAsia" w:ascii="宋体" w:hAnsi="宋体"/>
                            <w:kern w:val="0"/>
                            <w:sz w:val="24"/>
                            <w:szCs w:val="24"/>
                          </w:rPr>
                        </w:pPr>
                        <w:r>
                          <w:rPr>
                            <w:rFonts w:hint="eastAsia" w:ascii="宋体" w:hAnsi="宋体"/>
                            <w:kern w:val="0"/>
                            <w:sz w:val="24"/>
                            <w:szCs w:val="24"/>
                          </w:rPr>
                          <w:t>　</w:t>
                        </w:r>
                      </w:p>
                    </w:tc>
                  </w:tr>
                  <w:tr>
                    <w:tblPrEx>
                      <w:tblCellMar>
                        <w:top w:w="0" w:type="dxa"/>
                        <w:left w:w="108" w:type="dxa"/>
                        <w:bottom w:w="0" w:type="dxa"/>
                        <w:right w:w="108" w:type="dxa"/>
                      </w:tblCellMar>
                    </w:tblPrEx>
                    <w:trPr>
                      <w:gridAfter w:val="5"/>
                      <w:trHeight w:val="720" w:hRule="atLeast"/>
                    </w:trPr>
                    <w:tc>
                      <w:tcPr>
                        <w:tcW w:w="11980" w:type="dxa"/>
                        <w:tcBorders>
                          <w:top w:val="nil"/>
                          <w:left w:val="nil"/>
                          <w:bottom w:val="nil"/>
                          <w:right w:val="nil"/>
                        </w:tcBorders>
                        <w:vAlign w:val="center"/>
                      </w:tcPr>
                      <w:p>
                        <w:pPr>
                          <w:widowControl/>
                          <w:jc w:val="left"/>
                          <w:rPr>
                            <w:rFonts w:hint="eastAsia" w:ascii="宋体" w:hAnsi="宋体"/>
                            <w:kern w:val="0"/>
                            <w:sz w:val="24"/>
                            <w:szCs w:val="24"/>
                          </w:rPr>
                        </w:pPr>
                        <w:r>
                          <w:rPr>
                            <w:rFonts w:hint="eastAsia" w:ascii="宋体" w:hAnsi="宋体"/>
                            <w:kern w:val="0"/>
                            <w:sz w:val="24"/>
                            <w:szCs w:val="24"/>
                          </w:rPr>
                          <w:t>注：本表反映部门本年度国有资本经营预算财政拨款支出情况。</w:t>
                        </w:r>
                      </w:p>
                    </w:tc>
                  </w:tr>
                  <w:tr>
                    <w:tblPrEx>
                      <w:tblCellMar>
                        <w:top w:w="0" w:type="dxa"/>
                        <w:left w:w="108" w:type="dxa"/>
                        <w:bottom w:w="0" w:type="dxa"/>
                        <w:right w:w="108" w:type="dxa"/>
                      </w:tblCellMar>
                    </w:tblPrEx>
                    <w:trPr>
                      <w:gridAfter w:val="5"/>
                      <w:trHeight w:val="285" w:hRule="atLeast"/>
                    </w:trPr>
                    <w:tc>
                      <w:tcPr>
                        <w:tcW w:w="11980" w:type="dxa"/>
                        <w:tcBorders>
                          <w:top w:val="nil"/>
                          <w:left w:val="nil"/>
                          <w:bottom w:val="nil"/>
                          <w:right w:val="nil"/>
                        </w:tcBorders>
                        <w:vAlign w:val="center"/>
                      </w:tcPr>
                      <w:p>
                        <w:pPr>
                          <w:widowControl/>
                          <w:jc w:val="left"/>
                          <w:rPr>
                            <w:rFonts w:hint="eastAsia" w:ascii="宋体" w:hAnsi="宋体"/>
                            <w:bCs/>
                            <w:kern w:val="0"/>
                            <w:sz w:val="24"/>
                            <w:szCs w:val="24"/>
                          </w:rPr>
                        </w:pPr>
                        <w:r>
                          <w:rPr>
                            <w:rFonts w:hint="eastAsia" w:ascii="宋体" w:hAnsi="宋体"/>
                            <w:bCs/>
                            <w:kern w:val="0"/>
                            <w:sz w:val="24"/>
                            <w:szCs w:val="24"/>
                          </w:rPr>
                          <w:t>说明：我部门没有使用国有资本经营预算安排的支出，故本表无数据。</w:t>
                        </w:r>
                      </w:p>
                    </w:tc>
                  </w:tr>
                </w:tbl>
                <w:p>
                  <w:pPr>
                    <w:widowControl/>
                    <w:jc w:val="center"/>
                    <w:rPr>
                      <w:rFonts w:ascii="宋体" w:hAnsi="宋体"/>
                      <w:color w:val="000000"/>
                      <w:sz w:val="20"/>
                      <w:szCs w:val="20"/>
                    </w:rPr>
                  </w:pPr>
                </w:p>
                <w:p>
                  <w:pPr>
                    <w:widowControl/>
                    <w:jc w:val="center"/>
                    <w:rPr>
                      <w:rFonts w:ascii="宋体" w:hAnsi="宋体"/>
                      <w:color w:val="000000"/>
                      <w:sz w:val="20"/>
                      <w:szCs w:val="20"/>
                    </w:rPr>
                  </w:pPr>
                </w:p>
                <w:p>
                  <w:pPr>
                    <w:widowControl/>
                    <w:jc w:val="center"/>
                    <w:rPr>
                      <w:rFonts w:hint="eastAsia" w:ascii="宋体" w:hAnsi="宋体"/>
                      <w:color w:val="000000"/>
                      <w:sz w:val="20"/>
                      <w:szCs w:val="20"/>
                    </w:rPr>
                  </w:pPr>
                </w:p>
                <w:tbl>
                  <w:tblPr>
                    <w:tblStyle w:val="2"/>
                    <w:tblW w:w="0" w:type="auto"/>
                    <w:tblInd w:w="0" w:type="dxa"/>
                    <w:tblLayout w:type="fixed"/>
                    <w:tblCellMar>
                      <w:top w:w="15" w:type="dxa"/>
                      <w:left w:w="15" w:type="dxa"/>
                      <w:bottom w:w="0" w:type="dxa"/>
                      <w:right w:w="15" w:type="dxa"/>
                    </w:tblCellMar>
                  </w:tblPr>
                  <w:tblGrid>
                    <w:gridCol w:w="13807"/>
                    <w:gridCol w:w="360"/>
                    <w:gridCol w:w="360"/>
                    <w:gridCol w:w="360"/>
                    <w:gridCol w:w="360"/>
                    <w:gridCol w:w="360"/>
                    <w:gridCol w:w="360"/>
                    <w:gridCol w:w="360"/>
                    <w:gridCol w:w="360"/>
                    <w:gridCol w:w="360"/>
                    <w:gridCol w:w="360"/>
                    <w:gridCol w:w="360"/>
                  </w:tblGrid>
                  <w:tr>
                    <w:tblPrEx>
                      <w:tblCellMar>
                        <w:top w:w="15" w:type="dxa"/>
                        <w:left w:w="15" w:type="dxa"/>
                        <w:bottom w:w="0" w:type="dxa"/>
                        <w:right w:w="15" w:type="dxa"/>
                      </w:tblCellMar>
                    </w:tblPrEx>
                    <w:trPr>
                      <w:gridAfter w:val="11"/>
                      <w:trHeight w:val="600" w:hRule="atLeast"/>
                    </w:trPr>
                    <w:tc>
                      <w:tcPr>
                        <w:tcW w:w="13807" w:type="dxa"/>
                        <w:tcBorders>
                          <w:top w:val="nil"/>
                          <w:left w:val="nil"/>
                          <w:bottom w:val="nil"/>
                          <w:right w:val="nil"/>
                        </w:tcBorders>
                        <w:shd w:val="clear" w:color="auto" w:fill="FFFFFF"/>
                        <w:tcMar>
                          <w:top w:w="15" w:type="dxa"/>
                          <w:left w:w="15" w:type="dxa"/>
                          <w:right w:w="15" w:type="dxa"/>
                        </w:tcMar>
                        <w:vAlign w:val="center"/>
                      </w:tcPr>
                      <w:p>
                        <w:pPr>
                          <w:widowControl/>
                          <w:jc w:val="center"/>
                          <w:rPr>
                            <w:rFonts w:hint="eastAsia" w:ascii="华文中宋" w:hAnsi="华文中宋" w:eastAsia="华文中宋"/>
                            <w:color w:val="000000"/>
                            <w:kern w:val="0"/>
                            <w:sz w:val="32"/>
                            <w:szCs w:val="32"/>
                            <w:lang w:bidi="ar"/>
                          </w:rPr>
                        </w:pPr>
                        <w:r>
                          <w:rPr>
                            <w:rFonts w:hint="eastAsia" w:ascii="华文中宋" w:hAnsi="华文中宋" w:eastAsia="华文中宋"/>
                            <w:color w:val="000000"/>
                            <w:kern w:val="0"/>
                            <w:sz w:val="32"/>
                            <w:szCs w:val="32"/>
                            <w:lang w:bidi="ar"/>
                          </w:rPr>
                          <w:t>一般公共预算财政拨款“三公”经费支出决算表</w:t>
                        </w:r>
                      </w:p>
                    </w:tc>
                  </w:tr>
                  <w:tr>
                    <w:tblPrEx>
                      <w:tblCellMar>
                        <w:top w:w="15" w:type="dxa"/>
                        <w:left w:w="15" w:type="dxa"/>
                        <w:bottom w:w="0" w:type="dxa"/>
                        <w:right w:w="15" w:type="dxa"/>
                      </w:tblCellMar>
                    </w:tblPrEx>
                    <w:trPr>
                      <w:trHeight w:val="222" w:hRule="atLeast"/>
                    </w:trPr>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49"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公开0</w:t>
                        </w:r>
                        <w:r>
                          <w:rPr>
                            <w:rFonts w:ascii="宋体" w:hAnsi="宋体"/>
                            <w:color w:val="000000"/>
                            <w:kern w:val="0"/>
                            <w:sz w:val="20"/>
                            <w:szCs w:val="20"/>
                            <w:lang w:bidi="ar"/>
                          </w:rPr>
                          <w:t>9</w:t>
                        </w:r>
                        <w:r>
                          <w:rPr>
                            <w:rFonts w:hint="eastAsia" w:ascii="宋体" w:hAnsi="宋体"/>
                            <w:color w:val="000000"/>
                            <w:kern w:val="0"/>
                            <w:sz w:val="20"/>
                            <w:szCs w:val="20"/>
                            <w:lang w:bidi="ar"/>
                          </w:rPr>
                          <w:t>表</w:t>
                        </w:r>
                      </w:p>
                    </w:tc>
                  </w:tr>
                  <w:tr>
                    <w:tblPrEx>
                      <w:tblCellMar>
                        <w:top w:w="15" w:type="dxa"/>
                        <w:left w:w="15" w:type="dxa"/>
                        <w:bottom w:w="0" w:type="dxa"/>
                        <w:right w:w="15" w:type="dxa"/>
                      </w:tblCellMar>
                    </w:tblPrEx>
                    <w:trPr>
                      <w:gridAfter w:val="2"/>
                      <w:trHeight w:val="300" w:hRule="atLeast"/>
                    </w:trPr>
                    <w:tc>
                      <w:tcPr>
                        <w:tcW w:w="3450" w:type="dxa"/>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olor w:val="000000"/>
                            <w:kern w:val="0"/>
                            <w:sz w:val="20"/>
                            <w:szCs w:val="20"/>
                            <w:lang w:bidi="ar"/>
                          </w:rPr>
                        </w:pPr>
                        <w:r>
                          <w:rPr>
                            <w:rFonts w:hint="eastAsia" w:ascii="宋体" w:hAnsi="宋体"/>
                            <w:color w:val="000000"/>
                            <w:kern w:val="0"/>
                            <w:sz w:val="20"/>
                            <w:szCs w:val="20"/>
                            <w:lang w:bidi="ar"/>
                          </w:rPr>
                          <w:t>部门：信阳市平桥区政协办公室</w:t>
                        </w:r>
                      </w:p>
                    </w:tc>
                    <w:tc>
                      <w:tcPr>
                        <w:tcW w:w="1150"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0"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single" w:color="00000B" w:sz="8" w:space="0"/>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hint="eastAsia" w:ascii="宋体" w:hAnsi="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单位：万元</w:t>
                        </w:r>
                      </w:p>
                    </w:tc>
                  </w:tr>
                  <w:tr>
                    <w:tblPrEx>
                      <w:tblCellMar>
                        <w:top w:w="15" w:type="dxa"/>
                        <w:left w:w="15" w:type="dxa"/>
                        <w:bottom w:w="0" w:type="dxa"/>
                        <w:right w:w="15" w:type="dxa"/>
                      </w:tblCellMar>
                    </w:tblPrEx>
                    <w:trPr>
                      <w:gridAfter w:val="10"/>
                      <w:trHeight w:val="559" w:hRule="atLeast"/>
                    </w:trPr>
                    <w:tc>
                      <w:tcPr>
                        <w:tcW w:w="6901" w:type="dxa"/>
                        <w:tcBorders>
                          <w:top w:val="single" w:color="00000B" w:sz="8"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预算数</w:t>
                        </w:r>
                      </w:p>
                    </w:tc>
                    <w:tc>
                      <w:tcPr>
                        <w:tcW w:w="6906" w:type="dxa"/>
                        <w:tcBorders>
                          <w:top w:val="single" w:color="00000B" w:sz="8"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决算数</w:t>
                        </w:r>
                      </w:p>
                    </w:tc>
                  </w:tr>
                  <w:tr>
                    <w:tblPrEx>
                      <w:tblCellMar>
                        <w:top w:w="15" w:type="dxa"/>
                        <w:left w:w="15" w:type="dxa"/>
                        <w:bottom w:w="0" w:type="dxa"/>
                        <w:right w:w="15" w:type="dxa"/>
                      </w:tblCellMar>
                    </w:tblPrEx>
                    <w:trPr>
                      <w:gridAfter w:val="4"/>
                      <w:trHeight w:val="600" w:hRule="atLeast"/>
                    </w:trPr>
                    <w:tc>
                      <w:tcPr>
                        <w:tcW w:w="1151" w:type="dxa"/>
                        <w:vMerge w:val="restart"/>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149" w:type="dxa"/>
                        <w:vMerge w:val="restart"/>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因公出国（境）费</w:t>
                        </w:r>
                      </w:p>
                    </w:tc>
                    <w:tc>
                      <w:tcPr>
                        <w:tcW w:w="34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公务用车购置及运行维护费</w:t>
                        </w:r>
                      </w:p>
                    </w:tc>
                    <w:tc>
                      <w:tcPr>
                        <w:tcW w:w="1150" w:type="dxa"/>
                        <w:vMerge w:val="restart"/>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公务接待费</w:t>
                        </w:r>
                      </w:p>
                    </w:tc>
                    <w:tc>
                      <w:tcPr>
                        <w:tcW w:w="1151" w:type="dxa"/>
                        <w:vMerge w:val="restart"/>
                        <w:tcBorders>
                          <w:top w:val="single" w:color="00000B" w:sz="4" w:space="0"/>
                          <w:left w:val="nil"/>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合计</w:t>
                        </w:r>
                      </w:p>
                    </w:tc>
                    <w:tc>
                      <w:tcPr>
                        <w:tcW w:w="1151" w:type="dxa"/>
                        <w:vMerge w:val="restart"/>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因公出国（境）费</w:t>
                        </w:r>
                      </w:p>
                    </w:tc>
                    <w:tc>
                      <w:tcPr>
                        <w:tcW w:w="3453"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公务用车购置及运行维护费</w:t>
                        </w:r>
                      </w:p>
                    </w:tc>
                    <w:tc>
                      <w:tcPr>
                        <w:tcW w:w="1151" w:type="dxa"/>
                        <w:vMerge w:val="restart"/>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公务接待费</w:t>
                        </w:r>
                      </w:p>
                    </w:tc>
                  </w:tr>
                  <w:tr>
                    <w:tblPrEx>
                      <w:tblCellMar>
                        <w:top w:w="15" w:type="dxa"/>
                        <w:left w:w="15" w:type="dxa"/>
                        <w:bottom w:w="0" w:type="dxa"/>
                        <w:right w:w="15" w:type="dxa"/>
                      </w:tblCellMar>
                    </w:tblPrEx>
                    <w:trPr>
                      <w:trHeight w:val="600" w:hRule="atLeast"/>
                    </w:trPr>
                    <w:tc>
                      <w:tcPr>
                        <w:tcW w:w="1151" w:type="dxa"/>
                        <w:vMerge w:val="continue"/>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149"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150"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小计</w:t>
                        </w:r>
                      </w:p>
                    </w:tc>
                    <w:tc>
                      <w:tcPr>
                        <w:tcW w:w="1150"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w:t>
                        </w:r>
                        <w:r>
                          <w:rPr>
                            <w:rFonts w:hint="eastAsia" w:ascii="宋体" w:hAnsi="宋体"/>
                            <w:color w:val="000000"/>
                            <w:kern w:val="0"/>
                            <w:sz w:val="20"/>
                            <w:szCs w:val="20"/>
                            <w:lang w:bidi="ar"/>
                          </w:rPr>
                          <w:br w:type="textWrapping"/>
                        </w:r>
                        <w:r>
                          <w:rPr>
                            <w:rFonts w:hint="eastAsia" w:ascii="宋体" w:hAnsi="宋体"/>
                            <w:color w:val="000000"/>
                            <w:kern w:val="0"/>
                            <w:sz w:val="20"/>
                            <w:szCs w:val="20"/>
                            <w:lang w:bidi="ar"/>
                          </w:rPr>
                          <w:t>购置费</w:t>
                        </w:r>
                      </w:p>
                    </w:tc>
                    <w:tc>
                      <w:tcPr>
                        <w:tcW w:w="1151"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w:t>
                        </w:r>
                        <w:r>
                          <w:rPr>
                            <w:rFonts w:hint="eastAsia" w:ascii="宋体" w:hAnsi="宋体"/>
                            <w:color w:val="000000"/>
                            <w:kern w:val="0"/>
                            <w:sz w:val="20"/>
                            <w:szCs w:val="20"/>
                            <w:lang w:bidi="ar"/>
                          </w:rPr>
                          <w:br w:type="textWrapping"/>
                        </w:r>
                        <w:r>
                          <w:rPr>
                            <w:rFonts w:hint="eastAsia" w:ascii="宋体" w:hAnsi="宋体"/>
                            <w:color w:val="000000"/>
                            <w:kern w:val="0"/>
                            <w:sz w:val="20"/>
                            <w:szCs w:val="20"/>
                            <w:lang w:bidi="ar"/>
                          </w:rPr>
                          <w:t>运行维护费</w:t>
                        </w:r>
                      </w:p>
                    </w:tc>
                    <w:tc>
                      <w:tcPr>
                        <w:tcW w:w="1150"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151" w:type="dxa"/>
                        <w:vMerge w:val="continue"/>
                        <w:tcBorders>
                          <w:top w:val="single" w:color="00000B" w:sz="4" w:space="0"/>
                          <w:left w:val="nil"/>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151" w:type="dxa"/>
                        <w:vMerge w:val="continue"/>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jc w:val="center"/>
                          <w:rPr>
                            <w:rFonts w:hint="eastAsia" w:ascii="宋体" w:hAnsi="宋体"/>
                            <w:color w:val="000000"/>
                            <w:sz w:val="20"/>
                            <w:szCs w:val="20"/>
                          </w:rPr>
                        </w:pPr>
                      </w:p>
                    </w:tc>
                    <w:tc>
                      <w:tcPr>
                        <w:tcW w:w="1151"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小计</w:t>
                        </w:r>
                      </w:p>
                    </w:tc>
                    <w:tc>
                      <w:tcPr>
                        <w:tcW w:w="1151"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w:t>
                        </w:r>
                        <w:r>
                          <w:rPr>
                            <w:rFonts w:hint="eastAsia" w:ascii="宋体" w:hAnsi="宋体"/>
                            <w:color w:val="000000"/>
                            <w:kern w:val="0"/>
                            <w:sz w:val="20"/>
                            <w:szCs w:val="20"/>
                            <w:lang w:bidi="ar"/>
                          </w:rPr>
                          <w:br w:type="textWrapping"/>
                        </w:r>
                        <w:r>
                          <w:rPr>
                            <w:rFonts w:hint="eastAsia" w:ascii="宋体" w:hAnsi="宋体"/>
                            <w:color w:val="000000"/>
                            <w:kern w:val="0"/>
                            <w:sz w:val="20"/>
                            <w:szCs w:val="20"/>
                            <w:lang w:bidi="ar"/>
                          </w:rPr>
                          <w:t>购置费</w:t>
                        </w:r>
                      </w:p>
                    </w:tc>
                    <w:tc>
                      <w:tcPr>
                        <w:tcW w:w="1151" w:type="dxa"/>
                        <w:tcBorders>
                          <w:top w:val="nil"/>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公务用车</w:t>
                        </w:r>
                        <w:r>
                          <w:rPr>
                            <w:rFonts w:hint="eastAsia" w:ascii="宋体" w:hAnsi="宋体"/>
                            <w:color w:val="000000"/>
                            <w:kern w:val="0"/>
                            <w:sz w:val="20"/>
                            <w:szCs w:val="20"/>
                            <w:lang w:bidi="ar"/>
                          </w:rPr>
                          <w:br w:type="textWrapping"/>
                        </w:r>
                        <w:r>
                          <w:rPr>
                            <w:rFonts w:hint="eastAsia" w:ascii="宋体" w:hAnsi="宋体"/>
                            <w:color w:val="000000"/>
                            <w:kern w:val="0"/>
                            <w:sz w:val="20"/>
                            <w:szCs w:val="20"/>
                            <w:lang w:bidi="ar"/>
                          </w:rPr>
                          <w:t>运行维护费</w:t>
                        </w:r>
                      </w:p>
                    </w:tc>
                    <w:tc>
                      <w:tcPr>
                        <w:tcW w:w="1151" w:type="dxa"/>
                        <w:vMerge w:val="continue"/>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jc w:val="center"/>
                          <w:rPr>
                            <w:rFonts w:hint="eastAsia" w:ascii="宋体" w:hAnsi="宋体"/>
                            <w:color w:val="000000"/>
                            <w:sz w:val="20"/>
                            <w:szCs w:val="20"/>
                          </w:rPr>
                        </w:pPr>
                      </w:p>
                    </w:tc>
                  </w:tr>
                  <w:tr>
                    <w:tblPrEx>
                      <w:tblCellMar>
                        <w:top w:w="15" w:type="dxa"/>
                        <w:left w:w="15" w:type="dxa"/>
                        <w:bottom w:w="0" w:type="dxa"/>
                        <w:right w:w="15" w:type="dxa"/>
                      </w:tblCellMar>
                    </w:tblPrEx>
                    <w:trPr>
                      <w:trHeight w:val="559" w:hRule="atLeast"/>
                    </w:trPr>
                    <w:tc>
                      <w:tcPr>
                        <w:tcW w:w="1151" w:type="dxa"/>
                        <w:tcBorders>
                          <w:top w:val="single" w:color="00000B" w:sz="4" w:space="0"/>
                          <w:left w:val="single" w:color="00000B" w:sz="8"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w:t>
                        </w:r>
                      </w:p>
                    </w:tc>
                    <w:tc>
                      <w:tcPr>
                        <w:tcW w:w="1149"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2</w:t>
                        </w:r>
                      </w:p>
                    </w:tc>
                    <w:tc>
                      <w:tcPr>
                        <w:tcW w:w="1150"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3</w:t>
                        </w:r>
                      </w:p>
                    </w:tc>
                    <w:tc>
                      <w:tcPr>
                        <w:tcW w:w="1150"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4</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5</w:t>
                        </w:r>
                      </w:p>
                    </w:tc>
                    <w:tc>
                      <w:tcPr>
                        <w:tcW w:w="1150"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6</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7</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8</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9</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10</w:t>
                        </w:r>
                      </w:p>
                    </w:tc>
                    <w:tc>
                      <w:tcPr>
                        <w:tcW w:w="1151" w:type="dxa"/>
                        <w:tcBorders>
                          <w:top w:val="single" w:color="00000B" w:sz="4" w:space="0"/>
                          <w:left w:val="single" w:color="00000B" w:sz="4" w:space="0"/>
                          <w:bottom w:val="single" w:color="00000B" w:sz="4" w:space="0"/>
                          <w:right w:val="single" w:color="00000B" w:sz="4"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11</w:t>
                        </w:r>
                      </w:p>
                    </w:tc>
                    <w:tc>
                      <w:tcPr>
                        <w:tcW w:w="1151" w:type="dxa"/>
                        <w:tcBorders>
                          <w:top w:val="single" w:color="00000B" w:sz="4" w:space="0"/>
                          <w:left w:val="single" w:color="00000B" w:sz="4" w:space="0"/>
                          <w:bottom w:val="single" w:color="00000B" w:sz="4" w:space="0"/>
                          <w:right w:val="single" w:color="00000B" w:sz="8" w:space="0"/>
                        </w:tcBorders>
                        <w:tcMar>
                          <w:top w:w="15" w:type="dxa"/>
                          <w:left w:w="15" w:type="dxa"/>
                          <w:right w:w="15" w:type="dxa"/>
                        </w:tcMar>
                        <w:vAlign w:val="center"/>
                      </w:tcPr>
                      <w:p>
                        <w:pPr>
                          <w:widowControl/>
                          <w:jc w:val="center"/>
                          <w:rPr>
                            <w:rFonts w:hint="eastAsia" w:ascii="宋体" w:hAnsi="宋体"/>
                            <w:color w:val="000000"/>
                            <w:kern w:val="0"/>
                            <w:sz w:val="20"/>
                            <w:szCs w:val="20"/>
                            <w:lang w:bidi="ar"/>
                          </w:rPr>
                        </w:pPr>
                        <w:r>
                          <w:rPr>
                            <w:rFonts w:hint="eastAsia" w:ascii="宋体" w:hAnsi="宋体"/>
                            <w:color w:val="000000"/>
                            <w:kern w:val="0"/>
                            <w:sz w:val="20"/>
                            <w:szCs w:val="20"/>
                            <w:lang w:bidi="ar"/>
                          </w:rPr>
                          <w:t>12</w:t>
                        </w:r>
                      </w:p>
                    </w:tc>
                  </w:tr>
                  <w:tr>
                    <w:tblPrEx>
                      <w:tblCellMar>
                        <w:top w:w="15" w:type="dxa"/>
                        <w:left w:w="15" w:type="dxa"/>
                        <w:bottom w:w="0" w:type="dxa"/>
                        <w:right w:w="15" w:type="dxa"/>
                      </w:tblCellMar>
                    </w:tblPrEx>
                    <w:trPr>
                      <w:trHeight w:val="855" w:hRule="atLeast"/>
                    </w:trPr>
                    <w:tc>
                      <w:tcPr>
                        <w:tcW w:w="1151" w:type="dxa"/>
                        <w:tcBorders>
                          <w:top w:val="single" w:color="00000B" w:sz="4" w:space="0"/>
                          <w:left w:val="single" w:color="00000B" w:sz="8"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49"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0"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0"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0"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4" w:space="0"/>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nil"/>
                        </w:tcBorders>
                        <w:tcMar>
                          <w:top w:w="15" w:type="dxa"/>
                          <w:left w:w="15" w:type="dxa"/>
                          <w:right w:w="15" w:type="dxa"/>
                        </w:tcMar>
                        <w:vAlign w:val="center"/>
                      </w:tcPr>
                      <w:p>
                        <w:pPr>
                          <w:rPr>
                            <w:rFonts w:hint="eastAsia" w:ascii="宋体" w:hAnsi="宋体"/>
                            <w:color w:val="000000"/>
                            <w:sz w:val="20"/>
                            <w:szCs w:val="20"/>
                          </w:rPr>
                        </w:pPr>
                      </w:p>
                    </w:tc>
                    <w:tc>
                      <w:tcPr>
                        <w:tcW w:w="1151" w:type="dxa"/>
                        <w:tcBorders>
                          <w:top w:val="single" w:color="00000B" w:sz="4" w:space="0"/>
                          <w:left w:val="single" w:color="00000B" w:sz="4" w:space="0"/>
                          <w:bottom w:val="single" w:color="00000B" w:sz="8" w:space="0"/>
                          <w:right w:val="single" w:color="00000B" w:sz="8" w:space="0"/>
                        </w:tcBorders>
                        <w:tcMar>
                          <w:top w:w="15" w:type="dxa"/>
                          <w:left w:w="15" w:type="dxa"/>
                          <w:right w:w="15" w:type="dxa"/>
                        </w:tcMar>
                        <w:vAlign w:val="center"/>
                      </w:tcPr>
                      <w:p>
                        <w:pPr>
                          <w:rPr>
                            <w:rFonts w:hint="eastAsia" w:ascii="宋体" w:hAnsi="宋体"/>
                            <w:color w:val="000000"/>
                            <w:sz w:val="20"/>
                            <w:szCs w:val="20"/>
                          </w:rPr>
                        </w:pPr>
                      </w:p>
                    </w:tc>
                  </w:tr>
                  <w:tr>
                    <w:tblPrEx>
                      <w:tblCellMar>
                        <w:top w:w="15" w:type="dxa"/>
                        <w:left w:w="15" w:type="dxa"/>
                        <w:bottom w:w="0" w:type="dxa"/>
                        <w:right w:w="15" w:type="dxa"/>
                      </w:tblCellMar>
                    </w:tblPrEx>
                    <w:trPr>
                      <w:gridAfter w:val="11"/>
                      <w:trHeight w:val="900" w:hRule="atLeast"/>
                    </w:trPr>
                    <w:tc>
                      <w:tcPr>
                        <w:tcW w:w="13807" w:type="dxa"/>
                        <w:tcBorders>
                          <w:top w:val="single" w:color="00000B" w:sz="8" w:space="0"/>
                          <w:left w:val="nil"/>
                          <w:bottom w:val="nil"/>
                          <w:right w:val="nil"/>
                        </w:tcBorders>
                        <w:tcMar>
                          <w:top w:w="15" w:type="dxa"/>
                          <w:left w:w="15" w:type="dxa"/>
                          <w:right w:w="15" w:type="dxa"/>
                        </w:tcMar>
                        <w:vAlign w:val="center"/>
                      </w:tcPr>
                      <w:p>
                        <w:pPr>
                          <w:widowControl/>
                          <w:jc w:val="left"/>
                          <w:rPr>
                            <w:rFonts w:hint="eastAsia" w:ascii="宋体" w:hAnsi="宋体"/>
                            <w:color w:val="000000"/>
                            <w:kern w:val="0"/>
                            <w:sz w:val="20"/>
                            <w:szCs w:val="20"/>
                            <w:lang w:bidi="ar"/>
                          </w:rPr>
                        </w:pPr>
                        <w:r>
                          <w:rPr>
                            <w:rFonts w:hint="eastAsia" w:ascii="宋体" w:hAnsi="宋体"/>
                            <w:color w:val="000000"/>
                            <w:kern w:val="0"/>
                            <w:sz w:val="20"/>
                            <w:szCs w:val="20"/>
                            <w:lang w:bidi="ar"/>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本表金额转换为万元时，因四舍五入可能存在尾差。</w:t>
                        </w:r>
                      </w:p>
                    </w:tc>
                  </w:tr>
                </w:tbl>
                <w:p>
                  <w:pPr>
                    <w:widowControl/>
                    <w:jc w:val="center"/>
                    <w:rPr>
                      <w:rFonts w:ascii="宋体" w:hAnsi="宋体"/>
                      <w:color w:val="000000"/>
                      <w:sz w:val="20"/>
                      <w:szCs w:val="20"/>
                    </w:rPr>
                  </w:pPr>
                </w:p>
                <w:p>
                  <w:pPr>
                    <w:widowControl/>
                    <w:jc w:val="center"/>
                    <w:rPr>
                      <w:rFonts w:ascii="宋体" w:hAnsi="宋体"/>
                      <w:color w:val="000000"/>
                      <w:sz w:val="20"/>
                      <w:szCs w:val="20"/>
                    </w:rPr>
                  </w:pPr>
                </w:p>
                <w:p>
                  <w:pPr>
                    <w:widowControl/>
                    <w:jc w:val="center"/>
                    <w:rPr>
                      <w:rFonts w:hint="eastAsia" w:ascii="宋体" w:hAnsi="宋体"/>
                      <w:color w:val="000000"/>
                      <w:sz w:val="20"/>
                      <w:szCs w:val="20"/>
                    </w:rPr>
                  </w:pPr>
                </w:p>
              </w:tc>
            </w:tr>
          </w:tbl>
          <w:p>
            <w:pPr>
              <w:widowControl/>
              <w:jc w:val="left"/>
              <w:rPr>
                <w:rFonts w:hint="eastAsia" w:ascii="宋体" w:hAnsi="宋体"/>
                <w:color w:val="000000"/>
                <w:kern w:val="0"/>
                <w:sz w:val="20"/>
                <w:szCs w:val="20"/>
                <w:lang w:bidi="ar"/>
              </w:rPr>
            </w:pPr>
          </w:p>
          <w:p>
            <w:pPr>
              <w:widowControl/>
              <w:jc w:val="left"/>
              <w:rPr>
                <w:rFonts w:hint="eastAsia" w:ascii="宋体" w:hAnsi="宋体"/>
                <w:color w:val="000000"/>
                <w:sz w:val="20"/>
                <w:szCs w:val="20"/>
              </w:rPr>
            </w:pPr>
          </w:p>
        </w:tc>
      </w:tr>
    </w:tbl>
    <w:p>
      <w:pPr>
        <w:rPr>
          <w:rFonts w:hint="eastAsia" w:ascii="仿宋_GB2312" w:hAnsi="仿宋_GB2312" w:eastAsia="仿宋_GB2312"/>
          <w:sz w:val="32"/>
          <w:szCs w:val="32"/>
        </w:rPr>
        <w:sectPr>
          <w:pgSz w:w="16838" w:h="11906" w:orient="landscape"/>
          <w:pgMar w:top="1800" w:right="1440" w:bottom="1800" w:left="1440" w:header="720" w:footer="720" w:gutter="0"/>
          <w:pgNumType w:fmt="decimal"/>
          <w:docGrid w:type="lines" w:linePitch="312" w:charSpace="0"/>
        </w:sectPr>
      </w:pPr>
    </w:p>
    <w:p>
      <w:pPr>
        <w:tabs>
          <w:tab w:val="left" w:pos="5665"/>
        </w:tabs>
        <w:rPr>
          <w:rFonts w:ascii="仿宋_GB2312" w:hAnsi="仿宋_GB2312" w:eastAsia="仿宋_GB2312"/>
          <w:sz w:val="32"/>
          <w:szCs w:val="32"/>
        </w:rPr>
      </w:pPr>
    </w:p>
    <w:p>
      <w:pPr>
        <w:tabs>
          <w:tab w:val="left" w:pos="5665"/>
        </w:tabs>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ascii="黑体" w:hAnsi="宋体" w:eastAsia="黑体"/>
          <w:kern w:val="0"/>
          <w:sz w:val="28"/>
          <w:szCs w:val="28"/>
        </w:rPr>
      </w:pPr>
    </w:p>
    <w:p>
      <w:pPr>
        <w:widowControl/>
        <w:jc w:val="left"/>
        <w:rPr>
          <w:rFonts w:hint="eastAsia" w:ascii="黑体" w:hAnsi="宋体" w:eastAsia="黑体"/>
          <w:kern w:val="0"/>
          <w:sz w:val="28"/>
          <w:szCs w:val="28"/>
        </w:rPr>
      </w:pPr>
    </w:p>
    <w:p>
      <w:pPr>
        <w:jc w:val="center"/>
        <w:outlineLvl w:val="0"/>
        <w:rPr>
          <w:rFonts w:hint="eastAsia" w:ascii="黑体" w:hAnsi="黑体" w:eastAsia="黑体"/>
          <w:sz w:val="48"/>
          <w:szCs w:val="48"/>
        </w:rPr>
      </w:pPr>
      <w:r>
        <w:rPr>
          <w:rFonts w:hint="eastAsia" w:ascii="黑体" w:hAnsi="黑体" w:eastAsia="黑体"/>
          <w:sz w:val="48"/>
          <w:szCs w:val="48"/>
        </w:rPr>
        <w:t>第三部分 2024年度部门决算情况说明</w:t>
      </w:r>
    </w:p>
    <w:p>
      <w:pPr>
        <w:widowControl/>
        <w:jc w:val="left"/>
        <w:rPr>
          <w:rFonts w:hint="eastAsia" w:ascii="黑体" w:hAnsi="黑体" w:eastAsia="黑体"/>
          <w:sz w:val="48"/>
          <w:szCs w:val="48"/>
        </w:rPr>
        <w:sectPr>
          <w:pgSz w:w="11906" w:h="16838"/>
          <w:pgMar w:top="1440" w:right="1800" w:bottom="1440" w:left="1800" w:header="720" w:footer="720" w:gutter="0"/>
          <w:pgNumType w:fmt="decimal"/>
          <w:docGrid w:type="lines" w:linePitch="312" w:charSpace="0"/>
        </w:sectPr>
      </w:pP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一、收入支出决算总体情况说明</w:t>
      </w:r>
    </w:p>
    <w:p>
      <w:pPr>
        <w:widowControl/>
        <w:spacing w:line="590" w:lineRule="exact"/>
        <w:ind w:firstLine="640" w:firstLineChars="200"/>
        <w:rPr>
          <w:rFonts w:hint="eastAsia" w:ascii="仿宋_GB2312" w:eastAsia="仿宋_GB2312"/>
          <w:sz w:val="32"/>
          <w:szCs w:val="32"/>
        </w:rPr>
      </w:pPr>
      <w:r>
        <w:rPr>
          <w:rFonts w:hint="eastAsia" w:ascii="仿宋_GB2312" w:eastAsia="仿宋_GB2312"/>
          <w:sz w:val="32"/>
          <w:szCs w:val="32"/>
        </w:rPr>
        <w:t>2024</w:t>
      </w:r>
      <w:r>
        <w:rPr>
          <w:rFonts w:hint="eastAsia" w:ascii="仿宋_GB2312" w:hAnsi="仿宋_GB2312" w:eastAsia="仿宋_GB2312"/>
          <w:sz w:val="32"/>
          <w:szCs w:val="32"/>
        </w:rPr>
        <w:t>年度收、支总计均为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万元。与上年度相比，收、支总计各减少</w:t>
      </w:r>
      <w:r>
        <w:rPr>
          <w:rFonts w:hint="eastAsia" w:ascii="仿宋_GB2312" w:hAnsi="仿宋_GB2312" w:eastAsia="仿宋_GB2312"/>
          <w:sz w:val="32"/>
          <w:szCs w:val="32"/>
          <w:lang w:val="en-US" w:eastAsia="zh-CN"/>
        </w:rPr>
        <w:t>202.84</w:t>
      </w:r>
      <w:r>
        <w:rPr>
          <w:rFonts w:hint="eastAsia" w:ascii="仿宋_GB2312" w:hAnsi="仿宋_GB2312" w:eastAsia="仿宋_GB2312"/>
          <w:sz w:val="32"/>
          <w:szCs w:val="32"/>
        </w:rPr>
        <w:t>万元，下降</w:t>
      </w:r>
      <w:r>
        <w:rPr>
          <w:rFonts w:hint="eastAsia" w:ascii="仿宋_GB2312" w:hAnsi="仿宋_GB2312" w:eastAsia="仿宋_GB2312"/>
          <w:sz w:val="32"/>
          <w:szCs w:val="32"/>
          <w:lang w:val="en-US" w:eastAsia="zh-CN"/>
        </w:rPr>
        <w:t>26.61</w:t>
      </w:r>
      <w:r>
        <w:rPr>
          <w:rFonts w:hint="eastAsia" w:ascii="仿宋_GB2312" w:hAnsi="仿宋_GB2312" w:eastAsia="仿宋_GB2312"/>
          <w:sz w:val="32"/>
          <w:szCs w:val="32"/>
        </w:rPr>
        <w:t>%。主要原因是我</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厉行勤俭节约，压缩</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经费。</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二、收入决算情况说明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年度收入合计</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万元，其中：财政拨款收入</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万元，占</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三、支出决算情况说明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年度支出合计</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万元，其中：基本支出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万元，占</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四、财政拨款收入支出决算总体情况说明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年度财政拨款收、支总计均为</w:t>
      </w:r>
      <w:r>
        <w:rPr>
          <w:rFonts w:hint="eastAsia" w:ascii="仿宋_GB2312" w:eastAsia="仿宋_GB2312"/>
          <w:sz w:val="32"/>
          <w:szCs w:val="32"/>
          <w:lang w:val="en-US" w:eastAsia="zh-CN"/>
        </w:rPr>
        <w:t>559.23</w:t>
      </w:r>
      <w:r>
        <w:rPr>
          <w:rFonts w:hint="eastAsia" w:ascii="仿宋_GB2312" w:eastAsia="仿宋_GB2312"/>
          <w:sz w:val="32"/>
          <w:szCs w:val="32"/>
        </w:rPr>
        <w:t>万元。与上</w:t>
      </w:r>
      <w:r>
        <w:rPr>
          <w:rFonts w:hint="eastAsia" w:ascii="仿宋_GB2312" w:hAnsi="仿宋_GB2312" w:eastAsia="仿宋_GB2312"/>
          <w:sz w:val="32"/>
          <w:szCs w:val="32"/>
        </w:rPr>
        <w:t>年度相比，财政拨款收、支总计各减少</w:t>
      </w:r>
      <w:r>
        <w:rPr>
          <w:rFonts w:hint="eastAsia" w:ascii="仿宋_GB2312" w:hAnsi="仿宋_GB2312" w:eastAsia="仿宋_GB2312"/>
          <w:sz w:val="32"/>
          <w:szCs w:val="32"/>
          <w:lang w:val="en-US" w:eastAsia="zh-CN"/>
        </w:rPr>
        <w:t>202.84</w:t>
      </w:r>
      <w:r>
        <w:rPr>
          <w:rFonts w:hint="eastAsia" w:ascii="仿宋_GB2312" w:hAnsi="仿宋_GB2312" w:eastAsia="仿宋_GB2312"/>
          <w:sz w:val="32"/>
          <w:szCs w:val="32"/>
        </w:rPr>
        <w:t>万元，下降</w:t>
      </w:r>
      <w:r>
        <w:rPr>
          <w:rFonts w:hint="eastAsia" w:ascii="仿宋_GB2312" w:hAnsi="仿宋_GB2312" w:eastAsia="仿宋_GB2312"/>
          <w:sz w:val="32"/>
          <w:szCs w:val="32"/>
          <w:lang w:val="en-US" w:eastAsia="zh-CN"/>
        </w:rPr>
        <w:t>26.61</w:t>
      </w:r>
      <w:r>
        <w:rPr>
          <w:rFonts w:hint="eastAsia" w:ascii="仿宋_GB2312" w:hAnsi="仿宋_GB2312" w:eastAsia="仿宋_GB2312"/>
          <w:sz w:val="32"/>
          <w:szCs w:val="32"/>
        </w:rPr>
        <w:t>%。主要原因是我</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厉行勤俭节约，压缩</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经费。</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b/>
          <w:bCs/>
          <w:sz w:val="32"/>
          <w:szCs w:val="32"/>
        </w:rPr>
      </w:pPr>
      <w:r>
        <w:rPr>
          <w:rFonts w:hint="eastAsia" w:ascii="楷体_GB2312" w:hAnsi="楷体_GB2312" w:eastAsia="楷体_GB2312"/>
          <w:b/>
          <w:bCs/>
          <w:sz w:val="32"/>
          <w:szCs w:val="32"/>
        </w:rPr>
        <w:t>（一）总体情况</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年度一般公共预算财政拨款支出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万元，占支出合计的</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%。与上年度相比，一般公共预算财政拨款支出减少</w:t>
      </w:r>
      <w:r>
        <w:rPr>
          <w:rFonts w:hint="eastAsia" w:ascii="仿宋_GB2312" w:hAnsi="仿宋_GB2312" w:eastAsia="仿宋_GB2312"/>
          <w:sz w:val="32"/>
          <w:szCs w:val="32"/>
          <w:lang w:val="en-US" w:eastAsia="zh-CN"/>
        </w:rPr>
        <w:t>202.84</w:t>
      </w:r>
      <w:r>
        <w:rPr>
          <w:rFonts w:hint="eastAsia" w:ascii="仿宋_GB2312" w:hAnsi="仿宋_GB2312" w:eastAsia="仿宋_GB2312"/>
          <w:sz w:val="32"/>
          <w:szCs w:val="32"/>
        </w:rPr>
        <w:t>万元，下降</w:t>
      </w:r>
      <w:r>
        <w:rPr>
          <w:rFonts w:hint="eastAsia" w:ascii="仿宋_GB2312" w:hAnsi="仿宋_GB2312" w:eastAsia="仿宋_GB2312"/>
          <w:sz w:val="32"/>
          <w:szCs w:val="32"/>
          <w:lang w:val="en-US" w:eastAsia="zh-CN"/>
        </w:rPr>
        <w:t>26.61</w:t>
      </w:r>
      <w:r>
        <w:rPr>
          <w:rFonts w:hint="eastAsia" w:ascii="仿宋_GB2312" w:hAnsi="仿宋_GB2312" w:eastAsia="仿宋_GB2312"/>
          <w:sz w:val="32"/>
          <w:szCs w:val="32"/>
        </w:rPr>
        <w:t>%。主要原因是我</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厉行勤俭节约，压缩</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经费。</w:t>
      </w:r>
    </w:p>
    <w:p>
      <w:pPr>
        <w:widowControl/>
        <w:spacing w:line="590" w:lineRule="exact"/>
        <w:ind w:firstLine="643" w:firstLineChars="200"/>
        <w:rPr>
          <w:rFonts w:hint="eastAsia" w:ascii="楷体_GB2312" w:hAnsi="楷体_GB2312" w:eastAsia="楷体_GB2312"/>
          <w:b/>
          <w:bCs/>
          <w:sz w:val="32"/>
          <w:szCs w:val="32"/>
        </w:rPr>
      </w:pPr>
      <w:r>
        <w:rPr>
          <w:rFonts w:hint="eastAsia" w:ascii="楷体_GB2312" w:hAnsi="楷体_GB2312" w:eastAsia="楷体_GB2312"/>
          <w:b/>
          <w:bCs/>
          <w:sz w:val="32"/>
          <w:szCs w:val="32"/>
        </w:rPr>
        <w:t>（二）结构情况</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年度一般公共预算财政拨款支出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万元，主要用于以下方面：一般公共服务（类）支出</w:t>
      </w:r>
      <w:r>
        <w:rPr>
          <w:rFonts w:hint="eastAsia" w:ascii="仿宋_GB2312" w:hAnsi="仿宋_GB2312" w:eastAsia="仿宋_GB2312"/>
          <w:sz w:val="32"/>
          <w:szCs w:val="32"/>
          <w:lang w:val="en-US" w:eastAsia="zh-CN"/>
        </w:rPr>
        <w:t>439.38</w:t>
      </w:r>
      <w:r>
        <w:rPr>
          <w:rFonts w:hint="eastAsia" w:ascii="仿宋_GB2312" w:hAnsi="仿宋_GB2312" w:eastAsia="仿宋_GB2312"/>
          <w:sz w:val="32"/>
          <w:szCs w:val="32"/>
        </w:rPr>
        <w:t>万元，占</w:t>
      </w:r>
      <w:r>
        <w:rPr>
          <w:rFonts w:hint="eastAsia" w:ascii="仿宋_GB2312" w:hAnsi="仿宋_GB2312" w:eastAsia="仿宋_GB2312"/>
          <w:sz w:val="32"/>
          <w:szCs w:val="32"/>
          <w:lang w:val="en-US" w:eastAsia="zh-CN"/>
        </w:rPr>
        <w:t>78.56</w:t>
      </w:r>
      <w:r>
        <w:rPr>
          <w:rFonts w:hint="eastAsia" w:ascii="仿宋_GB2312" w:hAnsi="仿宋_GB2312" w:eastAsia="仿宋_GB2312"/>
          <w:sz w:val="32"/>
          <w:szCs w:val="32"/>
        </w:rPr>
        <w:t>%；社会保障和就业（类）支出</w:t>
      </w:r>
      <w:r>
        <w:rPr>
          <w:rFonts w:hint="eastAsia" w:ascii="仿宋_GB2312" w:hAnsi="仿宋_GB2312" w:eastAsia="仿宋_GB2312"/>
          <w:sz w:val="32"/>
          <w:szCs w:val="32"/>
          <w:lang w:val="en-US" w:eastAsia="zh-CN"/>
        </w:rPr>
        <w:t>44.78</w:t>
      </w:r>
      <w:r>
        <w:rPr>
          <w:rFonts w:hint="eastAsia" w:ascii="仿宋_GB2312" w:hAnsi="仿宋_GB2312" w:eastAsia="仿宋_GB2312"/>
          <w:sz w:val="32"/>
          <w:szCs w:val="32"/>
        </w:rPr>
        <w:t>万元，占</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%；住房保障</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类</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75.07万元，占13.44%</w:t>
      </w:r>
      <w:r>
        <w:rPr>
          <w:rFonts w:hint="eastAsia" w:ascii="仿宋_GB2312" w:hAnsi="仿宋_GB2312" w:eastAsia="仿宋_GB2312"/>
          <w:sz w:val="32"/>
          <w:szCs w:val="32"/>
        </w:rPr>
        <w:t>。</w:t>
      </w:r>
    </w:p>
    <w:p>
      <w:pPr>
        <w:widowControl/>
        <w:spacing w:line="590" w:lineRule="exact"/>
        <w:ind w:firstLine="643" w:firstLineChars="200"/>
        <w:rPr>
          <w:rFonts w:hint="eastAsia" w:ascii="楷体_GB2312" w:hAnsi="楷体_GB2312" w:eastAsia="楷体_GB2312"/>
          <w:b/>
          <w:bCs/>
          <w:sz w:val="32"/>
          <w:szCs w:val="32"/>
        </w:rPr>
      </w:pPr>
      <w:r>
        <w:rPr>
          <w:rFonts w:hint="eastAsia" w:ascii="楷体_GB2312" w:hAnsi="楷体_GB2312" w:eastAsia="楷体_GB2312"/>
          <w:b/>
          <w:bCs/>
          <w:sz w:val="32"/>
          <w:szCs w:val="32"/>
        </w:rPr>
        <w:t>（三）具体情况</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年度一般公共预算财政拨款支出年初预算为</w:t>
      </w:r>
      <w:r>
        <w:rPr>
          <w:rFonts w:hint="eastAsia" w:ascii="仿宋_GB2312" w:hAnsi="仿宋_GB2312" w:eastAsia="仿宋_GB2312"/>
          <w:sz w:val="32"/>
          <w:szCs w:val="32"/>
          <w:lang w:val="en-US" w:eastAsia="zh-CN"/>
        </w:rPr>
        <w:t>556</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万元，完成年初预算的</w:t>
      </w:r>
      <w:r>
        <w:rPr>
          <w:rFonts w:hint="eastAsia" w:ascii="仿宋_GB2312" w:hAnsi="仿宋_GB2312" w:eastAsia="仿宋_GB2312"/>
          <w:sz w:val="32"/>
          <w:szCs w:val="32"/>
          <w:lang w:val="en-US" w:eastAsia="zh-CN"/>
        </w:rPr>
        <w:t>100.5</w:t>
      </w:r>
      <w:r>
        <w:rPr>
          <w:rFonts w:hint="eastAsia" w:ascii="仿宋_GB2312" w:hAnsi="仿宋_GB2312" w:eastAsia="仿宋_GB2312"/>
          <w:sz w:val="32"/>
          <w:szCs w:val="32"/>
        </w:rPr>
        <w:t>%。其中：</w:t>
      </w:r>
    </w:p>
    <w:p>
      <w:pPr>
        <w:widowControl/>
        <w:spacing w:line="590" w:lineRule="exact"/>
        <w:ind w:firstLine="643" w:firstLineChars="200"/>
        <w:rPr>
          <w:rFonts w:hint="eastAsia" w:ascii="仿宋_GB2312" w:eastAsia="仿宋_GB2312"/>
          <w:b/>
          <w:sz w:val="32"/>
          <w:szCs w:val="32"/>
        </w:rPr>
      </w:pPr>
      <w:r>
        <w:rPr>
          <w:rFonts w:hint="eastAsia" w:ascii="仿宋_GB2312" w:eastAsia="仿宋_GB2312"/>
          <w:b/>
          <w:sz w:val="32"/>
          <w:szCs w:val="32"/>
        </w:rPr>
        <w:t>1.</w:t>
      </w:r>
      <w:r>
        <w:rPr>
          <w:rFonts w:hint="eastAsia" w:ascii="仿宋_GB2312" w:hAnsi="仿宋_GB2312" w:eastAsia="仿宋_GB2312"/>
          <w:b/>
          <w:bCs/>
          <w:sz w:val="32"/>
          <w:szCs w:val="32"/>
        </w:rPr>
        <w:t>一般公共服务支出（类）政协事务（款）行政运行（项）。</w:t>
      </w:r>
      <w:r>
        <w:rPr>
          <w:rFonts w:hint="eastAsia" w:ascii="仿宋_GB2312" w:hAnsi="仿宋_GB2312" w:eastAsia="仿宋_GB2312"/>
          <w:sz w:val="32"/>
          <w:szCs w:val="32"/>
        </w:rPr>
        <w:t>年初预算为</w:t>
      </w:r>
      <w:r>
        <w:rPr>
          <w:rFonts w:hint="eastAsia" w:ascii="仿宋_GB2312" w:hAnsi="仿宋_GB2312" w:eastAsia="仿宋_GB2312"/>
          <w:sz w:val="32"/>
          <w:szCs w:val="32"/>
          <w:lang w:val="en-US" w:eastAsia="zh-CN"/>
        </w:rPr>
        <w:t>500.15</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430.37</w:t>
      </w:r>
      <w:r>
        <w:rPr>
          <w:rFonts w:hint="eastAsia" w:ascii="仿宋_GB2312" w:hAnsi="仿宋_GB2312" w:eastAsia="仿宋_GB2312"/>
          <w:sz w:val="32"/>
          <w:szCs w:val="32"/>
        </w:rPr>
        <w:t>万元，完成年初预算的</w:t>
      </w:r>
      <w:r>
        <w:rPr>
          <w:rFonts w:hint="eastAsia" w:ascii="仿宋_GB2312" w:hAnsi="仿宋_GB2312" w:eastAsia="仿宋_GB2312"/>
          <w:sz w:val="32"/>
          <w:szCs w:val="32"/>
          <w:lang w:val="en-US" w:eastAsia="zh-CN"/>
        </w:rPr>
        <w:t>86.04</w:t>
      </w:r>
      <w:r>
        <w:rPr>
          <w:rFonts w:hint="eastAsia" w:ascii="仿宋_GB2312" w:hAnsi="仿宋_GB2312" w:eastAsia="仿宋_GB2312"/>
          <w:sz w:val="32"/>
          <w:szCs w:val="32"/>
        </w:rPr>
        <w:t>%。决算数与年初预算数存在差异的主要原因是我</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厉行勤俭节约，压缩</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经费。</w:t>
      </w:r>
    </w:p>
    <w:p>
      <w:pPr>
        <w:widowControl/>
        <w:spacing w:line="590" w:lineRule="exact"/>
        <w:ind w:firstLine="643" w:firstLineChars="200"/>
        <w:rPr>
          <w:rFonts w:hint="eastAsia" w:ascii="仿宋_GB2312" w:eastAsia="仿宋_GB2312"/>
          <w:b/>
          <w:sz w:val="32"/>
          <w:szCs w:val="32"/>
        </w:rPr>
      </w:pPr>
      <w:r>
        <w:rPr>
          <w:rFonts w:hint="eastAsia" w:ascii="仿宋_GB2312" w:eastAsia="仿宋_GB2312"/>
          <w:b/>
          <w:sz w:val="32"/>
          <w:szCs w:val="32"/>
        </w:rPr>
        <w:t>2.</w:t>
      </w:r>
      <w:r>
        <w:rPr>
          <w:rFonts w:hint="eastAsia" w:ascii="仿宋_GB2312" w:hAnsi="仿宋_GB2312" w:eastAsia="仿宋_GB2312"/>
          <w:b/>
          <w:bCs/>
          <w:sz w:val="32"/>
          <w:szCs w:val="32"/>
        </w:rPr>
        <w:t>一般公共服务支出（类）纪检监察事务（款）其他纪检监察事务支出（项）。</w:t>
      </w:r>
      <w:r>
        <w:rPr>
          <w:rFonts w:hint="eastAsia" w:ascii="仿宋_GB2312" w:hAnsi="仿宋_GB2312" w:eastAsia="仿宋_GB2312"/>
          <w:sz w:val="32"/>
          <w:szCs w:val="32"/>
        </w:rPr>
        <w:t>年初预算为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9.01</w:t>
      </w:r>
      <w:r>
        <w:rPr>
          <w:rFonts w:hint="eastAsia" w:ascii="仿宋_GB2312" w:hAnsi="仿宋_GB2312" w:eastAsia="仿宋_GB2312"/>
          <w:sz w:val="32"/>
          <w:szCs w:val="32"/>
        </w:rPr>
        <w:t>万元。决算数与年初预算数存在差异的主要原因是</w:t>
      </w:r>
      <w:r>
        <w:rPr>
          <w:rFonts w:hint="eastAsia" w:ascii="仿宋_GB2312" w:hAnsi="仿宋_GB2312" w:eastAsia="仿宋_GB2312"/>
          <w:sz w:val="32"/>
          <w:szCs w:val="32"/>
          <w:lang w:val="en-US" w:eastAsia="zh-CN"/>
        </w:rPr>
        <w:t>年中追加经费</w:t>
      </w:r>
      <w:r>
        <w:rPr>
          <w:rFonts w:hint="eastAsia" w:ascii="仿宋_GB2312" w:hAnsi="仿宋_GB2312" w:eastAsia="仿宋_GB2312"/>
          <w:sz w:val="32"/>
          <w:szCs w:val="32"/>
        </w:rPr>
        <w:t>。</w:t>
      </w:r>
    </w:p>
    <w:p>
      <w:pPr>
        <w:widowControl/>
        <w:spacing w:line="590" w:lineRule="exact"/>
        <w:ind w:firstLine="643" w:firstLineChars="200"/>
        <w:rPr>
          <w:rFonts w:hint="eastAsia" w:ascii="仿宋_GB2312" w:hAnsi="仿宋_GB2312" w:eastAsia="仿宋_GB2312"/>
          <w:b/>
          <w:bCs/>
          <w:sz w:val="32"/>
          <w:szCs w:val="32"/>
          <w:lang w:val="en-US" w:eastAsia="zh-CN"/>
        </w:rPr>
      </w:pPr>
      <w:r>
        <w:rPr>
          <w:rFonts w:hint="eastAsia" w:ascii="仿宋_GB2312" w:hAnsi="仿宋_GB2312" w:eastAsia="仿宋_GB2312"/>
          <w:b/>
          <w:bCs/>
          <w:sz w:val="32"/>
          <w:szCs w:val="32"/>
          <w:lang w:val="en-US" w:eastAsia="zh-CN"/>
        </w:rPr>
        <w:t>3.社会保障和就业支出（类）行政事业单位养老支出（款）机关事业单位基本养老保险缴费支出（项）。</w:t>
      </w:r>
      <w:r>
        <w:rPr>
          <w:rFonts w:hint="eastAsia" w:ascii="仿宋_GB2312" w:hAnsi="仿宋_GB2312" w:eastAsia="仿宋_GB2312"/>
          <w:sz w:val="32"/>
          <w:szCs w:val="32"/>
        </w:rPr>
        <w:t>年初预算为</w:t>
      </w:r>
      <w:r>
        <w:rPr>
          <w:rFonts w:hint="eastAsia" w:ascii="仿宋_GB2312" w:hAnsi="仿宋_GB2312" w:eastAsia="仿宋_GB2312"/>
          <w:sz w:val="32"/>
          <w:szCs w:val="32"/>
          <w:lang w:val="en-US" w:eastAsia="zh-CN"/>
        </w:rPr>
        <w:t>31.91</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44.78</w:t>
      </w:r>
      <w:r>
        <w:rPr>
          <w:rFonts w:hint="eastAsia" w:ascii="仿宋_GB2312" w:hAnsi="仿宋_GB2312" w:eastAsia="仿宋_GB2312"/>
          <w:sz w:val="32"/>
          <w:szCs w:val="32"/>
        </w:rPr>
        <w:t>万元，完成年初预算的</w:t>
      </w:r>
      <w:r>
        <w:rPr>
          <w:rFonts w:hint="eastAsia" w:ascii="仿宋_GB2312" w:hAnsi="仿宋_GB2312" w:eastAsia="仿宋_GB2312"/>
          <w:sz w:val="32"/>
          <w:szCs w:val="32"/>
          <w:lang w:val="en-US" w:eastAsia="zh-CN"/>
        </w:rPr>
        <w:t>140.33</w:t>
      </w:r>
      <w:r>
        <w:rPr>
          <w:rFonts w:hint="eastAsia" w:ascii="仿宋_GB2312" w:hAnsi="仿宋_GB2312" w:eastAsia="仿宋_GB2312"/>
          <w:sz w:val="32"/>
          <w:szCs w:val="32"/>
        </w:rPr>
        <w:t>%。决算数与年初预算数存在差异的主要原因是</w:t>
      </w:r>
      <w:r>
        <w:rPr>
          <w:rFonts w:hint="eastAsia" w:ascii="仿宋_GB2312" w:hAnsi="仿宋_GB2312" w:eastAsia="仿宋_GB2312"/>
          <w:sz w:val="32"/>
          <w:szCs w:val="32"/>
          <w:lang w:val="en-US" w:eastAsia="zh-CN"/>
        </w:rPr>
        <w:t>社保基数调整，费用增加</w:t>
      </w:r>
      <w:r>
        <w:rPr>
          <w:rFonts w:hint="eastAsia" w:ascii="仿宋_GB2312" w:hAnsi="仿宋_GB2312" w:eastAsia="仿宋_GB2312"/>
          <w:sz w:val="32"/>
          <w:szCs w:val="32"/>
        </w:rPr>
        <w:t>。</w:t>
      </w:r>
    </w:p>
    <w:p>
      <w:pPr>
        <w:widowControl/>
        <w:spacing w:line="590" w:lineRule="exact"/>
        <w:ind w:firstLine="643" w:firstLineChars="200"/>
        <w:rPr>
          <w:rFonts w:hint="eastAsia" w:ascii="仿宋_GB2312" w:hAnsi="仿宋_GB2312" w:eastAsia="仿宋_GB2312"/>
          <w:b/>
          <w:bCs/>
          <w:sz w:val="32"/>
          <w:szCs w:val="32"/>
          <w:lang w:val="en-US" w:eastAsia="zh-CN"/>
        </w:rPr>
      </w:pPr>
      <w:r>
        <w:rPr>
          <w:rFonts w:hint="eastAsia" w:ascii="仿宋_GB2312" w:hAnsi="仿宋_GB2312" w:eastAsia="仿宋_GB2312"/>
          <w:b/>
          <w:bCs/>
          <w:sz w:val="32"/>
          <w:szCs w:val="32"/>
          <w:lang w:val="en-US" w:eastAsia="zh-CN"/>
        </w:rPr>
        <w:t>4.住房保障支出（类）城乡社区住宅（款）住房公积金管理（项）。</w:t>
      </w:r>
      <w:r>
        <w:rPr>
          <w:rFonts w:hint="eastAsia" w:ascii="仿宋_GB2312" w:hAnsi="仿宋_GB2312" w:eastAsia="仿宋_GB2312"/>
          <w:sz w:val="32"/>
          <w:szCs w:val="32"/>
        </w:rPr>
        <w:t>年初预算为</w:t>
      </w:r>
      <w:r>
        <w:rPr>
          <w:rFonts w:hint="eastAsia" w:ascii="仿宋_GB2312" w:hAnsi="仿宋_GB2312" w:eastAsia="仿宋_GB2312"/>
          <w:sz w:val="32"/>
          <w:szCs w:val="32"/>
          <w:lang w:val="en-US" w:eastAsia="zh-CN"/>
        </w:rPr>
        <w:t>23.93</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75.07</w:t>
      </w:r>
      <w:r>
        <w:rPr>
          <w:rFonts w:hint="eastAsia" w:ascii="仿宋_GB2312" w:hAnsi="仿宋_GB2312" w:eastAsia="仿宋_GB2312"/>
          <w:sz w:val="32"/>
          <w:szCs w:val="32"/>
        </w:rPr>
        <w:t>万元，完成年初预算的</w:t>
      </w:r>
      <w:r>
        <w:rPr>
          <w:rFonts w:hint="eastAsia" w:ascii="仿宋_GB2312" w:hAnsi="仿宋_GB2312" w:eastAsia="仿宋_GB2312"/>
          <w:sz w:val="32"/>
          <w:szCs w:val="32"/>
          <w:lang w:val="en-US" w:eastAsia="zh-CN"/>
        </w:rPr>
        <w:t>313.7</w:t>
      </w:r>
      <w:r>
        <w:rPr>
          <w:rFonts w:hint="eastAsia" w:ascii="仿宋_GB2312" w:hAnsi="仿宋_GB2312" w:eastAsia="仿宋_GB2312"/>
          <w:sz w:val="32"/>
          <w:szCs w:val="32"/>
        </w:rPr>
        <w:t>%。决算数与年初预算数存在差异的主要原因是</w:t>
      </w:r>
      <w:r>
        <w:rPr>
          <w:rFonts w:hint="eastAsia" w:ascii="仿宋_GB2312" w:hAnsi="仿宋_GB2312" w:eastAsia="仿宋_GB2312"/>
          <w:sz w:val="32"/>
          <w:szCs w:val="32"/>
          <w:lang w:val="en-US" w:eastAsia="zh-CN"/>
        </w:rPr>
        <w:t>社保基数调整，费用增加</w:t>
      </w:r>
      <w:r>
        <w:rPr>
          <w:rFonts w:hint="eastAsia" w:ascii="仿宋_GB2312" w:hAnsi="仿宋_GB2312" w:eastAsia="仿宋_GB2312"/>
          <w:sz w:val="32"/>
          <w:szCs w:val="32"/>
        </w:rPr>
        <w:t>。</w:t>
      </w:r>
    </w:p>
    <w:p>
      <w:pPr>
        <w:widowControl/>
        <w:spacing w:line="590" w:lineRule="exact"/>
        <w:ind w:firstLine="640" w:firstLineChars="200"/>
        <w:rPr>
          <w:rFonts w:ascii="仿宋_GB2312" w:hAnsi="仿宋_GB2312" w:eastAsia="仿宋_GB2312"/>
          <w:sz w:val="32"/>
          <w:szCs w:val="32"/>
          <w:lang w:val="en-US" w:eastAsia="zh-CN"/>
        </w:rPr>
      </w:pP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六、一般公共预算财政拨款基本支出决算情况说明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年度一般公共预算财政拨款基本支出</w:t>
      </w:r>
      <w:r>
        <w:rPr>
          <w:rFonts w:hint="eastAsia" w:ascii="仿宋_GB2312" w:hAnsi="仿宋_GB2312" w:eastAsia="仿宋_GB2312"/>
          <w:sz w:val="32"/>
          <w:szCs w:val="32"/>
          <w:lang w:val="en-US" w:eastAsia="zh-CN"/>
        </w:rPr>
        <w:t>559.23</w:t>
      </w:r>
      <w:r>
        <w:rPr>
          <w:rFonts w:hint="eastAsia" w:ascii="仿宋_GB2312" w:hAnsi="仿宋_GB2312" w:eastAsia="仿宋_GB2312"/>
          <w:sz w:val="32"/>
          <w:szCs w:val="32"/>
        </w:rPr>
        <w:t>万元。其中：人员经费</w:t>
      </w:r>
      <w:r>
        <w:rPr>
          <w:rFonts w:hint="eastAsia" w:ascii="仿宋_GB2312" w:hAnsi="仿宋_GB2312" w:eastAsia="仿宋_GB2312"/>
          <w:sz w:val="32"/>
          <w:szCs w:val="32"/>
          <w:lang w:val="en-US" w:eastAsia="zh-CN"/>
        </w:rPr>
        <w:t>422.06</w:t>
      </w:r>
      <w:r>
        <w:rPr>
          <w:rFonts w:hint="eastAsia" w:ascii="仿宋_GB2312" w:hAnsi="仿宋_GB2312" w:eastAsia="仿宋_GB2312"/>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其他对个人和家庭的补助支出……；公用经费</w:t>
      </w:r>
      <w:r>
        <w:rPr>
          <w:rFonts w:hint="eastAsia" w:ascii="仿宋_GB2312" w:hAnsi="仿宋_GB2312" w:eastAsia="仿宋_GB2312"/>
          <w:sz w:val="32"/>
          <w:szCs w:val="32"/>
          <w:lang w:val="en-US" w:eastAsia="zh-CN"/>
        </w:rPr>
        <w:t>137.17</w:t>
      </w:r>
      <w:r>
        <w:rPr>
          <w:rFonts w:hint="eastAsia" w:ascii="仿宋_GB2312" w:hAnsi="仿宋_GB2312" w:eastAsia="仿宋_GB2312"/>
          <w:sz w:val="32"/>
          <w:szCs w:val="32"/>
        </w:rPr>
        <w:t>万元，主要包括：办公费、印刷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根据</w:t>
      </w:r>
      <w:r>
        <w:rPr>
          <w:rFonts w:ascii="仿宋_GB2312" w:hAnsi="仿宋_GB2312" w:eastAsia="仿宋_GB2312"/>
          <w:sz w:val="32"/>
          <w:szCs w:val="32"/>
        </w:rPr>
        <w:t>单位实际情况填列）</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七、政府性基金预算财政拨款支出决算情况说明</w:t>
      </w:r>
    </w:p>
    <w:p>
      <w:pPr>
        <w:widowControl/>
        <w:spacing w:line="590" w:lineRule="exact"/>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我部门 202</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 xml:space="preserve"> 年度没有政府性基金收入，也没有使用政 府性基金安排的支出</w:t>
      </w:r>
      <w:r>
        <w:rPr>
          <w:rFonts w:hint="eastAsia" w:ascii="仿宋_GB2312" w:hAnsi="仿宋_GB2312" w:eastAsia="仿宋_GB2312"/>
          <w:sz w:val="32"/>
          <w:szCs w:val="32"/>
          <w:lang w:eastAsia="zh-CN"/>
        </w:rPr>
        <w:t>。</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八、国有资本</w:t>
      </w:r>
      <w:r>
        <w:rPr>
          <w:rFonts w:ascii="黑体" w:hAnsi="黑体" w:eastAsia="黑体"/>
          <w:sz w:val="32"/>
          <w:szCs w:val="32"/>
        </w:rPr>
        <w:t>经营</w:t>
      </w:r>
      <w:r>
        <w:rPr>
          <w:rFonts w:hint="eastAsia" w:ascii="黑体" w:hAnsi="黑体" w:eastAsia="黑体"/>
          <w:sz w:val="32"/>
          <w:szCs w:val="32"/>
        </w:rPr>
        <w:t>预算财政拨款支出决算情况说明</w:t>
      </w:r>
    </w:p>
    <w:p>
      <w:pPr>
        <w:widowControl/>
        <w:spacing w:line="590" w:lineRule="exact"/>
        <w:ind w:firstLine="640" w:firstLineChars="200"/>
        <w:outlineLvl w:val="1"/>
        <w:rPr>
          <w:rFonts w:ascii="仿宋_GB2312" w:hAnsi="仿宋_GB2312" w:eastAsia="仿宋_GB2312"/>
          <w:sz w:val="32"/>
          <w:szCs w:val="32"/>
        </w:rPr>
      </w:pPr>
      <w:r>
        <w:rPr>
          <w:rFonts w:ascii="仿宋_GB2312" w:hAnsi="仿宋_GB2312" w:eastAsia="仿宋_GB2312"/>
          <w:sz w:val="32"/>
          <w:szCs w:val="32"/>
        </w:rPr>
        <w:t>我部门202</w:t>
      </w:r>
      <w:r>
        <w:rPr>
          <w:rFonts w:hint="eastAsia" w:ascii="仿宋_GB2312" w:hAnsi="仿宋_GB2312" w:eastAsia="仿宋_GB2312"/>
          <w:sz w:val="32"/>
          <w:szCs w:val="32"/>
          <w:lang w:val="en-US" w:eastAsia="zh-CN"/>
        </w:rPr>
        <w:t>4</w:t>
      </w:r>
      <w:r>
        <w:rPr>
          <w:rFonts w:ascii="仿宋_GB2312" w:hAnsi="仿宋_GB2312" w:eastAsia="仿宋_GB2312"/>
          <w:sz w:val="32"/>
          <w:szCs w:val="32"/>
        </w:rPr>
        <w:t>年度没有国有资本经营收入，也没有使用国有资本经营安排的支出。</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九、一般公共预算财政拨款“三公”经费支出决算情况说明</w:t>
      </w:r>
    </w:p>
    <w:p>
      <w:pPr>
        <w:widowControl/>
        <w:spacing w:line="590" w:lineRule="exact"/>
        <w:ind w:firstLine="643" w:firstLineChars="200"/>
        <w:outlineLvl w:val="2"/>
        <w:rPr>
          <w:rFonts w:hint="eastAsia" w:ascii="楷体_GB2312" w:hAnsi="楷体_GB2312" w:eastAsia="楷体_GB2312"/>
          <w:b/>
          <w:bCs/>
          <w:sz w:val="32"/>
          <w:szCs w:val="32"/>
        </w:rPr>
      </w:pPr>
      <w:r>
        <w:rPr>
          <w:rFonts w:hint="eastAsia" w:ascii="楷体_GB2312" w:hAnsi="楷体_GB2312" w:eastAsia="楷体_GB2312"/>
          <w:b/>
          <w:bCs/>
          <w:sz w:val="32"/>
          <w:szCs w:val="32"/>
        </w:rPr>
        <w:t>（一）一般公共预算财政拨款“三公”经费支出决算总体情况说明。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年度一般公共预算财政拨款“三公”经费支出预算为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w:t>
      </w:r>
    </w:p>
    <w:p>
      <w:pPr>
        <w:widowControl/>
        <w:spacing w:line="590" w:lineRule="exact"/>
        <w:ind w:firstLine="643" w:firstLineChars="200"/>
        <w:outlineLvl w:val="2"/>
        <w:rPr>
          <w:rFonts w:hint="eastAsia" w:ascii="楷体_GB2312" w:hAnsi="楷体_GB2312" w:eastAsia="楷体_GB2312"/>
          <w:b/>
          <w:bCs/>
          <w:sz w:val="32"/>
          <w:szCs w:val="32"/>
        </w:rPr>
      </w:pPr>
      <w:r>
        <w:rPr>
          <w:rFonts w:hint="eastAsia" w:ascii="楷体_GB2312" w:hAnsi="楷体_GB2312" w:eastAsia="楷体_GB2312"/>
          <w:b/>
          <w:bCs/>
          <w:sz w:val="32"/>
          <w:szCs w:val="32"/>
        </w:rPr>
        <w:t>（二）一般公共预算财政拨款“三公”经费支出决算具体情况说明。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年度一般公共预算财政拨款“三公”经费支出决算中，因公出国（境）费支出决算</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%，占</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%；公务用车购置及运行费支出决算</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%，占</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%；公务接待费支出决算</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%，占</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%。具体情况如下：</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1．因公出国（境）费</w:t>
      </w:r>
      <w:r>
        <w:rPr>
          <w:rFonts w:hint="eastAsia" w:ascii="仿宋_GB2312" w:hAnsi="仿宋_GB2312" w:eastAsia="仿宋_GB2312"/>
          <w:sz w:val="32"/>
          <w:szCs w:val="32"/>
        </w:rPr>
        <w:t>预算为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%。全年因公出国（境）团组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个，累计</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人次。</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2．公务用车购置及运行费</w:t>
      </w:r>
      <w:r>
        <w:rPr>
          <w:rFonts w:hint="eastAsia" w:ascii="仿宋_GB2312" w:hAnsi="仿宋_GB2312" w:eastAsia="仿宋_GB2312"/>
          <w:sz w:val="32"/>
          <w:szCs w:val="32"/>
        </w:rPr>
        <w:t>预算为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%。其中：</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公务用车购置支出</w:t>
      </w:r>
      <w:r>
        <w:rPr>
          <w:rFonts w:hint="eastAsia" w:ascii="仿宋_GB2312" w:hAnsi="仿宋_GB2312" w:eastAsia="仿宋_GB2312"/>
          <w:sz w:val="32"/>
          <w:szCs w:val="32"/>
        </w:rPr>
        <w:t>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公务用车运行维护支出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r>
        <w:rPr>
          <w:rFonts w:ascii="仿宋_GB2312" w:eastAsia="仿宋_GB2312"/>
          <w:sz w:val="32"/>
          <w:szCs w:val="32"/>
        </w:rPr>
        <w:t>2024</w:t>
      </w:r>
      <w:r>
        <w:rPr>
          <w:rFonts w:hint="eastAsia" w:ascii="仿宋_GB2312" w:hAnsi="仿宋_GB2312" w:eastAsia="仿宋_GB2312"/>
          <w:sz w:val="32"/>
          <w:szCs w:val="32"/>
        </w:rPr>
        <w:t>年期末，单位开支财政拨款的公务用车保有量为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3.公务接待费</w:t>
      </w:r>
      <w:r>
        <w:rPr>
          <w:rFonts w:hint="eastAsia" w:ascii="仿宋_GB2312" w:hAnsi="仿宋_GB2312" w:eastAsia="仿宋_GB2312"/>
          <w:sz w:val="32"/>
          <w:szCs w:val="32"/>
        </w:rPr>
        <w:t>预算为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万元，支出决算为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万元，完成预算的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%。其中：</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外宾接待支出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r>
        <w:rPr>
          <w:rFonts w:ascii="仿宋_GB2312" w:eastAsia="仿宋_GB2312"/>
          <w:sz w:val="32"/>
          <w:szCs w:val="32"/>
        </w:rPr>
        <w:t>2024</w:t>
      </w:r>
      <w:r>
        <w:rPr>
          <w:rFonts w:hint="eastAsia" w:ascii="仿宋_GB2312" w:hAnsi="仿宋_GB2312" w:eastAsia="仿宋_GB2312"/>
          <w:sz w:val="32"/>
          <w:szCs w:val="32"/>
        </w:rPr>
        <w:t>年共接待国（境）外来访团组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个、来访外宾</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人次（不包括陪同人员）。</w:t>
      </w:r>
    </w:p>
    <w:p>
      <w:pPr>
        <w:widowControl/>
        <w:spacing w:line="59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其他国内公务接待支出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r>
        <w:rPr>
          <w:rFonts w:ascii="仿宋_GB2312" w:eastAsia="仿宋_GB2312"/>
          <w:sz w:val="32"/>
          <w:szCs w:val="32"/>
        </w:rPr>
        <w:t>2024</w:t>
      </w:r>
      <w:r>
        <w:rPr>
          <w:rFonts w:hint="eastAsia" w:ascii="仿宋_GB2312" w:hAnsi="仿宋_GB2312" w:eastAsia="仿宋_GB2312"/>
          <w:sz w:val="32"/>
          <w:szCs w:val="32"/>
        </w:rPr>
        <w:t>年共接待国内来访团组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个、来宾</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人次（不包括陪同人员）。</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十、机关运行经费支出情况说明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年度机关运行经费支出</w:t>
      </w:r>
      <w:r>
        <w:rPr>
          <w:rFonts w:hint="eastAsia" w:ascii="仿宋_GB2312" w:hAnsi="仿宋_GB2312" w:eastAsia="仿宋_GB2312"/>
          <w:sz w:val="32"/>
          <w:szCs w:val="32"/>
          <w:lang w:val="en-US" w:eastAsia="zh-CN"/>
        </w:rPr>
        <w:t>137.17</w:t>
      </w:r>
      <w:r>
        <w:rPr>
          <w:rFonts w:hint="eastAsia" w:ascii="仿宋_GB2312" w:hAnsi="仿宋_GB2312" w:eastAsia="仿宋_GB2312"/>
          <w:sz w:val="32"/>
          <w:szCs w:val="32"/>
        </w:rPr>
        <w:t>万元，比</w:t>
      </w:r>
      <w:r>
        <w:rPr>
          <w:rFonts w:hint="eastAsia" w:ascii="仿宋_GB2312" w:eastAsia="仿宋_GB2312"/>
          <w:sz w:val="32"/>
          <w:szCs w:val="32"/>
        </w:rPr>
        <w:t>2023</w:t>
      </w:r>
      <w:r>
        <w:rPr>
          <w:rFonts w:hint="eastAsia" w:ascii="仿宋_GB2312" w:hAnsi="仿宋_GB2312" w:eastAsia="仿宋_GB2312"/>
          <w:sz w:val="32"/>
          <w:szCs w:val="32"/>
        </w:rPr>
        <w:t>年度减少</w:t>
      </w:r>
      <w:r>
        <w:rPr>
          <w:rFonts w:hint="eastAsia" w:ascii="仿宋_GB2312" w:hAnsi="仿宋_GB2312" w:eastAsia="仿宋_GB2312"/>
          <w:sz w:val="32"/>
          <w:szCs w:val="32"/>
          <w:lang w:val="en-US" w:eastAsia="zh-CN"/>
        </w:rPr>
        <w:t>88.59</w:t>
      </w:r>
      <w:r>
        <w:rPr>
          <w:rFonts w:hint="eastAsia" w:ascii="仿宋_GB2312" w:hAnsi="仿宋_GB2312" w:eastAsia="仿宋_GB2312"/>
          <w:sz w:val="32"/>
          <w:szCs w:val="32"/>
        </w:rPr>
        <w:t>万元，下降</w:t>
      </w:r>
      <w:r>
        <w:rPr>
          <w:rFonts w:hint="eastAsia" w:ascii="仿宋_GB2312" w:hAnsi="仿宋_GB2312" w:eastAsia="仿宋_GB2312"/>
          <w:sz w:val="32"/>
          <w:szCs w:val="32"/>
          <w:lang w:val="en-US" w:eastAsia="zh-CN"/>
        </w:rPr>
        <w:t>39.24</w:t>
      </w:r>
      <w:r>
        <w:rPr>
          <w:rFonts w:hint="eastAsia" w:ascii="仿宋_GB2312" w:hAnsi="仿宋_GB2312" w:eastAsia="仿宋_GB2312"/>
          <w:sz w:val="32"/>
          <w:szCs w:val="32"/>
        </w:rPr>
        <w:t>%。主要原因是我</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厉行勤俭节约，压缩</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经费。</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十一、政府采购支出情况说明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年度政府采购支出总额</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万元，其中：政府采购货物支出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万元、政府采购工程支出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万元、政府采购服务支出</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万元。授予中小企业合同金额</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万元，占政府采购支出总额的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%，其中：授予小微企业合同金额</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万元，占授予中小</w:t>
      </w:r>
      <w:r>
        <w:rPr>
          <w:rFonts w:ascii="仿宋_GB2312" w:hAnsi="仿宋_GB2312" w:eastAsia="仿宋_GB2312"/>
          <w:sz w:val="32"/>
          <w:szCs w:val="32"/>
        </w:rPr>
        <w:t>企业合同金额</w:t>
      </w:r>
      <w:r>
        <w:rPr>
          <w:rFonts w:hint="eastAsia" w:ascii="仿宋_GB2312" w:hAnsi="仿宋_GB2312" w:eastAsia="仿宋_GB2312"/>
          <w:sz w:val="32"/>
          <w:szCs w:val="32"/>
        </w:rPr>
        <w:t>的</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十二、国有资产占用情况说明</w:t>
      </w:r>
    </w:p>
    <w:p>
      <w:pPr>
        <w:widowControl/>
        <w:spacing w:line="59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hAnsi="仿宋_GB2312" w:eastAsia="仿宋_GB2312"/>
          <w:sz w:val="32"/>
          <w:szCs w:val="32"/>
        </w:rPr>
        <w:t>年期末，我单位共有车辆</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辆，其中：省级领导干部用车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辆、主要领导干部用车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辆、机要通信用车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辆、应急保障车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辆、执法执勤用车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辆、特种专业技术用车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辆、离退休干部用车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辆、其他用车</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辆；单位价值</w:t>
      </w:r>
      <w:r>
        <w:rPr>
          <w:rFonts w:hint="eastAsia" w:ascii="仿宋_GB2312" w:eastAsia="仿宋_GB2312"/>
          <w:sz w:val="32"/>
          <w:szCs w:val="32"/>
        </w:rPr>
        <w:t>100</w:t>
      </w:r>
      <w:r>
        <w:rPr>
          <w:rFonts w:hint="eastAsia" w:ascii="仿宋_GB2312" w:hAnsi="仿宋_GB2312" w:eastAsia="仿宋_GB2312"/>
          <w:sz w:val="32"/>
          <w:szCs w:val="32"/>
        </w:rPr>
        <w:t>万元（含）以上设备</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台（套）。</w:t>
      </w:r>
    </w:p>
    <w:p>
      <w:pPr>
        <w:widowControl/>
        <w:spacing w:line="590" w:lineRule="exact"/>
        <w:ind w:firstLine="640" w:firstLineChars="200"/>
        <w:outlineLvl w:val="1"/>
        <w:rPr>
          <w:rFonts w:hint="eastAsia" w:ascii="黑体" w:hAnsi="黑体" w:eastAsia="黑体"/>
          <w:sz w:val="32"/>
          <w:szCs w:val="32"/>
        </w:rPr>
      </w:pPr>
      <w:r>
        <w:rPr>
          <w:rFonts w:hint="eastAsia" w:ascii="黑体" w:hAnsi="黑体" w:eastAsia="黑体"/>
          <w:sz w:val="32"/>
          <w:szCs w:val="32"/>
        </w:rPr>
        <w:t>十三、预算绩效评价情况说明</w:t>
      </w:r>
    </w:p>
    <w:p>
      <w:pPr>
        <w:widowControl/>
        <w:spacing w:line="590" w:lineRule="exact"/>
        <w:ind w:firstLine="643" w:firstLineChars="200"/>
        <w:rPr>
          <w:rFonts w:ascii="楷体_GB2312" w:hAnsi="楷体_GB2312" w:eastAsia="楷体_GB2312"/>
          <w:b/>
          <w:bCs/>
          <w:sz w:val="32"/>
          <w:szCs w:val="32"/>
        </w:rPr>
      </w:pPr>
      <w:r>
        <w:rPr>
          <w:rFonts w:ascii="楷体_GB2312" w:hAnsi="楷体_GB2312" w:eastAsia="楷体_GB2312"/>
          <w:b/>
          <w:bCs/>
          <w:sz w:val="32"/>
          <w:szCs w:val="32"/>
        </w:rPr>
        <w:t>（一）绩效评价工作开展情况。</w:t>
      </w:r>
    </w:p>
    <w:p>
      <w:pPr>
        <w:widowControl/>
        <w:spacing w:line="590" w:lineRule="exact"/>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信阳市平桥区政协办公室</w:t>
      </w:r>
      <w:r>
        <w:rPr>
          <w:rFonts w:ascii="仿宋_GB2312" w:hAnsi="仿宋_GB2312" w:eastAsia="仿宋_GB2312"/>
          <w:sz w:val="32"/>
          <w:szCs w:val="32"/>
        </w:rPr>
        <w:t>202</w:t>
      </w:r>
      <w:r>
        <w:rPr>
          <w:rFonts w:hint="eastAsia" w:ascii="仿宋_GB2312" w:hAnsi="仿宋_GB2312" w:eastAsia="仿宋_GB2312"/>
          <w:sz w:val="32"/>
          <w:szCs w:val="32"/>
          <w:lang w:val="en-US" w:eastAsia="zh-CN"/>
        </w:rPr>
        <w:t>4</w:t>
      </w:r>
      <w:r>
        <w:rPr>
          <w:rFonts w:ascii="仿宋_GB2312" w:hAnsi="仿宋_GB2312" w:eastAsia="仿宋_GB2312"/>
          <w:sz w:val="32"/>
          <w:szCs w:val="32"/>
        </w:rPr>
        <w:t>年预算项目均按要求编制了绩效目标，从项目产出、项目效益、满意度等方面设置了绩效指标，综 合反映项目预期完成的数量、实效、质量，预期达到的社会经济 效益、可持续影响以及服务对象满意度等情况。</w:t>
      </w:r>
    </w:p>
    <w:p>
      <w:pPr>
        <w:widowControl/>
        <w:numPr>
          <w:ilvl w:val="0"/>
          <w:numId w:val="2"/>
        </w:numPr>
        <w:spacing w:line="590" w:lineRule="exact"/>
        <w:ind w:firstLine="643" w:firstLineChars="200"/>
        <w:rPr>
          <w:rFonts w:ascii="楷体_GB2312" w:hAnsi="楷体_GB2312" w:eastAsia="楷体_GB2312"/>
          <w:b/>
          <w:bCs/>
          <w:sz w:val="32"/>
          <w:szCs w:val="32"/>
        </w:rPr>
      </w:pPr>
      <w:r>
        <w:rPr>
          <w:rFonts w:ascii="楷体_GB2312" w:hAnsi="楷体_GB2312" w:eastAsia="楷体_GB2312"/>
          <w:b/>
          <w:bCs/>
          <w:sz w:val="32"/>
          <w:szCs w:val="32"/>
        </w:rPr>
        <w:t>项目绩效自评结果。</w:t>
      </w:r>
    </w:p>
    <w:p>
      <w:pPr>
        <w:widowControl/>
        <w:numPr>
          <w:ilvl w:val="0"/>
          <w:numId w:val="0"/>
        </w:numPr>
        <w:spacing w:line="590" w:lineRule="exact"/>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通过科学、规范的方法，基于项目的预算执行情况、目标实现程度等，我部门202</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年度</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个项目支出绩效自评中，</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个项目自评等级为优，</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个项目自评等级为良，0个项目自评等级为中，0个项目自评等级为差。 　　</w:t>
      </w:r>
    </w:p>
    <w:p>
      <w:pPr>
        <w:widowControl/>
        <w:spacing w:line="590" w:lineRule="exact"/>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从自评情况看，项目支出绩效管理的重视程度进一步提升，大部分项目有序开展，执行和完成情况较好，资金使用比较规范。202</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年度部分预算项目单位自评汇总表详见“第五部分附件”。</w:t>
      </w:r>
    </w:p>
    <w:p>
      <w:pPr>
        <w:widowControl/>
        <w:numPr>
          <w:ilvl w:val="0"/>
          <w:numId w:val="2"/>
        </w:numPr>
        <w:spacing w:line="590" w:lineRule="exact"/>
        <w:ind w:left="0" w:leftChars="0" w:firstLine="643" w:firstLineChars="200"/>
        <w:outlineLvl w:val="1"/>
        <w:rPr>
          <w:rFonts w:ascii="楷体_GB2312" w:hAnsi="楷体_GB2312" w:eastAsia="楷体_GB2312"/>
          <w:b/>
          <w:bCs/>
          <w:sz w:val="32"/>
          <w:szCs w:val="32"/>
        </w:rPr>
      </w:pPr>
      <w:r>
        <w:rPr>
          <w:rFonts w:ascii="楷体_GB2312" w:hAnsi="楷体_GB2312" w:eastAsia="楷体_GB2312"/>
          <w:b/>
          <w:bCs/>
          <w:sz w:val="32"/>
          <w:szCs w:val="32"/>
        </w:rPr>
        <w:t>部门评价结果（如有）。</w:t>
      </w:r>
    </w:p>
    <w:p>
      <w:pPr>
        <w:widowControl/>
        <w:spacing w:line="590" w:lineRule="exact"/>
        <w:ind w:firstLine="640" w:firstLineChars="200"/>
        <w:rPr>
          <w:rFonts w:hint="eastAsia" w:ascii="仿宋_GB2312" w:hAnsi="仿宋_GB2312" w:eastAsia="仿宋_GB2312"/>
          <w:sz w:val="32"/>
          <w:szCs w:val="32"/>
        </w:rPr>
        <w:sectPr>
          <w:pgSz w:w="11906" w:h="16838"/>
          <w:pgMar w:top="1440" w:right="1800" w:bottom="1440" w:left="1800" w:header="720" w:footer="720" w:gutter="0"/>
          <w:pgNumType w:fmt="decimal"/>
          <w:docGrid w:type="lines" w:linePitch="312" w:charSpace="0"/>
        </w:sect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年度，本部门无重点绩效评价项目</w:t>
      </w:r>
      <w:r>
        <w:rPr>
          <w:rFonts w:hint="eastAsia" w:ascii="仿宋_GB2312" w:hAnsi="仿宋_GB2312" w:eastAsia="仿宋_GB2312"/>
          <w:sz w:val="32"/>
          <w:szCs w:val="32"/>
          <w:lang w:eastAsia="zh-CN"/>
        </w:rPr>
        <w:t>。</w:t>
      </w:r>
    </w:p>
    <w:p>
      <w:pPr>
        <w:widowControl/>
        <w:jc w:val="left"/>
        <w:rPr>
          <w:rFonts w:hint="eastAsia" w:ascii="黑体" w:hAnsi="宋体" w:eastAsia="黑体"/>
          <w:kern w:val="0"/>
          <w:sz w:val="28"/>
          <w:szCs w:val="28"/>
        </w:rPr>
      </w:pPr>
    </w:p>
    <w:p>
      <w:pPr>
        <w:jc w:val="center"/>
        <w:outlineLvl w:val="0"/>
        <w:rPr>
          <w:rFonts w:ascii="黑体" w:hAnsi="黑体" w:eastAsia="黑体"/>
          <w:sz w:val="48"/>
          <w:szCs w:val="48"/>
        </w:rPr>
      </w:pPr>
    </w:p>
    <w:p>
      <w:pPr>
        <w:jc w:val="center"/>
        <w:outlineLvl w:val="0"/>
        <w:rPr>
          <w:rFonts w:ascii="黑体" w:hAnsi="黑体" w:eastAsia="黑体"/>
          <w:sz w:val="48"/>
          <w:szCs w:val="48"/>
        </w:rPr>
      </w:pPr>
    </w:p>
    <w:p>
      <w:pPr>
        <w:jc w:val="center"/>
        <w:outlineLvl w:val="0"/>
        <w:rPr>
          <w:rFonts w:ascii="黑体" w:hAnsi="黑体" w:eastAsia="黑体"/>
          <w:sz w:val="48"/>
          <w:szCs w:val="48"/>
        </w:rPr>
      </w:pPr>
    </w:p>
    <w:p>
      <w:pPr>
        <w:jc w:val="center"/>
        <w:outlineLvl w:val="0"/>
        <w:rPr>
          <w:rFonts w:ascii="黑体" w:hAnsi="黑体" w:eastAsia="黑体"/>
          <w:sz w:val="48"/>
          <w:szCs w:val="48"/>
        </w:rPr>
      </w:pPr>
    </w:p>
    <w:p>
      <w:pPr>
        <w:jc w:val="center"/>
        <w:outlineLvl w:val="0"/>
        <w:rPr>
          <w:rFonts w:ascii="黑体" w:hAnsi="黑体" w:eastAsia="黑体"/>
          <w:sz w:val="48"/>
          <w:szCs w:val="48"/>
        </w:rPr>
      </w:pPr>
    </w:p>
    <w:p>
      <w:pPr>
        <w:jc w:val="center"/>
        <w:outlineLvl w:val="0"/>
        <w:rPr>
          <w:rFonts w:ascii="黑体" w:hAnsi="黑体" w:eastAsia="黑体"/>
          <w:sz w:val="48"/>
          <w:szCs w:val="48"/>
        </w:rPr>
      </w:pPr>
    </w:p>
    <w:p>
      <w:pPr>
        <w:jc w:val="center"/>
        <w:outlineLvl w:val="0"/>
        <w:rPr>
          <w:rFonts w:hint="eastAsia" w:ascii="黑体" w:hAnsi="黑体" w:eastAsia="黑体"/>
          <w:sz w:val="48"/>
          <w:szCs w:val="48"/>
        </w:rPr>
      </w:pPr>
      <w:r>
        <w:rPr>
          <w:rFonts w:hint="eastAsia" w:ascii="黑体" w:hAnsi="黑体" w:eastAsia="黑体"/>
          <w:sz w:val="48"/>
          <w:szCs w:val="48"/>
        </w:rPr>
        <w:t>第四部分  名词解释</w:t>
      </w:r>
    </w:p>
    <w:p>
      <w:pPr>
        <w:jc w:val="center"/>
        <w:rPr>
          <w:rFonts w:hint="eastAsia" w:ascii="黑体" w:hAnsi="黑体" w:eastAsia="黑体"/>
          <w:sz w:val="48"/>
          <w:szCs w:val="48"/>
        </w:rPr>
      </w:pPr>
    </w:p>
    <w:p>
      <w:pPr>
        <w:jc w:val="center"/>
        <w:outlineLvl w:val="0"/>
        <w:rPr>
          <w:rFonts w:hint="eastAsia" w:ascii="黑体" w:hAnsi="黑体" w:eastAsia="黑体"/>
          <w:sz w:val="48"/>
          <w:szCs w:val="48"/>
        </w:rPr>
        <w:sectPr>
          <w:pgSz w:w="11906" w:h="16838"/>
          <w:pgMar w:top="1440" w:right="1531" w:bottom="1440" w:left="1587" w:header="850" w:footer="992" w:gutter="0"/>
          <w:pgNumType w:fmt="decimal"/>
          <w:docGrid w:type="lines" w:linePitch="317" w:charSpace="0"/>
        </w:sectPr>
      </w:pP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七、使用非财政拨款结余（含专用结余）：指事业单位使用以前年度积累的非财政拨款结余弥补当年收支差额的金额。</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八、</w:t>
      </w:r>
      <w:r>
        <w:rPr>
          <w:rFonts w:ascii="仿宋_GB2312" w:hAnsi="仿宋_GB2312" w:eastAsia="仿宋_GB2312"/>
          <w:sz w:val="32"/>
          <w:szCs w:val="32"/>
        </w:rPr>
        <w:t>年初结转和结余：指单位以前年度尚未完成、结转到本年仍按原规定用途继续使用的资金，或项目已完成等产生的结余资金。</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九、基本支出：为保障机构正常运转、完成日常工作任务而发生的人员支出和公用支出。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十一</w:t>
      </w:r>
      <w:r>
        <w:rPr>
          <w:rFonts w:ascii="仿宋_GB2312" w:hAnsi="仿宋_GB2312" w:eastAsia="仿宋_GB2312"/>
          <w:sz w:val="32"/>
          <w:szCs w:val="32"/>
        </w:rPr>
        <w:t>、经营支出：指事业单位在专业业务活动及其辅助活动之外开展非独立核算经营活动发生的支出。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十三、商品和服务支出：单位购买商品和服务的支出。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十五、</w:t>
      </w:r>
      <w:r>
        <w:rPr>
          <w:rFonts w:ascii="仿宋_GB2312" w:hAnsi="仿宋_GB2312" w:eastAsia="仿宋_GB2312"/>
          <w:sz w:val="32"/>
          <w:szCs w:val="32"/>
        </w:rPr>
        <w:t>结余分配：指事业单位按照会计制度规定缴纳的所得税、提取的专用结余以及转入非财政拨款结余的金额等。</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十六、年末结转和</w:t>
      </w:r>
      <w:r>
        <w:rPr>
          <w:rFonts w:ascii="仿宋_GB2312" w:hAnsi="仿宋_GB2312" w:eastAsia="仿宋_GB2312"/>
          <w:sz w:val="32"/>
          <w:szCs w:val="32"/>
        </w:rPr>
        <w:t>结余</w:t>
      </w:r>
      <w:r>
        <w:rPr>
          <w:rFonts w:hint="eastAsia" w:ascii="仿宋_GB2312" w:hAnsi="仿宋_GB2312" w:eastAsia="仿宋_GB2312"/>
          <w:sz w:val="32"/>
          <w:szCs w:val="32"/>
        </w:rPr>
        <w:t>：指</w:t>
      </w:r>
      <w:r>
        <w:rPr>
          <w:rFonts w:ascii="仿宋_GB2312" w:hAnsi="仿宋_GB2312" w:eastAsia="仿宋_GB2312"/>
          <w:sz w:val="32"/>
          <w:szCs w:val="32"/>
        </w:rPr>
        <w:t>单位按有关规定结转到下年或以后年度</w:t>
      </w:r>
      <w:r>
        <w:rPr>
          <w:rFonts w:hint="eastAsia" w:ascii="仿宋_GB2312" w:hAnsi="仿宋_GB2312" w:eastAsia="仿宋_GB2312"/>
          <w:sz w:val="32"/>
          <w:szCs w:val="32"/>
        </w:rPr>
        <w:t>继续</w:t>
      </w:r>
      <w:r>
        <w:rPr>
          <w:rFonts w:ascii="仿宋_GB2312" w:hAnsi="仿宋_GB2312" w:eastAsia="仿宋_GB2312"/>
          <w:sz w:val="32"/>
          <w:szCs w:val="32"/>
        </w:rPr>
        <w:t>使用的资金，或项目已完成等产生的结余资金。</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七、一般公共预算财政拨款“三公”经费：纳入同级财政一般公共预算管理“三公”经费，指单位使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公务用车燃料费、新能源汽车</w:t>
      </w:r>
      <w:r>
        <w:rPr>
          <w:rFonts w:ascii="仿宋_GB2312" w:hAnsi="仿宋_GB2312" w:eastAsia="仿宋_GB2312"/>
          <w:sz w:val="32"/>
          <w:szCs w:val="32"/>
        </w:rPr>
        <w:t>充电</w:t>
      </w:r>
      <w:r>
        <w:rPr>
          <w:rFonts w:hint="eastAsia" w:ascii="仿宋_GB2312" w:hAnsi="仿宋_GB2312" w:eastAsia="仿宋_GB2312"/>
          <w:sz w:val="32"/>
          <w:szCs w:val="32"/>
        </w:rPr>
        <w:t>费</w:t>
      </w:r>
      <w:r>
        <w:rPr>
          <w:rFonts w:ascii="仿宋_GB2312" w:hAnsi="仿宋_GB2312" w:eastAsia="仿宋_GB2312"/>
          <w:sz w:val="32"/>
          <w:szCs w:val="32"/>
        </w:rPr>
        <w:t>、</w:t>
      </w:r>
      <w:r>
        <w:rPr>
          <w:rFonts w:hint="eastAsia" w:ascii="仿宋_GB2312" w:hAnsi="仿宋_GB2312" w:eastAsia="仿宋_GB2312"/>
          <w:sz w:val="32"/>
          <w:szCs w:val="32"/>
        </w:rPr>
        <w:t>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十八、机关运行经费：为保障行政单位（含参照公务员法管理的事业单位）运行用于购买货物和服务的各项资金，包括办公及印刷费、邮电费、差旅费、会议费、福利费、日常维修费、专用材料费、办公用房水电费、办公用房取暖费、办公用房物业管理费、公务用车运行维护费以及其他费用。</w:t>
      </w:r>
    </w:p>
    <w:p>
      <w:pPr>
        <w:widowControl/>
        <w:spacing w:line="590" w:lineRule="exact"/>
        <w:ind w:firstLine="643" w:firstLineChars="200"/>
        <w:jc w:val="left"/>
        <w:rPr>
          <w:rFonts w:hint="eastAsia" w:ascii="仿宋_GB2312" w:hAnsi="仿宋_GB2312" w:eastAsia="仿宋_GB2312"/>
          <w:b/>
          <w:sz w:val="32"/>
          <w:szCs w:val="32"/>
        </w:rPr>
        <w:sectPr>
          <w:pgSz w:w="11906" w:h="16838"/>
          <w:pgMar w:top="1928" w:right="1474" w:bottom="1701" w:left="1588" w:header="851" w:footer="992" w:gutter="0"/>
          <w:pgNumType w:fmt="decimal"/>
          <w:docGrid w:type="lines" w:linePitch="312" w:charSpace="0"/>
        </w:sectPr>
      </w:pPr>
    </w:p>
    <w:tbl>
      <w:tblPr>
        <w:tblStyle w:val="2"/>
        <w:tblW w:w="4999" w:type="pct"/>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5"/>
        <w:gridCol w:w="112"/>
        <w:gridCol w:w="456"/>
        <w:gridCol w:w="696"/>
        <w:gridCol w:w="1822"/>
        <w:gridCol w:w="630"/>
        <w:gridCol w:w="4482"/>
        <w:gridCol w:w="936"/>
        <w:gridCol w:w="936"/>
        <w:gridCol w:w="456"/>
        <w:gridCol w:w="2330"/>
        <w:gridCol w:w="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06" w:type="dxa"/>
            <w:gridSpan w:val="11"/>
            <w:noWrap/>
            <w:vAlign w:val="center"/>
          </w:tcPr>
          <w:p>
            <w:pPr>
              <w:keepNext w:val="0"/>
              <w:keepLines w:val="0"/>
              <w:widowControl/>
              <w:suppressLineNumbers w:val="0"/>
              <w:jc w:val="center"/>
              <w:rPr>
                <w:rFonts w:hint="eastAsia" w:ascii="宋体" w:hAnsi="宋体" w:eastAsia="宋体"/>
                <w:i w:val="0"/>
                <w:iCs w:val="0"/>
                <w:color w:val="000000"/>
                <w:kern w:val="0"/>
                <w:sz w:val="40"/>
                <w:szCs w:val="40"/>
                <w:u w:val="none"/>
                <w:lang w:val="en-US" w:eastAsia="zh-CN" w:bidi="ar"/>
              </w:rPr>
            </w:pPr>
            <w:r>
              <w:rPr>
                <w:rFonts w:hint="eastAsia" w:ascii="宋体" w:hAnsi="宋体" w:eastAsia="宋体"/>
                <w:i w:val="0"/>
                <w:iCs w:val="0"/>
                <w:color w:val="000000"/>
                <w:kern w:val="0"/>
                <w:sz w:val="40"/>
                <w:szCs w:val="40"/>
                <w:u w:val="none"/>
                <w:lang w:val="en-US" w:eastAsia="zh-CN" w:bidi="ar"/>
              </w:rPr>
              <w:t xml:space="preserve">项目支出绩效自评情况表 </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3206" w:type="dxa"/>
            <w:gridSpan w:val="11"/>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2025年11月</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项目名称</w:t>
            </w:r>
          </w:p>
        </w:tc>
        <w:tc>
          <w:tcPr>
            <w:tcW w:w="12287" w:type="dxa"/>
            <w:gridSpan w:val="8"/>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政协2024年会议费</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主管部门</w:t>
            </w:r>
          </w:p>
        </w:tc>
        <w:tc>
          <w:tcPr>
            <w:tcW w:w="251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中国人民政治协商会议信阳市平桥区委员会</w:t>
            </w: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实施单位</w:t>
            </w:r>
          </w:p>
        </w:tc>
        <w:tc>
          <w:tcPr>
            <w:tcW w:w="4659" w:type="dxa"/>
            <w:gridSpan w:val="4"/>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信阳市平桥区政协办公室</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项目资金                (万元)</w:t>
            </w:r>
          </w:p>
        </w:tc>
        <w:tc>
          <w:tcPr>
            <w:tcW w:w="507" w:type="dxa"/>
            <w:noWrap/>
            <w:vAlign w:val="center"/>
          </w:tcPr>
          <w:p>
            <w:pPr>
              <w:jc w:val="center"/>
              <w:rPr>
                <w:rFonts w:hint="eastAsia" w:ascii="宋体" w:hAnsi="宋体" w:eastAsia="宋体"/>
                <w:i w:val="0"/>
                <w:iCs w:val="0"/>
                <w:color w:val="000000"/>
                <w:sz w:val="24"/>
                <w:szCs w:val="24"/>
                <w:u w:val="none"/>
              </w:rPr>
            </w:pPr>
          </w:p>
        </w:tc>
        <w:tc>
          <w:tcPr>
            <w:tcW w:w="33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年初预算数</w:t>
            </w:r>
          </w:p>
        </w:tc>
        <w:tc>
          <w:tcPr>
            <w:tcW w:w="630"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全年预算数</w:t>
            </w:r>
          </w:p>
        </w:tc>
        <w:tc>
          <w:tcPr>
            <w:tcW w:w="1168"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全年执行数</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分值</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执行率</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得分</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50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w:t>
            </w:r>
            <w:r>
              <w:rPr>
                <w:rStyle w:val="20"/>
                <w:lang w:val="en-US" w:eastAsia="zh-CN" w:bidi="ar"/>
              </w:rPr>
              <w:t xml:space="preserve"> 年度资金总额：</w:t>
            </w:r>
          </w:p>
        </w:tc>
        <w:tc>
          <w:tcPr>
            <w:tcW w:w="33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140</w:t>
            </w:r>
          </w:p>
        </w:tc>
        <w:tc>
          <w:tcPr>
            <w:tcW w:w="630"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140</w:t>
            </w:r>
          </w:p>
        </w:tc>
        <w:tc>
          <w:tcPr>
            <w:tcW w:w="1168"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106.75</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76.25%</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7.6</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50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财政拨款</w:t>
            </w:r>
          </w:p>
        </w:tc>
        <w:tc>
          <w:tcPr>
            <w:tcW w:w="33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140</w:t>
            </w:r>
          </w:p>
        </w:tc>
        <w:tc>
          <w:tcPr>
            <w:tcW w:w="630"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140</w:t>
            </w:r>
          </w:p>
        </w:tc>
        <w:tc>
          <w:tcPr>
            <w:tcW w:w="1168"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106.75</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76.25%</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50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财政专户管理资金</w:t>
            </w:r>
          </w:p>
        </w:tc>
        <w:tc>
          <w:tcPr>
            <w:tcW w:w="33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630"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1168"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0.00%</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50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单位资金</w:t>
            </w:r>
          </w:p>
        </w:tc>
        <w:tc>
          <w:tcPr>
            <w:tcW w:w="337"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630"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1168"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0.00%</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资金管理情况</w:t>
            </w:r>
          </w:p>
        </w:tc>
        <w:tc>
          <w:tcPr>
            <w:tcW w:w="2519" w:type="dxa"/>
            <w:gridSpan w:val="2"/>
            <w:noWrap/>
            <w:vAlign w:val="center"/>
          </w:tcPr>
          <w:p>
            <w:pPr>
              <w:jc w:val="center"/>
              <w:rPr>
                <w:rFonts w:hint="eastAsia" w:ascii="宋体" w:hAnsi="宋体" w:eastAsia="宋体"/>
                <w:i w:val="0"/>
                <w:iCs w:val="0"/>
                <w:color w:val="000000"/>
                <w:sz w:val="24"/>
                <w:szCs w:val="24"/>
                <w:u w:val="none"/>
              </w:rPr>
            </w:pP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情况说明</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分值（20）</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得分</w:t>
            </w:r>
          </w:p>
        </w:tc>
        <w:tc>
          <w:tcPr>
            <w:tcW w:w="2176"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存在问题和改进措施</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251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安排科学性</w:t>
            </w: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我单位项目资金使用由专门项目组及财务把控，资金使用科学、规范、合理、合规。</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176" w:type="dxa"/>
            <w:gridSpan w:val="2"/>
            <w:noWrap/>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251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拨付合规性</w:t>
            </w: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我单位项目资金使用由专门项目组及财务把控，资金使用科学、规范、合理、合规。</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176" w:type="dxa"/>
            <w:gridSpan w:val="2"/>
            <w:noWrap/>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251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使用规范性</w:t>
            </w: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我单位项目资金使用由专门项目组及财务把控，资金使用科学、规范、合理、合规。</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176" w:type="dxa"/>
            <w:gridSpan w:val="2"/>
            <w:noWrap/>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9" w:type="dxa"/>
            <w:gridSpan w:val="3"/>
            <w:vMerge w:val="continue"/>
            <w:vAlign w:val="center"/>
          </w:tcPr>
          <w:p>
            <w:pPr>
              <w:jc w:val="center"/>
              <w:rPr>
                <w:rFonts w:hint="eastAsia" w:ascii="宋体" w:hAnsi="宋体" w:eastAsia="宋体"/>
                <w:i w:val="0"/>
                <w:iCs w:val="0"/>
                <w:color w:val="000000"/>
                <w:sz w:val="24"/>
                <w:szCs w:val="24"/>
                <w:u w:val="none"/>
              </w:rPr>
            </w:pPr>
          </w:p>
        </w:tc>
        <w:tc>
          <w:tcPr>
            <w:tcW w:w="251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预算绩效管理情况</w:t>
            </w:r>
          </w:p>
        </w:tc>
        <w:tc>
          <w:tcPr>
            <w:tcW w:w="510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我单位项目执行达到预期目标，项目管理科学规范。</w:t>
            </w:r>
          </w:p>
        </w:tc>
        <w:tc>
          <w:tcPr>
            <w:tcW w:w="39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436"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176" w:type="dxa"/>
            <w:gridSpan w:val="2"/>
            <w:noWrap/>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5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年度总体目标</w:t>
            </w:r>
          </w:p>
        </w:tc>
        <w:tc>
          <w:tcPr>
            <w:tcW w:w="3107" w:type="dxa"/>
            <w:gridSpan w:val="4"/>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预期目标</w:t>
            </w:r>
          </w:p>
        </w:tc>
        <w:tc>
          <w:tcPr>
            <w:tcW w:w="9768" w:type="dxa"/>
            <w:gridSpan w:val="6"/>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实际完成情况</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4" w:hRule="atLeast"/>
        </w:trPr>
        <w:tc>
          <w:tcPr>
            <w:tcW w:w="150" w:type="dxa"/>
            <w:vMerge w:val="continue"/>
            <w:vAlign w:val="center"/>
          </w:tcPr>
          <w:p>
            <w:pPr>
              <w:jc w:val="center"/>
              <w:rPr>
                <w:rFonts w:hint="eastAsia" w:ascii="宋体" w:hAnsi="宋体" w:eastAsia="宋体"/>
                <w:i w:val="0"/>
                <w:iCs w:val="0"/>
                <w:color w:val="000000"/>
                <w:sz w:val="24"/>
                <w:szCs w:val="24"/>
                <w:u w:val="none"/>
              </w:rPr>
            </w:pPr>
          </w:p>
        </w:tc>
        <w:tc>
          <w:tcPr>
            <w:tcW w:w="3107" w:type="dxa"/>
            <w:gridSpan w:val="4"/>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专项经费140万元，其中视察20万元，例会8万元，政协全会55万元，委员活动费用12万元，赴外地考察费用20万元，印刷10万元，接待上级及外地政协考察调查15万元。</w:t>
            </w:r>
          </w:p>
        </w:tc>
        <w:tc>
          <w:tcPr>
            <w:tcW w:w="9768" w:type="dxa"/>
            <w:gridSpan w:val="6"/>
            <w:noWrap/>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专项经费140万元，其中视察20万元，例会8万元，政协全会55万元，委员活动费用12万元，赴外地考察费用20万元，印刷10万元，接待上级及外地政协考察调查15万元。</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206" w:type="dxa"/>
            <w:gridSpan w:val="11"/>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绩效指标</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206" w:type="dxa"/>
            <w:gridSpan w:val="11"/>
            <w:vMerge w:val="continue"/>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469" w:type="dxa"/>
            <w:gridSpan w:val="2"/>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一级指标</w:t>
            </w:r>
          </w:p>
        </w:tc>
        <w:tc>
          <w:tcPr>
            <w:tcW w:w="379"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二级指标</w:t>
            </w:r>
          </w:p>
        </w:tc>
        <w:tc>
          <w:tcPr>
            <w:tcW w:w="2519" w:type="dxa"/>
            <w:gridSpan w:val="2"/>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三级指标</w:t>
            </w:r>
          </w:p>
        </w:tc>
        <w:tc>
          <w:tcPr>
            <w:tcW w:w="63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年度指标值</w:t>
            </w:r>
          </w:p>
        </w:tc>
        <w:tc>
          <w:tcPr>
            <w:tcW w:w="1168"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实际值完成值</w:t>
            </w:r>
          </w:p>
        </w:tc>
        <w:tc>
          <w:tcPr>
            <w:tcW w:w="396"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分值</w:t>
            </w:r>
          </w:p>
        </w:tc>
        <w:tc>
          <w:tcPr>
            <w:tcW w:w="436"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得分</w:t>
            </w:r>
          </w:p>
        </w:tc>
        <w:tc>
          <w:tcPr>
            <w:tcW w:w="18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偏差度</w:t>
            </w:r>
          </w:p>
        </w:tc>
        <w:tc>
          <w:tcPr>
            <w:tcW w:w="537"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偏差原因分析及改进措施</w:t>
            </w: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469" w:type="dxa"/>
            <w:gridSpan w:val="2"/>
            <w:vMerge w:val="continue"/>
            <w:vAlign w:val="center"/>
          </w:tcPr>
          <w:p>
            <w:pPr>
              <w:jc w:val="center"/>
              <w:rPr>
                <w:rFonts w:hint="eastAsia" w:ascii="宋体" w:hAnsi="宋体" w:eastAsia="宋体"/>
                <w:i w:val="0"/>
                <w:iCs w:val="0"/>
                <w:color w:val="000000"/>
                <w:sz w:val="24"/>
                <w:szCs w:val="24"/>
                <w:u w:val="none"/>
              </w:rPr>
            </w:pPr>
          </w:p>
        </w:tc>
        <w:tc>
          <w:tcPr>
            <w:tcW w:w="379" w:type="dxa"/>
            <w:vMerge w:val="continue"/>
            <w:vAlign w:val="center"/>
          </w:tcPr>
          <w:p>
            <w:pPr>
              <w:jc w:val="center"/>
              <w:rPr>
                <w:rFonts w:hint="eastAsia" w:ascii="宋体" w:hAnsi="宋体" w:eastAsia="宋体"/>
                <w:i w:val="0"/>
                <w:iCs w:val="0"/>
                <w:color w:val="000000"/>
                <w:sz w:val="24"/>
                <w:szCs w:val="24"/>
                <w:u w:val="none"/>
              </w:rPr>
            </w:pPr>
          </w:p>
        </w:tc>
        <w:tc>
          <w:tcPr>
            <w:tcW w:w="2519" w:type="dxa"/>
            <w:gridSpan w:val="2"/>
            <w:vMerge w:val="continue"/>
            <w:vAlign w:val="center"/>
          </w:tcPr>
          <w:p>
            <w:pPr>
              <w:jc w:val="center"/>
              <w:rPr>
                <w:rFonts w:hint="eastAsia" w:ascii="宋体" w:hAnsi="宋体" w:eastAsia="宋体"/>
                <w:i w:val="0"/>
                <w:iCs w:val="0"/>
                <w:color w:val="000000"/>
                <w:sz w:val="24"/>
                <w:szCs w:val="24"/>
                <w:u w:val="none"/>
              </w:rPr>
            </w:pPr>
          </w:p>
        </w:tc>
        <w:tc>
          <w:tcPr>
            <w:tcW w:w="630" w:type="dxa"/>
            <w:vMerge w:val="continue"/>
            <w:vAlign w:val="center"/>
          </w:tcPr>
          <w:p>
            <w:pPr>
              <w:jc w:val="center"/>
              <w:rPr>
                <w:rFonts w:hint="eastAsia" w:ascii="宋体" w:hAnsi="宋体" w:eastAsia="宋体"/>
                <w:i w:val="0"/>
                <w:iCs w:val="0"/>
                <w:color w:val="000000"/>
                <w:sz w:val="24"/>
                <w:szCs w:val="24"/>
                <w:u w:val="none"/>
              </w:rPr>
            </w:pPr>
          </w:p>
        </w:tc>
        <w:tc>
          <w:tcPr>
            <w:tcW w:w="1168" w:type="dxa"/>
            <w:vMerge w:val="continue"/>
            <w:vAlign w:val="center"/>
          </w:tcPr>
          <w:p>
            <w:pPr>
              <w:jc w:val="center"/>
              <w:rPr>
                <w:rFonts w:hint="eastAsia" w:ascii="宋体" w:hAnsi="宋体" w:eastAsia="宋体"/>
                <w:i w:val="0"/>
                <w:iCs w:val="0"/>
                <w:color w:val="000000"/>
                <w:sz w:val="24"/>
                <w:szCs w:val="24"/>
                <w:u w:val="none"/>
              </w:rPr>
            </w:pPr>
          </w:p>
        </w:tc>
        <w:tc>
          <w:tcPr>
            <w:tcW w:w="396" w:type="dxa"/>
            <w:vMerge w:val="continue"/>
            <w:vAlign w:val="center"/>
          </w:tcPr>
          <w:p>
            <w:pPr>
              <w:jc w:val="center"/>
              <w:rPr>
                <w:rFonts w:hint="eastAsia" w:ascii="宋体" w:hAnsi="宋体" w:eastAsia="宋体"/>
                <w:i w:val="0"/>
                <w:iCs w:val="0"/>
                <w:color w:val="000000"/>
                <w:sz w:val="24"/>
                <w:szCs w:val="24"/>
                <w:u w:val="none"/>
              </w:rPr>
            </w:pPr>
          </w:p>
        </w:tc>
        <w:tc>
          <w:tcPr>
            <w:tcW w:w="436" w:type="dxa"/>
            <w:vMerge w:val="continue"/>
            <w:vAlign w:val="center"/>
          </w:tcPr>
          <w:p>
            <w:pPr>
              <w:jc w:val="center"/>
              <w:rPr>
                <w:rFonts w:hint="eastAsia" w:ascii="宋体" w:hAnsi="宋体" w:eastAsia="宋体"/>
                <w:i w:val="0"/>
                <w:iCs w:val="0"/>
                <w:color w:val="000000"/>
                <w:sz w:val="24"/>
                <w:szCs w:val="24"/>
                <w:u w:val="none"/>
              </w:rPr>
            </w:pPr>
          </w:p>
        </w:tc>
        <w:tc>
          <w:tcPr>
            <w:tcW w:w="180" w:type="dxa"/>
            <w:vMerge w:val="continue"/>
            <w:vAlign w:val="center"/>
          </w:tcPr>
          <w:p>
            <w:pPr>
              <w:jc w:val="center"/>
              <w:rPr>
                <w:rFonts w:hint="eastAsia" w:ascii="宋体" w:hAnsi="宋体" w:eastAsia="宋体"/>
                <w:i w:val="0"/>
                <w:iCs w:val="0"/>
                <w:color w:val="000000"/>
                <w:sz w:val="24"/>
                <w:szCs w:val="24"/>
                <w:u w:val="none"/>
              </w:rPr>
            </w:pPr>
          </w:p>
        </w:tc>
        <w:tc>
          <w:tcPr>
            <w:tcW w:w="537" w:type="dxa"/>
            <w:vMerge w:val="continue"/>
            <w:vAlign w:val="center"/>
          </w:tcPr>
          <w:p>
            <w:pPr>
              <w:jc w:val="center"/>
              <w:rPr>
                <w:rFonts w:hint="eastAsia" w:ascii="宋体" w:hAnsi="宋体" w:eastAsia="宋体"/>
                <w:i w:val="0"/>
                <w:iCs w:val="0"/>
                <w:color w:val="000000"/>
                <w:sz w:val="24"/>
                <w:szCs w:val="24"/>
                <w:u w:val="none"/>
              </w:rPr>
            </w:pPr>
          </w:p>
        </w:tc>
        <w:tc>
          <w:tcPr>
            <w:tcW w:w="171" w:type="dxa"/>
            <w:noWrap/>
            <w:vAlign w:val="center"/>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成本指标</w:t>
            </w: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经济成本指标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项目成本</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≤140万元</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106.75万元</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产出指标</w:t>
            </w: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数量指标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会议开展次数</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≥5次数</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5次</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Merge w:val="continue"/>
            <w:vAlign w:val="center"/>
          </w:tcPr>
          <w:p>
            <w:pPr>
              <w:jc w:val="center"/>
              <w:rPr>
                <w:rFonts w:hint="eastAsia" w:ascii="宋体" w:hAnsi="宋体" w:eastAsia="宋体"/>
                <w:i w:val="0"/>
                <w:iCs w:val="0"/>
                <w:color w:val="000000"/>
                <w:sz w:val="24"/>
                <w:szCs w:val="24"/>
                <w:u w:val="none"/>
              </w:rPr>
            </w:pP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质量指标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资金支付足额情况</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足额</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Merge w:val="continue"/>
            <w:vAlign w:val="center"/>
          </w:tcPr>
          <w:p>
            <w:pPr>
              <w:jc w:val="center"/>
              <w:rPr>
                <w:rFonts w:hint="eastAsia" w:ascii="宋体" w:hAnsi="宋体" w:eastAsia="宋体"/>
                <w:i w:val="0"/>
                <w:iCs w:val="0"/>
                <w:color w:val="000000"/>
                <w:sz w:val="24"/>
                <w:szCs w:val="24"/>
                <w:u w:val="none"/>
              </w:rPr>
            </w:pP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时效指标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资金支付及时情况</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及时</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效益指标</w:t>
            </w: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社会效益指标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加强社会基层建设情况</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加强</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6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满意度指标</w:t>
            </w:r>
          </w:p>
        </w:tc>
        <w:tc>
          <w:tcPr>
            <w:tcW w:w="379"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服务对象满意度指标</w:t>
            </w:r>
          </w:p>
        </w:tc>
        <w:tc>
          <w:tcPr>
            <w:tcW w:w="2519"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群众满意度</w:t>
            </w:r>
          </w:p>
        </w:tc>
        <w:tc>
          <w:tcPr>
            <w:tcW w:w="63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≥95%</w:t>
            </w:r>
          </w:p>
        </w:tc>
        <w:tc>
          <w:tcPr>
            <w:tcW w:w="116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95%</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547" w:type="dxa"/>
            <w:gridSpan w:val="7"/>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总分</w:t>
            </w:r>
          </w:p>
        </w:tc>
        <w:tc>
          <w:tcPr>
            <w:tcW w:w="39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436"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97.6</w:t>
            </w:r>
          </w:p>
        </w:tc>
        <w:tc>
          <w:tcPr>
            <w:tcW w:w="180" w:type="dxa"/>
            <w:vAlign w:val="center"/>
          </w:tcPr>
          <w:p>
            <w:pPr>
              <w:jc w:val="center"/>
              <w:rPr>
                <w:rFonts w:hint="eastAsia" w:ascii="宋体" w:hAnsi="宋体" w:eastAsia="宋体"/>
                <w:i w:val="0"/>
                <w:iCs w:val="0"/>
                <w:color w:val="000000"/>
                <w:sz w:val="24"/>
                <w:szCs w:val="24"/>
                <w:u w:val="none"/>
              </w:rPr>
            </w:pPr>
          </w:p>
        </w:tc>
        <w:tc>
          <w:tcPr>
            <w:tcW w:w="537" w:type="dxa"/>
            <w:vAlign w:val="center"/>
          </w:tcPr>
          <w:p>
            <w:pPr>
              <w:jc w:val="center"/>
              <w:rPr>
                <w:rFonts w:hint="eastAsia" w:ascii="宋体" w:hAnsi="宋体" w:eastAsia="宋体"/>
                <w:i w:val="0"/>
                <w:iCs w:val="0"/>
                <w:color w:val="000000"/>
                <w:sz w:val="24"/>
                <w:szCs w:val="24"/>
                <w:u w:val="none"/>
              </w:rPr>
            </w:pPr>
          </w:p>
        </w:tc>
        <w:tc>
          <w:tcPr>
            <w:tcW w:w="171" w:type="dxa"/>
            <w:noWrap/>
            <w:vAlign w:val="bottom"/>
          </w:tcPr>
          <w:p>
            <w:pPr>
              <w:rPr>
                <w:rFonts w:hint="eastAsia" w:ascii="等线" w:hAnsi="等线" w:eastAsia="等线"/>
                <w:i w:val="0"/>
                <w:iCs w:val="0"/>
                <w:color w:val="000000"/>
                <w:sz w:val="22"/>
                <w:szCs w:val="22"/>
                <w:u w:val="none"/>
              </w:rPr>
            </w:pPr>
          </w:p>
        </w:tc>
      </w:tr>
    </w:tbl>
    <w:p>
      <w:pPr>
        <w:widowControl/>
        <w:spacing w:line="590" w:lineRule="exact"/>
        <w:ind w:firstLine="643" w:firstLineChars="200"/>
        <w:jc w:val="left"/>
        <w:rPr>
          <w:rFonts w:hint="eastAsia" w:ascii="仿宋_GB2312" w:hAnsi="仿宋_GB2312" w:eastAsia="仿宋_GB2312"/>
          <w:b/>
          <w:sz w:val="32"/>
          <w:szCs w:val="32"/>
        </w:rPr>
        <w:sectPr>
          <w:pgSz w:w="16838" w:h="11906" w:orient="landscape"/>
          <w:pgMar w:top="1588" w:right="1928" w:bottom="1474" w:left="1701" w:header="851" w:footer="992" w:gutter="0"/>
          <w:pgNumType w:fmt="decimal"/>
          <w:docGrid w:type="lines" w:linePitch="312" w:charSpace="0"/>
        </w:sectPr>
      </w:pPr>
    </w:p>
    <w:tbl>
      <w:tblPr>
        <w:tblStyle w:val="2"/>
        <w:tblW w:w="5000" w:type="pct"/>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8"/>
        <w:gridCol w:w="2010"/>
        <w:gridCol w:w="1712"/>
        <w:gridCol w:w="539"/>
        <w:gridCol w:w="2076"/>
        <w:gridCol w:w="2143"/>
        <w:gridCol w:w="539"/>
        <w:gridCol w:w="646"/>
        <w:gridCol w:w="928"/>
        <w:gridCol w:w="861"/>
        <w:gridCol w:w="15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3425" w:type="dxa"/>
            <w:gridSpan w:val="11"/>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部门整体支出绩效自评情况表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425" w:type="dxa"/>
            <w:gridSpan w:val="11"/>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2025年11月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679" w:type="dxa"/>
            <w:gridSpan w:val="3"/>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部门（单位）名称</w:t>
            </w:r>
          </w:p>
        </w:tc>
        <w:tc>
          <w:tcPr>
            <w:tcW w:w="8746" w:type="dxa"/>
            <w:gridSpan w:val="8"/>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信阳市平桥区政协办公室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2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部门整体支出情况(万元)</w:t>
            </w:r>
          </w:p>
        </w:tc>
        <w:tc>
          <w:tcPr>
            <w:tcW w:w="3284" w:type="dxa"/>
            <w:gridSpan w:val="2"/>
            <w:noWrap/>
            <w:vAlign w:val="center"/>
          </w:tcPr>
          <w:p>
            <w:pPr>
              <w:jc w:val="center"/>
              <w:rPr>
                <w:rFonts w:hint="eastAsia" w:ascii="宋体" w:hAnsi="宋体" w:eastAsia="宋体"/>
                <w:i w:val="0"/>
                <w:iCs w:val="0"/>
                <w:color w:val="000000"/>
                <w:sz w:val="24"/>
                <w:szCs w:val="24"/>
                <w:u w:val="none"/>
              </w:rPr>
            </w:pP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年初预算数</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全年预算数</w:t>
            </w:r>
          </w:p>
        </w:tc>
        <w:tc>
          <w:tcPr>
            <w:tcW w:w="273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全年执行数</w:t>
            </w:r>
          </w:p>
        </w:tc>
        <w:tc>
          <w:tcPr>
            <w:tcW w:w="147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分值</w:t>
            </w:r>
          </w:p>
        </w:tc>
        <w:tc>
          <w:tcPr>
            <w:tcW w:w="35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执行率</w:t>
            </w:r>
          </w:p>
        </w:tc>
        <w:tc>
          <w:tcPr>
            <w:tcW w:w="26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3284"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部门预算总额</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556</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645.62</w:t>
            </w:r>
          </w:p>
        </w:tc>
        <w:tc>
          <w:tcPr>
            <w:tcW w:w="273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559.23</w:t>
            </w:r>
          </w:p>
        </w:tc>
        <w:tc>
          <w:tcPr>
            <w:tcW w:w="147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35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86.62%</w:t>
            </w:r>
          </w:p>
        </w:tc>
        <w:tc>
          <w:tcPr>
            <w:tcW w:w="26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3284" w:type="dxa"/>
            <w:gridSpan w:val="2"/>
            <w:vAlign w:val="center"/>
          </w:tcPr>
          <w:p>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资金来源：（1）财政拨款</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556</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643.87</w:t>
            </w:r>
          </w:p>
        </w:tc>
        <w:tc>
          <w:tcPr>
            <w:tcW w:w="273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558.19</w:t>
            </w:r>
          </w:p>
        </w:tc>
        <w:tc>
          <w:tcPr>
            <w:tcW w:w="147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35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86.69%</w:t>
            </w:r>
          </w:p>
        </w:tc>
        <w:tc>
          <w:tcPr>
            <w:tcW w:w="26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3284" w:type="dxa"/>
            <w:gridSpan w:val="2"/>
            <w:vAlign w:val="center"/>
          </w:tcPr>
          <w:p>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（2）财政专户管理资金</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273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147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35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0.00%</w:t>
            </w:r>
          </w:p>
        </w:tc>
        <w:tc>
          <w:tcPr>
            <w:tcW w:w="26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3284" w:type="dxa"/>
            <w:gridSpan w:val="2"/>
            <w:vAlign w:val="center"/>
          </w:tcPr>
          <w:p>
            <w:pPr>
              <w:keepNext w:val="0"/>
              <w:keepLines w:val="0"/>
              <w:widowControl/>
              <w:suppressLineNumbers w:val="0"/>
              <w:jc w:val="left"/>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（3）单位资金</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534"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1.75</w:t>
            </w:r>
          </w:p>
        </w:tc>
        <w:tc>
          <w:tcPr>
            <w:tcW w:w="273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1.04</w:t>
            </w:r>
          </w:p>
        </w:tc>
        <w:tc>
          <w:tcPr>
            <w:tcW w:w="1479"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c>
          <w:tcPr>
            <w:tcW w:w="35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59.42%</w:t>
            </w:r>
          </w:p>
        </w:tc>
        <w:tc>
          <w:tcPr>
            <w:tcW w:w="263" w:type="dxa"/>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2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年度履职目标</w:t>
            </w:r>
          </w:p>
        </w:tc>
        <w:tc>
          <w:tcPr>
            <w:tcW w:w="6152" w:type="dxa"/>
            <w:gridSpan w:val="4"/>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预期目标</w:t>
            </w:r>
          </w:p>
        </w:tc>
        <w:tc>
          <w:tcPr>
            <w:tcW w:w="5878" w:type="dxa"/>
            <w:gridSpan w:val="6"/>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6152" w:type="dxa"/>
            <w:gridSpan w:val="4"/>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1.提案：通过调研报告、提案、建议案或其他形式，向党委和政府提出意见和建议</w:t>
            </w:r>
            <w:r>
              <w:rPr>
                <w:rFonts w:hint="eastAsia" w:ascii="宋体" w:hAnsi="宋体" w:eastAsia="宋体"/>
                <w:i w:val="0"/>
                <w:iCs w:val="0"/>
                <w:color w:val="000000"/>
                <w:kern w:val="0"/>
                <w:sz w:val="24"/>
                <w:szCs w:val="24"/>
                <w:u w:val="none"/>
                <w:lang w:val="en-US" w:eastAsia="zh-CN" w:bidi="ar"/>
              </w:rPr>
              <w:br w:type="textWrapping"/>
            </w:r>
            <w:r>
              <w:rPr>
                <w:rFonts w:hint="eastAsia" w:ascii="宋体" w:hAnsi="宋体" w:eastAsia="宋体"/>
                <w:i w:val="0"/>
                <w:iCs w:val="0"/>
                <w:color w:val="000000"/>
                <w:kern w:val="0"/>
                <w:sz w:val="24"/>
                <w:szCs w:val="24"/>
                <w:u w:val="none"/>
                <w:lang w:val="en-US" w:eastAsia="zh-CN" w:bidi="ar"/>
              </w:rPr>
              <w:t>2.对相关部门实施监督：对国家宪法、法律和法规的实施贯彻执行、部门单位及其工作人员的工作，通过建议和批评进行监督</w:t>
            </w:r>
            <w:r>
              <w:rPr>
                <w:rFonts w:hint="eastAsia" w:ascii="宋体" w:hAnsi="宋体" w:eastAsia="宋体"/>
                <w:i w:val="0"/>
                <w:iCs w:val="0"/>
                <w:color w:val="000000"/>
                <w:kern w:val="0"/>
                <w:sz w:val="24"/>
                <w:szCs w:val="24"/>
                <w:u w:val="none"/>
                <w:lang w:val="en-US" w:eastAsia="zh-CN" w:bidi="ar"/>
              </w:rPr>
              <w:br w:type="textWrapping"/>
            </w:r>
            <w:r>
              <w:rPr>
                <w:rFonts w:hint="eastAsia" w:ascii="宋体" w:hAnsi="宋体" w:eastAsia="宋体"/>
                <w:i w:val="0"/>
                <w:iCs w:val="0"/>
                <w:color w:val="000000"/>
                <w:kern w:val="0"/>
                <w:sz w:val="24"/>
                <w:szCs w:val="24"/>
                <w:u w:val="none"/>
                <w:lang w:val="en-US" w:eastAsia="zh-CN" w:bidi="ar"/>
              </w:rPr>
              <w:t>3.处理群众热点问题：对重要问题以及人民群众关心的问题，开展调查研究，进行协商讨论</w:t>
            </w:r>
          </w:p>
        </w:tc>
        <w:tc>
          <w:tcPr>
            <w:tcW w:w="5878" w:type="dxa"/>
            <w:gridSpan w:val="6"/>
            <w:vAlign w:val="top"/>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1.提案：通过调研报告、提案、建议案或其他形式，向党委和政府提出意见和建议</w:t>
            </w:r>
            <w:r>
              <w:rPr>
                <w:rFonts w:hint="eastAsia" w:ascii="宋体" w:hAnsi="宋体" w:eastAsia="宋体"/>
                <w:i w:val="0"/>
                <w:iCs w:val="0"/>
                <w:color w:val="000000"/>
                <w:kern w:val="0"/>
                <w:sz w:val="24"/>
                <w:szCs w:val="24"/>
                <w:u w:val="none"/>
                <w:lang w:val="en-US" w:eastAsia="zh-CN" w:bidi="ar"/>
              </w:rPr>
              <w:br w:type="textWrapping"/>
            </w:r>
            <w:r>
              <w:rPr>
                <w:rFonts w:hint="eastAsia" w:ascii="宋体" w:hAnsi="宋体" w:eastAsia="宋体"/>
                <w:i w:val="0"/>
                <w:iCs w:val="0"/>
                <w:color w:val="000000"/>
                <w:kern w:val="0"/>
                <w:sz w:val="24"/>
                <w:szCs w:val="24"/>
                <w:u w:val="none"/>
                <w:lang w:val="en-US" w:eastAsia="zh-CN" w:bidi="ar"/>
              </w:rPr>
              <w:t>2.对相关部门实施监督：对国家宪法、法律和法规的实施贯彻执行、部门单位及其工作人员的工作，通过建议和批评进行监督</w:t>
            </w:r>
            <w:r>
              <w:rPr>
                <w:rFonts w:hint="eastAsia" w:ascii="宋体" w:hAnsi="宋体" w:eastAsia="宋体"/>
                <w:i w:val="0"/>
                <w:iCs w:val="0"/>
                <w:color w:val="000000"/>
                <w:kern w:val="0"/>
                <w:sz w:val="24"/>
                <w:szCs w:val="24"/>
                <w:u w:val="none"/>
                <w:lang w:val="en-US" w:eastAsia="zh-CN" w:bidi="ar"/>
              </w:rPr>
              <w:br w:type="textWrapping"/>
            </w:r>
            <w:r>
              <w:rPr>
                <w:rFonts w:hint="eastAsia" w:ascii="宋体" w:hAnsi="宋体" w:eastAsia="宋体"/>
                <w:i w:val="0"/>
                <w:iCs w:val="0"/>
                <w:color w:val="000000"/>
                <w:kern w:val="0"/>
                <w:sz w:val="24"/>
                <w:szCs w:val="24"/>
                <w:u w:val="none"/>
                <w:lang w:val="en-US" w:eastAsia="zh-CN" w:bidi="ar"/>
              </w:rPr>
              <w:t>3.处理群众热点问题：对重要问题以及人民群众关心的问题，开展调查研究，进行协商讨论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3425" w:type="dxa"/>
            <w:gridSpan w:val="11"/>
            <w:vMerge w:val="restart"/>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年度主要任务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425" w:type="dxa"/>
            <w:gridSpan w:val="11"/>
            <w:vMerge w:val="continue"/>
            <w:noWrap/>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794" w:type="dxa"/>
            <w:gridSpan w:val="2"/>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任务名称</w:t>
            </w:r>
          </w:p>
        </w:tc>
        <w:tc>
          <w:tcPr>
            <w:tcW w:w="4753" w:type="dxa"/>
            <w:gridSpan w:val="3"/>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主要内容</w:t>
            </w:r>
          </w:p>
        </w:tc>
        <w:tc>
          <w:tcPr>
            <w:tcW w:w="5878" w:type="dxa"/>
            <w:gridSpan w:val="6"/>
            <w:noWrap/>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794"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政协视察</w:t>
            </w:r>
          </w:p>
        </w:tc>
        <w:tc>
          <w:tcPr>
            <w:tcW w:w="4753" w:type="dxa"/>
            <w:gridSpan w:val="3"/>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组织政协委员开展委员视察、调研、考察、座谈、研讨等活动</w:t>
            </w:r>
          </w:p>
        </w:tc>
        <w:tc>
          <w:tcPr>
            <w:tcW w:w="5878" w:type="dxa"/>
            <w:gridSpan w:val="6"/>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组织政协委员开展委员视察、调研、考察、座谈、研讨等活动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794"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召开政协全会</w:t>
            </w:r>
          </w:p>
        </w:tc>
        <w:tc>
          <w:tcPr>
            <w:tcW w:w="4753" w:type="dxa"/>
            <w:gridSpan w:val="3"/>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召开政协全会、政协常委会议、主席会议及其他重要会议</w:t>
            </w:r>
          </w:p>
        </w:tc>
        <w:tc>
          <w:tcPr>
            <w:tcW w:w="5878" w:type="dxa"/>
            <w:gridSpan w:val="6"/>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召开政协全会、政协常委会议、主席会议及其他重要会议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794"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政协考察调研</w:t>
            </w:r>
          </w:p>
        </w:tc>
        <w:tc>
          <w:tcPr>
            <w:tcW w:w="4753" w:type="dxa"/>
            <w:gridSpan w:val="3"/>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负责政协工作情况的对内对外宣传，收集反映各族各界人士的意见、建议和社情民意</w:t>
            </w:r>
          </w:p>
        </w:tc>
        <w:tc>
          <w:tcPr>
            <w:tcW w:w="5878" w:type="dxa"/>
            <w:gridSpan w:val="6"/>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负责政协工作情况的对内对外宣传，收集反映各族各界人士的意见、建议和社情民意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3425" w:type="dxa"/>
            <w:gridSpan w:val="11"/>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13425" w:type="dxa"/>
            <w:gridSpan w:val="11"/>
            <w:vMerge w:val="continue"/>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2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一级指标</w:t>
            </w:r>
          </w:p>
        </w:tc>
        <w:tc>
          <w:tcPr>
            <w:tcW w:w="521"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二级指标</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三级指标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年度指标值</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实际完成值</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分值</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得分</w:t>
            </w:r>
          </w:p>
        </w:tc>
        <w:tc>
          <w:tcPr>
            <w:tcW w:w="253"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偏差度</w:t>
            </w:r>
          </w:p>
        </w:tc>
        <w:tc>
          <w:tcPr>
            <w:tcW w:w="1660"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投入管理指标</w:t>
            </w: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工作目标管理</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年度履职目标相关性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相关</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工作任务科学性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科学</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绩效指标合理性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合理</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预算和财务管理</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预算编制完整性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完整</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专项资金细化率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95%</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预算调整率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≤30%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116%</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0</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我部门人员正常增资，且有部门追加安排的其他任务，导致预算调整较大。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结转结余率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≤20%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13.38</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“三公经费”控制率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3</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3</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政府采购执行率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决算真实性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真实</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资金使用合规性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合规</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管理制度健全性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健全</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预决算信息公开性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公开</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资产管理规范性</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规范</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绩效管理</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绩效监控完成率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绩效目标编制完成率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绩效自评完成率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部门绩效评价完成率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评价结果应用率</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产出指标</w:t>
            </w: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重点工作任务完成</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政协视察  </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召开政协全会</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政协考察调研</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履职目标实现</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提案</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对相关部门实施监督</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处理群众热点</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5</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效益指标</w:t>
            </w:r>
          </w:p>
        </w:tc>
        <w:tc>
          <w:tcPr>
            <w:tcW w:w="521" w:type="dxa"/>
            <w:vMerge w:val="restart"/>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履职效益</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提高群众满意度加强群众幸福感</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持续加强</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Merge w:val="continue"/>
            <w:vAlign w:val="center"/>
          </w:tcPr>
          <w:p>
            <w:pPr>
              <w:jc w:val="center"/>
              <w:rPr>
                <w:rFonts w:hint="eastAsia" w:ascii="宋体" w:hAnsi="宋体" w:eastAsia="宋体"/>
                <w:i w:val="0"/>
                <w:iCs w:val="0"/>
                <w:color w:val="000000"/>
                <w:sz w:val="24"/>
                <w:szCs w:val="24"/>
                <w:u w:val="none"/>
              </w:rPr>
            </w:pP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促进社会经济发展情况  </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提高，促进</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20" w:type="dxa"/>
            <w:vMerge w:val="continue"/>
            <w:vAlign w:val="center"/>
          </w:tcPr>
          <w:p>
            <w:pPr>
              <w:jc w:val="center"/>
              <w:rPr>
                <w:rFonts w:hint="eastAsia" w:ascii="宋体" w:hAnsi="宋体" w:eastAsia="宋体"/>
                <w:i w:val="0"/>
                <w:iCs w:val="0"/>
                <w:color w:val="000000"/>
                <w:sz w:val="24"/>
                <w:szCs w:val="24"/>
                <w:u w:val="none"/>
              </w:rPr>
            </w:pPr>
          </w:p>
        </w:tc>
        <w:tc>
          <w:tcPr>
            <w:tcW w:w="521"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满意度</w:t>
            </w:r>
          </w:p>
        </w:tc>
        <w:tc>
          <w:tcPr>
            <w:tcW w:w="702"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 xml:space="preserve"> 社会公众满意度</w:t>
            </w:r>
          </w:p>
        </w:tc>
        <w:tc>
          <w:tcPr>
            <w:tcW w:w="2868" w:type="dxa"/>
            <w:gridSpan w:val="2"/>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≥95%</w:t>
            </w:r>
          </w:p>
        </w:tc>
        <w:tc>
          <w:tcPr>
            <w:tcW w:w="72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95%</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507" w:type="dxa"/>
            <w:gridSpan w:val="6"/>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总分</w:t>
            </w:r>
          </w:p>
        </w:tc>
        <w:tc>
          <w:tcPr>
            <w:tcW w:w="290"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100</w:t>
            </w:r>
          </w:p>
        </w:tc>
        <w:tc>
          <w:tcPr>
            <w:tcW w:w="298" w:type="dxa"/>
            <w:vAlign w:val="center"/>
          </w:tcPr>
          <w:p>
            <w:pPr>
              <w:keepNext w:val="0"/>
              <w:keepLines w:val="0"/>
              <w:widowControl/>
              <w:suppressLineNumbers w:val="0"/>
              <w:jc w:val="center"/>
              <w:rPr>
                <w:rFonts w:hint="eastAsia" w:ascii="宋体" w:hAnsi="宋体" w:eastAsia="宋体"/>
                <w:i w:val="0"/>
                <w:iCs w:val="0"/>
                <w:color w:val="000000"/>
                <w:kern w:val="0"/>
                <w:sz w:val="24"/>
                <w:szCs w:val="24"/>
                <w:u w:val="none"/>
                <w:lang w:val="en-US" w:eastAsia="zh-CN" w:bidi="ar"/>
              </w:rPr>
            </w:pPr>
            <w:r>
              <w:rPr>
                <w:rFonts w:hint="eastAsia" w:ascii="宋体" w:hAnsi="宋体" w:eastAsia="宋体"/>
                <w:i w:val="0"/>
                <w:iCs w:val="0"/>
                <w:color w:val="000000"/>
                <w:kern w:val="0"/>
                <w:sz w:val="24"/>
                <w:szCs w:val="24"/>
                <w:u w:val="none"/>
                <w:lang w:val="en-US" w:eastAsia="zh-CN" w:bidi="ar"/>
              </w:rPr>
              <w:t>97.2</w:t>
            </w:r>
          </w:p>
        </w:tc>
        <w:tc>
          <w:tcPr>
            <w:tcW w:w="253" w:type="dxa"/>
            <w:vAlign w:val="center"/>
          </w:tcPr>
          <w:p>
            <w:pPr>
              <w:jc w:val="center"/>
              <w:rPr>
                <w:rFonts w:hint="eastAsia" w:ascii="宋体" w:hAnsi="宋体" w:eastAsia="宋体"/>
                <w:i w:val="0"/>
                <w:iCs w:val="0"/>
                <w:color w:val="000000"/>
                <w:sz w:val="24"/>
                <w:szCs w:val="24"/>
                <w:u w:val="none"/>
              </w:rPr>
            </w:pPr>
          </w:p>
        </w:tc>
        <w:tc>
          <w:tcPr>
            <w:tcW w:w="1660" w:type="dxa"/>
            <w:gridSpan w:val="2"/>
            <w:vAlign w:val="center"/>
          </w:tcPr>
          <w:p>
            <w:pPr>
              <w:jc w:val="center"/>
              <w:rPr>
                <w:rFonts w:hint="eastAsia" w:ascii="宋体" w:hAnsi="宋体" w:eastAsia="宋体"/>
                <w:i w:val="0"/>
                <w:iCs w:val="0"/>
                <w:color w:val="000000"/>
                <w:sz w:val="24"/>
                <w:szCs w:val="24"/>
                <w:u w:val="none"/>
              </w:rPr>
            </w:pPr>
          </w:p>
        </w:tc>
      </w:tr>
    </w:tbl>
    <w:p/>
    <w:sectPr>
      <w:pgSz w:w="16838" w:h="11906" w:orient="landscape"/>
      <w:pgMar w:top="1588" w:right="1928" w:bottom="1474" w:left="1701" w:header="851" w:footer="992" w:gutter="0"/>
      <w:pgNumType w:fmt="decimal"/>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 w:val="clear" w:pos="8306"/>
      </w:tabs>
    </w:pPr>
    <w:r>
      <mc:AlternateContent>
        <mc:Choice Requires="wps">
          <w:drawing>
            <wp:anchor distT="0" distB="0" distL="0" distR="0" simplePos="0" relativeHeight="525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_x0000_s2054"/>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- 25 -</w:t>
                          </w:r>
                          <w:r>
                            <w:rPr>
                              <w:rFonts w:hint="eastAsia"/>
                              <w:sz w:val="18"/>
                            </w:rPr>
                            <w:fldChar w:fldCharType="end"/>
                          </w:r>
                        </w:p>
                        <w:p/>
                      </w:txbxContent>
                    </wps:txbx>
                    <wps:bodyPr rot="0" vert="horz" wrap="square" lIns="91440" tIns="45720" rIns="91440" bIns="45720" anchor="t" anchorCtr="0"/>
                  </wps:wsp>
                </a:graphicData>
              </a:graphic>
            </wp:anchor>
          </w:drawing>
        </mc:Choice>
        <mc:Fallback>
          <w:pict>
            <v:rect id="_x0000_s2054" o:spid="_x0000_s1026" o:spt="1" style="position:absolute;left:0pt;margin-top:0pt;height:144pt;width:144pt;mso-position-horizontal:center;mso-position-horizontal-relative:margin;z-index:525312;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Yxs8E0wAAAAUBAAAPAAAAAAAAAAEAIAAAACIAAABkcnMvZG93bnJldi54bWxQSwECFAAUAAAA&#10;CACHTuJAHybQNLoBAACGAwAADgAAAAAAAAABACAAAAAiAQAAZHJzL2Uyb0RvYy54bWxQSwUGAAAA&#10;AAYABgBZAQAATgUAAAAA&#10;">
              <v:fill on="f" focussize="0,0"/>
              <v:stroke on="f"/>
              <v:imagedata o:title=""/>
              <o:lock v:ext="edit" aspectratio="f"/>
              <v:textbo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- 25 -</w:t>
                    </w:r>
                    <w:r>
                      <w:rPr>
                        <w:rFonts w:hint="eastAsia"/>
                        <w:sz w:val="18"/>
                      </w:rPr>
                      <w:fldChar w:fldCharType="end"/>
                    </w:r>
                  </w:p>
                  <w:p/>
                </w:txbxContent>
              </v:textbox>
            </v:rect>
          </w:pict>
        </mc:Fallback>
      </mc:AlternateContent>
    </w:r>
    <w:r>
      <mc:AlternateContent>
        <mc:Choice Requires="wps">
          <w:drawing>
            <wp:anchor distT="0" distB="0" distL="0" distR="0" simplePos="0" relativeHeight="524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_x0000_s2051"/>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rPr>
                              <w:rFonts w:hint="eastAsia"/>
                            </w:rPr>
                          </w:pPr>
                        </w:p>
                        <w:p/>
                      </w:txbxContent>
                    </wps:txbx>
                    <wps:bodyPr rot="0" vert="horz" wrap="square" lIns="91440" tIns="45720" rIns="91440" bIns="45720" anchor="t" anchorCtr="0"/>
                  </wps:wsp>
                </a:graphicData>
              </a:graphic>
            </wp:anchor>
          </w:drawing>
        </mc:Choice>
        <mc:Fallback>
          <w:pict>
            <v:rect id="_x0000_s2051" o:spid="_x0000_s1026" o:spt="1" style="position:absolute;left:0pt;margin-top:0pt;height:144pt;width:144pt;mso-position-horizontal:center;mso-position-horizontal-relative:margin;z-index:524288;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2MbPBNMAAAAFAQAADwAAAAAAAAABACAAAAAiAAAAZHJzL2Rvd25yZXYueG1sUEsBAhQAFAAA&#10;AAgAh07iQFoL1eK7AQAAhgMAAA4AAAAAAAAAAQAgAAAAIgEAAGRycy9lMm9Eb2MueG1sUEsFBgAA&#10;AAAGAAYAWQEAAE8FAAAAAA==&#10;">
              <v:fill on="f" focussize="0,0"/>
              <v:stroke on="f"/>
              <v:imagedata o:title=""/>
              <o:lock v:ext="edit" aspectratio="f"/>
              <v:textbox>
                <w:txbxContent>
                  <w:p>
                    <w:pPr>
                      <w:rPr>
                        <w:rFonts w:hint="eastAsia"/>
                      </w:rPr>
                    </w:pPr>
                  </w:p>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 w:val="clear" w:pos="8306"/>
      </w:tabs>
    </w:pPr>
    <w:r>
      <mc:AlternateContent>
        <mc:Choice Requires="wps">
          <w:drawing>
            <wp:anchor distT="0" distB="0" distL="0" distR="0" simplePos="0" relativeHeight="525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2055"/>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p/>
                      </w:txbxContent>
                    </wps:txbx>
                    <wps:bodyPr rot="0" vert="horz" wrap="square" lIns="91440" tIns="45720" rIns="91440" bIns="45720" anchor="t" anchorCtr="0"/>
                  </wps:wsp>
                </a:graphicData>
              </a:graphic>
            </wp:anchor>
          </w:drawing>
        </mc:Choice>
        <mc:Fallback>
          <w:pict>
            <v:rect id="_x0000_s2055" o:spid="_x0000_s1026" o:spt="1" style="position:absolute;left:0pt;margin-top:0pt;height:144pt;width:144pt;mso-position-horizontal:center;mso-position-horizontal-relative:margin;z-index:525312;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Yxs8E0wAAAAUBAAAPAAAAAAAAAAEAIAAAACIAAABkcnMvZG93bnJldi54bWxQSwECFAAUAAAA&#10;CACHTuJAN6Oxk7oBAACGAwAADgAAAAAAAAABACAAAAAiAQAAZHJzL2Uyb0RvYy54bWxQSwUGAAAA&#10;AAYABgBZAQAATgUAAAAA&#10;">
              <v:fill on="f" focussize="0,0"/>
              <v:stroke on="f"/>
              <v:imagedata o:title=""/>
              <o:lock v:ext="edit" aspectratio="f"/>
              <v:textbo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2DA47"/>
    <w:multiLevelType w:val="singleLevel"/>
    <w:tmpl w:val="1D12DA47"/>
    <w:lvl w:ilvl="0" w:tentative="0">
      <w:start w:val="2"/>
      <w:numFmt w:val="chineseCounting"/>
      <w:suff w:val="nothing"/>
      <w:lvlText w:val="（%1）"/>
      <w:lvlJc w:val="left"/>
      <w:rPr>
        <w:rFonts w:hint="eastAsia"/>
      </w:rPr>
    </w:lvl>
  </w:abstractNum>
  <w:abstractNum w:abstractNumId="1">
    <w:nsid w:val="5971BE17"/>
    <w:multiLevelType w:val="singleLevel"/>
    <w:tmpl w:val="5971BE1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evenAndOddHeaders w:val="1"/>
  <w:displayHorizontalDrawingGridEvery w:val="1"/>
  <w:displayVerticalDrawingGridEvery w:val="1"/>
  <w:characterSpacingControl w:val="compressPunctuation"/>
  <w:compat>
    <w:balanceSingleByteDoubleByteWidth/>
    <w:doNotLeaveBackslashAlone/>
    <w:doNotExpandShiftReturn/>
    <w:adjustLineHeightInTable/>
    <w:useFELayout/>
    <w:compatSetting w:name="compatibilityMode" w:uri="http://schemas.microsoft.com/office/word" w:val="11"/>
  </w:compat>
  <w:rsids>
    <w:rsidRoot w:val="00000000"/>
    <w:rsid w:val="6A0F58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uiPriority w:val="0"/>
  </w:style>
  <w:style w:type="table" w:customStyle="1" w:styleId="5">
    <w:name w:val="普通表格1"/>
    <w:uiPriority w:val="0"/>
  </w:style>
  <w:style w:type="paragraph" w:customStyle="1" w:styleId="6">
    <w:name w:val="批注框文本1"/>
    <w:basedOn w:val="1"/>
    <w:link w:val="7"/>
    <w:uiPriority w:val="0"/>
    <w:rPr>
      <w:sz w:val="18"/>
      <w:szCs w:val="18"/>
    </w:rPr>
  </w:style>
  <w:style w:type="character" w:customStyle="1" w:styleId="7">
    <w:name w:val="批注框文本 Char"/>
    <w:link w:val="6"/>
    <w:semiHidden/>
    <w:uiPriority w:val="0"/>
    <w:rPr>
      <w:kern w:val="2"/>
      <w:sz w:val="18"/>
      <w:szCs w:val="18"/>
    </w:rPr>
  </w:style>
  <w:style w:type="paragraph" w:customStyle="1" w:styleId="8">
    <w:name w:val="页脚1"/>
    <w:basedOn w:val="1"/>
    <w:link w:val="9"/>
    <w:qFormat/>
    <w:uiPriority w:val="0"/>
    <w:pPr>
      <w:tabs>
        <w:tab w:val="center" w:pos="4153"/>
        <w:tab w:val="right" w:pos="8306"/>
      </w:tabs>
      <w:snapToGrid w:val="0"/>
      <w:jc w:val="left"/>
    </w:pPr>
    <w:rPr>
      <w:sz w:val="18"/>
      <w:szCs w:val="18"/>
    </w:rPr>
  </w:style>
  <w:style w:type="character" w:customStyle="1" w:styleId="9">
    <w:name w:val="页脚 Char"/>
    <w:link w:val="8"/>
    <w:uiPriority w:val="0"/>
    <w:rPr>
      <w:kern w:val="2"/>
      <w:sz w:val="18"/>
      <w:szCs w:val="18"/>
    </w:rPr>
  </w:style>
  <w:style w:type="paragraph" w:customStyle="1" w:styleId="10">
    <w:name w:val="页眉1"/>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link w:val="10"/>
    <w:qFormat/>
    <w:uiPriority w:val="0"/>
    <w:rPr>
      <w:kern w:val="2"/>
      <w:sz w:val="18"/>
      <w:szCs w:val="18"/>
    </w:rPr>
  </w:style>
  <w:style w:type="table" w:customStyle="1" w:styleId="12">
    <w:name w:val="网格型1"/>
    <w:basedOn w:val="5"/>
    <w:qFormat/>
    <w:uiPriority w:val="0"/>
    <w:pPr>
      <w:widowControl w:val="0"/>
      <w:jc w:val="both"/>
    </w:pPr>
  </w:style>
  <w:style w:type="character" w:customStyle="1" w:styleId="13">
    <w:name w:val="已访问的超链接1"/>
    <w:link w:val="1"/>
    <w:uiPriority w:val="0"/>
    <w:rPr>
      <w:color w:val="800080"/>
      <w:u w:val="single"/>
    </w:rPr>
  </w:style>
  <w:style w:type="character" w:customStyle="1" w:styleId="14">
    <w:name w:val="超链接1"/>
    <w:link w:val="1"/>
    <w:uiPriority w:val="0"/>
    <w:rPr>
      <w:color w:val="0000FF"/>
      <w:u w:val="single"/>
    </w:rPr>
  </w:style>
  <w:style w:type="character" w:customStyle="1" w:styleId="15">
    <w:name w:val="font01"/>
    <w:link w:val="1"/>
    <w:uiPriority w:val="0"/>
    <w:rPr>
      <w:rFonts w:hint="eastAsia" w:ascii="宋体" w:hAnsi="宋体" w:eastAsia="宋体"/>
      <w:color w:val="000000"/>
      <w:sz w:val="22"/>
      <w:szCs w:val="22"/>
      <w:u w:val="none"/>
    </w:rPr>
  </w:style>
  <w:style w:type="character" w:customStyle="1" w:styleId="16">
    <w:name w:val="font21"/>
    <w:link w:val="1"/>
    <w:uiPriority w:val="0"/>
    <w:rPr>
      <w:rFonts w:hint="eastAsia" w:ascii="宋体" w:hAnsi="宋体" w:eastAsia="宋体"/>
      <w:color w:val="000000"/>
      <w:sz w:val="22"/>
      <w:szCs w:val="22"/>
      <w:u w:val="none"/>
    </w:rPr>
  </w:style>
  <w:style w:type="character" w:customStyle="1" w:styleId="17">
    <w:name w:val="font51"/>
    <w:link w:val="1"/>
    <w:uiPriority w:val="0"/>
    <w:rPr>
      <w:rFonts w:hint="eastAsia" w:ascii="宋体" w:hAnsi="宋体" w:eastAsia="宋体"/>
      <w:color w:val="000000"/>
      <w:sz w:val="24"/>
      <w:szCs w:val="24"/>
      <w:u w:val="none"/>
    </w:rPr>
  </w:style>
  <w:style w:type="character" w:customStyle="1" w:styleId="18">
    <w:name w:val="font11"/>
    <w:link w:val="1"/>
    <w:uiPriority w:val="0"/>
    <w:rPr>
      <w:rFonts w:hint="eastAsia" w:ascii="宋体" w:hAnsi="宋体" w:eastAsia="宋体"/>
      <w:color w:val="000000"/>
      <w:sz w:val="20"/>
      <w:szCs w:val="20"/>
      <w:u w:val="none"/>
    </w:rPr>
  </w:style>
  <w:style w:type="character" w:customStyle="1" w:styleId="19">
    <w:name w:val="font41"/>
    <w:link w:val="1"/>
    <w:uiPriority w:val="0"/>
    <w:rPr>
      <w:rFonts w:hint="eastAsia" w:ascii="宋体" w:hAnsi="宋体" w:eastAsia="宋体"/>
      <w:color w:val="000000"/>
      <w:sz w:val="24"/>
      <w:szCs w:val="24"/>
      <w:u w:val="none"/>
    </w:rPr>
  </w:style>
  <w:style w:type="character" w:customStyle="1" w:styleId="20">
    <w:name w:val="font31"/>
    <w:basedOn w:val="4"/>
    <w:link w:val="1"/>
    <w:uiPriority w:val="0"/>
    <w:rPr>
      <w:rFonts w:hint="eastAsia" w:ascii="宋体" w:hAnsi="宋体" w:eastAsia="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2025-12-02T01:11:28Z</dcterms:created>
  <dc:creator>Administrator</dc:creator>
  <cp:lastModifiedBy>Administrator</cp:lastModifiedBy>
  <dcterms:modified xsi:type="dcterms:W3CDTF">2025-12-02T01:11:37Z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