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600" w:lineRule="exact"/>
        <w:jc w:val="left"/>
        <w:rPr>
          <w:rFonts w:hint="eastAsia" w:ascii="黑体" w:hAnsi="黑体" w:eastAsia="黑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rPr>
          <w:rFonts w:hint="eastAsia" w:ascii="黑体" w:hAnsi="黑体" w:eastAsia="黑体" w:cs="黑体"/>
          <w:sz w:val="52"/>
          <w:szCs w:val="52"/>
        </w:rPr>
      </w:pPr>
      <w:r>
        <w:rPr>
          <w:rFonts w:hint="eastAsia" w:ascii="黑体" w:hAnsi="黑体" w:eastAsia="黑体" w:cs="黑体"/>
          <w:sz w:val="52"/>
          <w:szCs w:val="52"/>
        </w:rPr>
        <w:t>2024年度</w:t>
      </w:r>
    </w:p>
    <w:p>
      <w:pPr>
        <w:jc w:val="center"/>
        <w:rPr>
          <w:rFonts w:hint="eastAsia" w:ascii="黑体" w:hAnsi="黑体" w:eastAsia="黑体" w:cs="黑体"/>
          <w:sz w:val="52"/>
          <w:szCs w:val="52"/>
        </w:rPr>
      </w:pPr>
      <w:r>
        <w:rPr>
          <w:rFonts w:hint="eastAsia" w:ascii="黑体" w:hAnsi="黑体" w:eastAsia="黑体" w:cs="黑体"/>
          <w:sz w:val="52"/>
          <w:szCs w:val="52"/>
          <w:lang w:val="en-US" w:eastAsia="zh-CN"/>
        </w:rPr>
        <w:t>信阳市平桥区震雷山街道办事处（本级）</w:t>
      </w:r>
      <w:r>
        <w:rPr>
          <w:rFonts w:hint="eastAsia" w:ascii="黑体" w:hAnsi="黑体" w:eastAsia="黑体" w:cs="黑体"/>
          <w:sz w:val="52"/>
          <w:szCs w:val="52"/>
        </w:rPr>
        <w:t>部门决算</w:t>
      </w:r>
    </w:p>
    <w:p>
      <w:pPr>
        <w:jc w:val="center"/>
        <w:rPr>
          <w:rFonts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ascii="黑体" w:hAnsi="黑体" w:eastAsia="黑体" w:cs="黑体"/>
          <w:sz w:val="32"/>
          <w:szCs w:val="32"/>
        </w:rPr>
      </w:pPr>
      <w:r>
        <w:rPr>
          <w:rFonts w:hint="eastAsia" w:ascii="黑体" w:hAnsi="黑体" w:eastAsia="黑体" w:cs="黑体"/>
          <w:sz w:val="32"/>
          <w:szCs w:val="32"/>
        </w:rPr>
        <w:t>二〇二五年</w:t>
      </w:r>
      <w:r>
        <w:rPr>
          <w:rFonts w:hint="eastAsia" w:ascii="黑体" w:hAnsi="黑体" w:eastAsia="黑体" w:cs="黑体"/>
          <w:sz w:val="32"/>
          <w:szCs w:val="32"/>
          <w:lang w:eastAsia="zh-CN"/>
        </w:rPr>
        <w:t>九</w:t>
      </w:r>
      <w:bookmarkStart w:id="0" w:name="_GoBack"/>
      <w:bookmarkEnd w:id="0"/>
      <w:r>
        <w:rPr>
          <w:rFonts w:hint="eastAsia" w:ascii="黑体" w:hAnsi="黑体" w:eastAsia="黑体" w:cs="黑体"/>
          <w:sz w:val="32"/>
          <w:szCs w:val="32"/>
        </w:rPr>
        <w:t>月</w:t>
      </w:r>
    </w:p>
    <w:p>
      <w:pPr>
        <w:rPr>
          <w:rFonts w:hint="eastAsia"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p>
    <w:p>
      <w:pPr>
        <w:jc w:val="center"/>
        <w:rPr>
          <w:rFonts w:ascii="黑体" w:hAnsi="黑体" w:eastAsia="黑体" w:cs="黑体"/>
          <w:sz w:val="36"/>
          <w:szCs w:val="36"/>
        </w:rPr>
      </w:pPr>
      <w:r>
        <w:rPr>
          <w:rFonts w:hint="eastAsia" w:ascii="黑体" w:hAnsi="黑体" w:eastAsia="黑体" w:cs="黑体"/>
          <w:sz w:val="36"/>
          <w:szCs w:val="36"/>
        </w:rPr>
        <w:t xml:space="preserve">目 </w:t>
      </w:r>
      <w:r>
        <w:rPr>
          <w:rFonts w:ascii="黑体" w:hAnsi="黑体" w:eastAsia="黑体" w:cs="黑体"/>
          <w:sz w:val="36"/>
          <w:szCs w:val="36"/>
        </w:rPr>
        <w:t xml:space="preserve"> </w:t>
      </w:r>
      <w:r>
        <w:rPr>
          <w:rFonts w:hint="eastAsia" w:ascii="黑体" w:hAnsi="黑体" w:eastAsia="黑体" w:cs="黑体"/>
          <w:sz w:val="36"/>
          <w:szCs w:val="36"/>
        </w:rPr>
        <w:t>录</w:t>
      </w:r>
    </w:p>
    <w:p>
      <w:pPr>
        <w:jc w:val="left"/>
        <w:rPr>
          <w:rFonts w:ascii="黑体" w:hAnsi="黑体" w:eastAsia="黑体" w:cs="黑体"/>
          <w:sz w:val="32"/>
          <w:szCs w:val="32"/>
        </w:rPr>
      </w:pPr>
      <w:r>
        <w:rPr>
          <w:rFonts w:hint="eastAsia" w:ascii="黑体" w:hAnsi="黑体" w:eastAsia="黑体" w:cs="黑体"/>
          <w:sz w:val="32"/>
          <w:szCs w:val="32"/>
        </w:rPr>
        <w:t xml:space="preserve">第一部分  </w:t>
      </w:r>
      <w:r>
        <w:rPr>
          <w:rFonts w:hint="eastAsia" w:ascii="黑体" w:hAnsi="黑体" w:eastAsia="黑体" w:cs="黑体"/>
          <w:sz w:val="32"/>
          <w:szCs w:val="32"/>
          <w:lang w:val="en-US" w:eastAsia="zh-CN"/>
        </w:rPr>
        <w:t>信阳市平桥区震雷山街道办事处</w:t>
      </w:r>
      <w:r>
        <w:rPr>
          <w:rFonts w:hint="eastAsia" w:ascii="黑体" w:hAnsi="黑体" w:eastAsia="黑体" w:cs="黑体"/>
          <w:sz w:val="32"/>
          <w:szCs w:val="32"/>
        </w:rPr>
        <w:t>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2024年度部门决算表</w:t>
      </w:r>
    </w:p>
    <w:p>
      <w:pPr>
        <w:ind w:firstLine="640" w:firstLineChars="200"/>
        <w:jc w:val="left"/>
        <w:rPr>
          <w:rFonts w:hint="eastAsia" w:ascii="宋体" w:hAnsi="宋体" w:cs="黑体"/>
          <w:sz w:val="32"/>
          <w:szCs w:val="32"/>
        </w:rPr>
      </w:pPr>
      <w:r>
        <w:rPr>
          <w:rFonts w:hint="eastAsia" w:ascii="宋体" w:hAnsi="宋体" w:cs="黑体"/>
          <w:sz w:val="32"/>
          <w:szCs w:val="32"/>
        </w:rPr>
        <w:t>一、收入支出决算总表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二、收入决算表</w:t>
      </w:r>
    </w:p>
    <w:p>
      <w:pPr>
        <w:ind w:firstLine="640" w:firstLineChars="200"/>
        <w:jc w:val="left"/>
        <w:rPr>
          <w:rFonts w:hint="eastAsia" w:ascii="宋体" w:hAnsi="宋体" w:cs="黑体"/>
          <w:sz w:val="32"/>
          <w:szCs w:val="32"/>
        </w:rPr>
      </w:pPr>
      <w:r>
        <w:rPr>
          <w:rFonts w:hint="eastAsia" w:ascii="宋体" w:hAnsi="宋体" w:cs="黑体"/>
          <w:sz w:val="32"/>
          <w:szCs w:val="32"/>
        </w:rPr>
        <w:t>三、支出决算表</w:t>
      </w:r>
    </w:p>
    <w:p>
      <w:pPr>
        <w:ind w:firstLine="640" w:firstLineChars="200"/>
        <w:jc w:val="left"/>
        <w:rPr>
          <w:rFonts w:ascii="宋体" w:hAnsi="宋体" w:cs="黑体"/>
          <w:sz w:val="32"/>
          <w:szCs w:val="32"/>
        </w:rPr>
      </w:pPr>
      <w:r>
        <w:rPr>
          <w:rFonts w:hint="eastAsia" w:ascii="宋体" w:hAnsi="宋体" w:cs="黑体"/>
          <w:sz w:val="32"/>
          <w:szCs w:val="32"/>
        </w:rPr>
        <w:t>四、财政拨款收入支出决算总表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五、一般公共预算财政拨款支出决算表</w:t>
      </w:r>
    </w:p>
    <w:p>
      <w:pPr>
        <w:ind w:firstLine="640" w:firstLineChars="200"/>
        <w:jc w:val="left"/>
        <w:rPr>
          <w:rFonts w:ascii="宋体" w:hAnsi="宋体" w:cs="黑体"/>
          <w:sz w:val="32"/>
          <w:szCs w:val="32"/>
        </w:rPr>
      </w:pPr>
      <w:r>
        <w:rPr>
          <w:rFonts w:hint="eastAsia" w:ascii="宋体" w:hAnsi="宋体" w:cs="黑体"/>
          <w:sz w:val="32"/>
          <w:szCs w:val="32"/>
        </w:rPr>
        <w:t>六、一般公共预算财政拨款基本支出决算明细表</w:t>
      </w:r>
    </w:p>
    <w:p>
      <w:pPr>
        <w:ind w:firstLine="640" w:firstLineChars="200"/>
        <w:jc w:val="left"/>
        <w:rPr>
          <w:rFonts w:hint="eastAsia" w:ascii="宋体" w:hAnsi="宋体" w:cs="黑体"/>
          <w:sz w:val="32"/>
          <w:szCs w:val="32"/>
        </w:rPr>
      </w:pPr>
      <w:r>
        <w:rPr>
          <w:rFonts w:hint="eastAsia" w:ascii="宋体" w:hAnsi="宋体" w:cs="黑体"/>
          <w:sz w:val="32"/>
          <w:szCs w:val="32"/>
        </w:rPr>
        <w:t>七、政府性基金预算财政拨款收入支出决算表</w:t>
      </w:r>
    </w:p>
    <w:p>
      <w:pPr>
        <w:ind w:firstLine="640" w:firstLineChars="200"/>
        <w:jc w:val="left"/>
        <w:rPr>
          <w:rFonts w:ascii="宋体" w:hAnsi="宋体" w:cs="黑体"/>
          <w:sz w:val="32"/>
          <w:szCs w:val="32"/>
        </w:rPr>
      </w:pPr>
      <w:r>
        <w:rPr>
          <w:rFonts w:hint="eastAsia" w:ascii="宋体" w:hAnsi="宋体" w:cs="黑体"/>
          <w:sz w:val="32"/>
          <w:szCs w:val="32"/>
        </w:rPr>
        <w:t>八、国有</w:t>
      </w:r>
      <w:r>
        <w:rPr>
          <w:rFonts w:ascii="宋体" w:hAnsi="宋体" w:cs="黑体"/>
          <w:sz w:val="32"/>
          <w:szCs w:val="32"/>
        </w:rPr>
        <w:t>资本经营预算财政拨款</w:t>
      </w:r>
      <w:r>
        <w:rPr>
          <w:rFonts w:hint="eastAsia" w:ascii="宋体" w:hAnsi="宋体" w:cs="黑体"/>
          <w:sz w:val="32"/>
          <w:szCs w:val="32"/>
        </w:rPr>
        <w:t>支出决算表</w:t>
      </w:r>
    </w:p>
    <w:p>
      <w:pPr>
        <w:ind w:firstLine="640" w:firstLineChars="200"/>
        <w:jc w:val="left"/>
        <w:rPr>
          <w:rFonts w:hint="eastAsia" w:ascii="宋体" w:hAnsi="宋体" w:cs="黑体"/>
          <w:sz w:val="32"/>
          <w:szCs w:val="32"/>
        </w:rPr>
      </w:pPr>
      <w:r>
        <w:rPr>
          <w:rFonts w:hint="eastAsia" w:ascii="宋体" w:hAnsi="宋体" w:cs="黑体"/>
          <w:sz w:val="32"/>
          <w:szCs w:val="32"/>
        </w:rPr>
        <w:t>九、一般公共预算财政拨款“三公”经费支出决算表</w:t>
      </w:r>
    </w:p>
    <w:p>
      <w:pPr>
        <w:jc w:val="left"/>
        <w:rPr>
          <w:rFonts w:hint="eastAsia" w:ascii="黑体" w:hAnsi="黑体" w:eastAsia="黑体" w:cs="黑体"/>
          <w:sz w:val="32"/>
          <w:szCs w:val="32"/>
        </w:rPr>
      </w:pPr>
      <w:r>
        <w:rPr>
          <w:rFonts w:hint="eastAsia" w:ascii="黑体" w:hAnsi="黑体" w:eastAsia="黑体" w:cs="黑体"/>
          <w:sz w:val="32"/>
          <w:szCs w:val="32"/>
        </w:rPr>
        <w:t xml:space="preserve">第三部分  </w:t>
      </w:r>
      <w:r>
        <w:rPr>
          <w:rFonts w:ascii="黑体" w:hAnsi="黑体" w:eastAsia="黑体" w:cs="黑体"/>
          <w:sz w:val="32"/>
          <w:szCs w:val="32"/>
        </w:rPr>
        <w:t>2024</w:t>
      </w:r>
      <w:r>
        <w:rPr>
          <w:rFonts w:hint="eastAsia" w:ascii="黑体" w:hAnsi="黑体" w:eastAsia="黑体" w:cs="黑体"/>
          <w:sz w:val="32"/>
          <w:szCs w:val="32"/>
        </w:rPr>
        <w:t>年度</w:t>
      </w:r>
      <w:r>
        <w:rPr>
          <w:rFonts w:ascii="黑体" w:hAnsi="黑体" w:eastAsia="黑体" w:cs="黑体"/>
          <w:sz w:val="32"/>
          <w:szCs w:val="32"/>
        </w:rPr>
        <w:t>部门</w:t>
      </w:r>
      <w:r>
        <w:rPr>
          <w:rFonts w:hint="eastAsia" w:ascii="黑体" w:hAnsi="黑体" w:eastAsia="黑体" w:cs="黑体"/>
          <w:sz w:val="32"/>
          <w:szCs w:val="32"/>
        </w:rPr>
        <w:t>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七、政府性基金预算财政拨款支出决算情况说明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八、国有资本</w:t>
      </w:r>
      <w:r>
        <w:rPr>
          <w:rFonts w:ascii="宋体" w:hAnsi="宋体" w:cs="宋体"/>
          <w:sz w:val="32"/>
          <w:szCs w:val="32"/>
        </w:rPr>
        <w:t>经营</w:t>
      </w:r>
      <w:r>
        <w:rPr>
          <w:rFonts w:hint="eastAsia" w:ascii="宋体" w:hAnsi="宋体" w:cs="宋体"/>
          <w:sz w:val="32"/>
          <w:szCs w:val="32"/>
        </w:rPr>
        <w:t>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九、一般公共预算财政拨款“三公”经费支出决算情况说明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十、机关运行经费支出情况说明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hAnsi="宋体" w:cs="宋体"/>
          <w:sz w:val="32"/>
          <w:szCs w:val="32"/>
        </w:rPr>
      </w:pPr>
      <w:r>
        <w:rPr>
          <w:rFonts w:hint="eastAsia" w:ascii="宋体" w:hAnsi="宋体" w:cs="宋体"/>
          <w:sz w:val="32"/>
          <w:szCs w:val="32"/>
        </w:rPr>
        <w:t>十二、国有资产占用情况说明</w:t>
      </w:r>
    </w:p>
    <w:p>
      <w:pPr>
        <w:ind w:firstLine="640" w:firstLineChars="200"/>
        <w:jc w:val="left"/>
        <w:rPr>
          <w:rFonts w:hint="eastAsia" w:ascii="宋体" w:hAnsi="宋体" w:cs="宋体"/>
          <w:sz w:val="32"/>
          <w:szCs w:val="32"/>
        </w:rPr>
      </w:pPr>
      <w:r>
        <w:rPr>
          <w:rFonts w:hint="eastAsia" w:ascii="宋体" w:hAnsi="宋体" w:cs="宋体"/>
          <w:sz w:val="32"/>
          <w:szCs w:val="32"/>
        </w:rPr>
        <w:t>十三、预算绩效情况说明</w:t>
      </w:r>
    </w:p>
    <w:p>
      <w:pPr>
        <w:jc w:val="left"/>
        <w:rPr>
          <w:rFonts w:hint="eastAsia"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ind w:left="2400" w:hanging="2400" w:hangingChars="500"/>
        <w:jc w:val="left"/>
        <w:outlineLvl w:val="0"/>
        <w:rPr>
          <w:rFonts w:ascii="黑体" w:hAnsi="黑体" w:eastAsia="黑体" w:cs="黑体"/>
          <w:kern w:val="0"/>
          <w:sz w:val="32"/>
          <w:szCs w:val="32"/>
        </w:rPr>
      </w:pPr>
      <w:r>
        <w:rPr>
          <w:rFonts w:hint="eastAsia" w:ascii="黑体" w:hAnsi="黑体" w:eastAsia="黑体" w:cs="黑体"/>
          <w:sz w:val="48"/>
          <w:szCs w:val="48"/>
        </w:rPr>
        <w:t xml:space="preserve">第一部分  </w:t>
      </w:r>
      <w:r>
        <w:rPr>
          <w:rFonts w:hint="eastAsia" w:ascii="黑体" w:hAnsi="黑体" w:eastAsia="黑体" w:cs="黑体"/>
          <w:sz w:val="48"/>
          <w:szCs w:val="48"/>
          <w:lang w:val="en-US" w:eastAsia="zh-CN"/>
        </w:rPr>
        <w:t>信阳市平桥区震雷山街道办事处</w:t>
      </w:r>
      <w:r>
        <w:rPr>
          <w:rFonts w:hint="eastAsia" w:ascii="黑体" w:hAnsi="黑体" w:eastAsia="黑体" w:cs="黑体"/>
          <w:sz w:val="48"/>
          <w:szCs w:val="48"/>
        </w:rPr>
        <w:t>概况</w:t>
      </w: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街道党工委、街道办事处是区委、区政府的派出机关。街道根据区委、区政府授权，管理好区域内的经济、教育、科学、文化、卫生、体育等事业和生态环境保护、财 政、民政、社会保障、公安、司法行政、人口与计划生育等工作。主要承担以下几个方面的职责：</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党的建设。落实新时代党的建设总要求，负责基层党的政治建设、思想建设、组织建设、作风建设、纪律建设，把制度建设贯穿其中，深入推进反腐败斗争；负责宣传、统战、意识形态、精神文明建设及群团等工作；加强街道党 工委自身建设，指导社区级党组织建设；负责党员教育管理监督和发展党员工作。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经济发展。统筹制定区域经济发展规划，实施经济建设项目，促进经济增长；推进辖区内经济融合发展，提高农业发展水平，增加居民收入；做好投资促进、重点项目服务，以及工业、交通、商贸、就业、统计等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城市建设。统筹辖区内规划建设和管理，推进基础设施、公共设施建设，做好辖区内管理、生态环境保护等工作。实施人居环境整治，做好“厕所革命”、垃圾和污水处理、社区容貌整治提升等工作；协助做好辖区内自然资源规划、开发利用和保护等工作；协助做好开发建设项目的征地、拆迁、安置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4.公共服务。组织实施与人民群众生活密切相关的公共服务和社会事务，负责教育、民政、卫生健康、文化、体育、社会保障、社会救助等管理和服务；负责退役军人事务工作和拥军优属工作。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平安建设。负责维护辖区内社会秩序稳定，做好社会治安综合治理、公共安全风险防控、安全生产监管、应急管理、法治宣传教育、法律服务等相关工作。负责排查化解矛盾纠纷，受理群众来信来访、投诉事项；负责组织群防群治，完善治安防控体系；负责网格化服务管理工作；负责辖区内消防安全等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综合行政执法。根据法律法规和区政府授权，以办事处名义独立开展执法活动；推进城市管理、市场监管、生态环境、文化市场、交通运输、应急管理、农业等领域综合执法工作；协调配合区级执法部门做好专业执法工作；统一指挥调度派驻机构开展执法活动；承担与行政执法活动密切相关的行政检查等工作。</w:t>
      </w:r>
    </w:p>
    <w:p>
      <w:pPr>
        <w:kinsoku w:val="0"/>
        <w:overflowPunct w:val="0"/>
        <w:adjustRightInd w:val="0"/>
        <w:snapToGrid w:val="0"/>
        <w:spacing w:line="600" w:lineRule="exact"/>
        <w:ind w:right="51"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7.行政审批服务。根据法律法规和区政府授权，集中办理有关审批和服务事项；负责本级行政审批服务中心的建设、运行和监督管理；负责组织指导、协调、监督社区综合服务设施的建设、运行和管理。</w:t>
      </w:r>
    </w:p>
    <w:p>
      <w:pPr>
        <w:kinsoku w:val="0"/>
        <w:overflowPunct w:val="0"/>
        <w:adjustRightInd w:val="0"/>
        <w:snapToGrid w:val="0"/>
        <w:spacing w:line="600" w:lineRule="exact"/>
        <w:ind w:right="51" w:firstLine="640" w:firstLineChars="200"/>
        <w:jc w:val="left"/>
        <w:rPr>
          <w:rFonts w:hint="eastAsia" w:ascii="仿宋_GB2312" w:hAnsi="宋体" w:eastAsia="仿宋_GB2312" w:cs="宋体"/>
          <w:kern w:val="0"/>
          <w:sz w:val="32"/>
          <w:szCs w:val="32"/>
        </w:rPr>
      </w:pPr>
      <w:r>
        <w:rPr>
          <w:rFonts w:hint="eastAsia" w:ascii="Times New Roman" w:hAnsi="Times New Roman" w:eastAsia="仿宋_GB2312" w:cs="Times New Roman"/>
          <w:sz w:val="32"/>
          <w:szCs w:val="32"/>
        </w:rPr>
        <w:t>8.完成上级党委、政府交办的其他事项。</w:t>
      </w: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二、机构设置</w:t>
      </w:r>
    </w:p>
    <w:p>
      <w:pPr>
        <w:widowControl/>
        <w:ind w:firstLine="640" w:firstLineChars="20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震雷山街道办事处</w:t>
      </w:r>
      <w:r>
        <w:rPr>
          <w:rFonts w:hint="eastAsia" w:ascii="仿宋_GB2312" w:hAnsi="仿宋_GB2312" w:eastAsia="仿宋_GB2312" w:cs="仿宋_GB2312"/>
          <w:kern w:val="0"/>
          <w:sz w:val="32"/>
          <w:szCs w:val="32"/>
        </w:rPr>
        <w:t>内设机构</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个，包括：党政综合办、党建工作办、经济发展办、生态文明建设中心、公共服务办、平安建设办公室（社会治安综合治理中心）、综合行政执法大队、行政审批服务中心（党政便民服务中心）、应急管理办、退役军人服务站、城市建设办。</w:t>
      </w:r>
      <w:r>
        <w:rPr>
          <w:rFonts w:hint="eastAsia" w:ascii="仿宋_GB2312" w:hAnsi="仿宋_GB2312" w:eastAsia="仿宋_GB2312" w:cs="仿宋_GB2312"/>
          <w:kern w:val="0"/>
          <w:sz w:val="32"/>
          <w:szCs w:val="32"/>
          <w:lang w:val="en-US" w:eastAsia="zh-CN"/>
        </w:rPr>
        <w:t>另设有财税所。</w:t>
      </w:r>
    </w:p>
    <w:p>
      <w:pPr>
        <w:widowControl/>
        <w:ind w:firstLine="640" w:firstLineChars="20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从决算单位构成看，</w:t>
      </w:r>
      <w:r>
        <w:rPr>
          <w:rFonts w:hint="eastAsia" w:ascii="仿宋_GB2312" w:hAnsi="仿宋_GB2312" w:eastAsia="仿宋_GB2312" w:cs="仿宋_GB2312"/>
          <w:kern w:val="0"/>
          <w:sz w:val="32"/>
          <w:szCs w:val="32"/>
          <w:lang w:val="en-US" w:eastAsia="zh-CN"/>
        </w:rPr>
        <w:t>震雷山街道办事处本级</w:t>
      </w:r>
      <w:r>
        <w:rPr>
          <w:rFonts w:hint="eastAsia" w:ascii="仿宋_GB2312" w:hAnsi="仿宋_GB2312" w:eastAsia="仿宋_GB2312" w:cs="仿宋_GB2312"/>
          <w:kern w:val="0"/>
          <w:sz w:val="32"/>
          <w:szCs w:val="32"/>
        </w:rPr>
        <w:t>部门决算包括：本级决算、所属</w:t>
      </w:r>
      <w:r>
        <w:rPr>
          <w:rFonts w:hint="eastAsia" w:ascii="仿宋_GB2312" w:hAnsi="仿宋_GB2312" w:eastAsia="仿宋_GB2312" w:cs="仿宋_GB2312"/>
          <w:kern w:val="0"/>
          <w:sz w:val="32"/>
          <w:szCs w:val="32"/>
          <w:lang w:val="en-US" w:eastAsia="zh-CN"/>
        </w:rPr>
        <w:t>内设部门</w:t>
      </w:r>
      <w:r>
        <w:rPr>
          <w:rFonts w:hint="eastAsia" w:ascii="仿宋_GB2312" w:hAnsi="仿宋_GB2312" w:eastAsia="仿宋_GB2312" w:cs="仿宋_GB2312"/>
          <w:kern w:val="0"/>
          <w:sz w:val="32"/>
          <w:szCs w:val="32"/>
        </w:rPr>
        <w:t>决算</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不含财税所。</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纳入本部门202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年度部门决算编制范围的单位共</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个，其中二级预算单位包括：</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震雷山街道办事处</w:t>
      </w:r>
      <w:r>
        <w:rPr>
          <w:rFonts w:hint="eastAsia" w:ascii="仿宋_GB2312" w:hAnsi="仿宋_GB2312" w:eastAsia="仿宋_GB2312" w:cs="仿宋_GB2312"/>
          <w:kern w:val="0"/>
          <w:sz w:val="32"/>
          <w:szCs w:val="32"/>
        </w:rPr>
        <w:t>本级</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2.党政综合办</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3.党建工作办</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经济发展办</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生态文明建设中心</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公共服务办</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平安建设办公室（社会治安综合治理中心）</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综合行政执法大队</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行政审批服务中心（党政便民服务中心）</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应急管理办</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退役军人服务站</w:t>
      </w:r>
    </w:p>
    <w:p>
      <w:pPr>
        <w:widowControl/>
        <w:ind w:firstLine="640" w:firstLineChars="20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城市建设办</w:t>
      </w:r>
    </w:p>
    <w:p>
      <w:pPr>
        <w:widowControl/>
        <w:jc w:val="left"/>
        <w:rPr>
          <w:rFonts w:hint="eastAsia" w:ascii="黑体" w:hAnsi="宋体" w:eastAsia="黑体" w:cs="宋体"/>
          <w:kern w:val="0"/>
          <w:sz w:val="28"/>
          <w:szCs w:val="2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第二部分  2024年度部门决算表</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sectPr>
          <w:footerReference r:id="rId5" w:type="default"/>
          <w:pgSz w:w="11906" w:h="16838"/>
          <w:pgMar w:top="1440" w:right="1800" w:bottom="1440" w:left="1800" w:header="720" w:footer="720" w:gutter="0"/>
          <w:pgNumType w:fmt="numberInDash"/>
          <w:cols w:space="720" w:num="1"/>
          <w:docGrid w:type="lines" w:linePitch="312" w:charSpace="0"/>
        </w:sectPr>
      </w:pPr>
    </w:p>
    <w:tbl>
      <w:tblPr>
        <w:tblStyle w:val="3"/>
        <w:tblW w:w="0" w:type="auto"/>
        <w:tblInd w:w="0" w:type="dxa"/>
        <w:tblLayout w:type="fixed"/>
        <w:tblCellMar>
          <w:top w:w="0" w:type="dxa"/>
          <w:left w:w="0" w:type="dxa"/>
          <w:bottom w:w="0" w:type="dxa"/>
          <w:right w:w="0" w:type="dxa"/>
        </w:tblCellMar>
      </w:tblPr>
      <w:tblGrid>
        <w:gridCol w:w="4279"/>
        <w:gridCol w:w="825"/>
        <w:gridCol w:w="1764"/>
        <w:gridCol w:w="4671"/>
        <w:gridCol w:w="750"/>
        <w:gridCol w:w="1699"/>
      </w:tblGrid>
      <w:tr>
        <w:tblPrEx>
          <w:tblCellMar>
            <w:top w:w="0" w:type="dxa"/>
            <w:left w:w="0" w:type="dxa"/>
            <w:bottom w:w="0" w:type="dxa"/>
            <w:right w:w="0" w:type="dxa"/>
          </w:tblCellMar>
        </w:tblPrEx>
        <w:trPr>
          <w:trHeight w:val="360" w:hRule="atLeast"/>
        </w:trPr>
        <w:tc>
          <w:tcPr>
            <w:tcW w:w="13988" w:type="dxa"/>
            <w:gridSpan w:val="6"/>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收入支出决算总表</w:t>
            </w:r>
          </w:p>
        </w:tc>
      </w:tr>
      <w:tr>
        <w:tblPrEx>
          <w:tblCellMar>
            <w:top w:w="0" w:type="dxa"/>
            <w:left w:w="0" w:type="dxa"/>
            <w:bottom w:w="0" w:type="dxa"/>
            <w:right w:w="0" w:type="dxa"/>
          </w:tblCellMar>
        </w:tblPrEx>
        <w:trPr>
          <w:trHeight w:val="199" w:hRule="atLeast"/>
        </w:trPr>
        <w:tc>
          <w:tcPr>
            <w:tcW w:w="427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公开01表</w:t>
            </w:r>
          </w:p>
        </w:tc>
      </w:tr>
      <w:tr>
        <w:tblPrEx>
          <w:tblCellMar>
            <w:top w:w="0" w:type="dxa"/>
            <w:left w:w="0" w:type="dxa"/>
            <w:bottom w:w="0" w:type="dxa"/>
            <w:right w:w="0" w:type="dxa"/>
          </w:tblCellMar>
        </w:tblPrEx>
        <w:trPr>
          <w:trHeight w:val="300" w:hRule="atLeast"/>
        </w:trPr>
        <w:tc>
          <w:tcPr>
            <w:tcW w:w="4279"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825"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64"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69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39" w:hRule="atLeast"/>
        </w:trPr>
        <w:tc>
          <w:tcPr>
            <w:tcW w:w="6868" w:type="dxa"/>
            <w:gridSpan w:val="3"/>
            <w:tcBorders>
              <w:top w:val="single" w:color="000000" w:sz="8"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收入</w:t>
            </w:r>
          </w:p>
        </w:tc>
        <w:tc>
          <w:tcPr>
            <w:tcW w:w="7120" w:type="dxa"/>
            <w:gridSpan w:val="3"/>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支出</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行次</w:t>
            </w:r>
          </w:p>
        </w:tc>
        <w:tc>
          <w:tcPr>
            <w:tcW w:w="176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行次</w:t>
            </w:r>
          </w:p>
        </w:tc>
        <w:tc>
          <w:tcPr>
            <w:tcW w:w="169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    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76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    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69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一、一般公共预算财政拨款收入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一、一般公共服务支出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二、政府性基金</w:t>
            </w:r>
            <w:r>
              <w:rPr>
                <w:rFonts w:ascii="宋体" w:hAnsi="宋体" w:cs="宋体"/>
                <w:color w:val="000000"/>
                <w:kern w:val="0"/>
                <w:sz w:val="20"/>
                <w:szCs w:val="20"/>
                <w:lang w:bidi="ar"/>
              </w:rPr>
              <w:t>预算财政拨款</w:t>
            </w:r>
            <w:r>
              <w:rPr>
                <w:rFonts w:hint="eastAsia" w:ascii="宋体" w:hAnsi="宋体" w:cs="宋体"/>
                <w:color w:val="000000"/>
                <w:kern w:val="0"/>
                <w:sz w:val="20"/>
                <w:szCs w:val="20"/>
                <w:lang w:bidi="ar"/>
              </w:rPr>
              <w:t>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二、外交支出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三、国有资本</w:t>
            </w:r>
            <w:r>
              <w:rPr>
                <w:rFonts w:ascii="宋体" w:hAnsi="宋体" w:cs="宋体"/>
                <w:color w:val="000000"/>
                <w:kern w:val="0"/>
                <w:sz w:val="20"/>
                <w:szCs w:val="20"/>
                <w:lang w:bidi="ar"/>
              </w:rPr>
              <w:t>经营预算财政拨款</w:t>
            </w:r>
            <w:r>
              <w:rPr>
                <w:rFonts w:hint="eastAsia" w:ascii="宋体" w:hAnsi="宋体" w:cs="宋体"/>
                <w:color w:val="000000"/>
                <w:kern w:val="0"/>
                <w:sz w:val="20"/>
                <w:szCs w:val="20"/>
                <w:lang w:bidi="ar"/>
              </w:rPr>
              <w:t>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三、国防支出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四、上级补助收入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四、公共安全支出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五、事业收入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五、教育支出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六、经营收入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六、科学技术支出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七、附属单位上缴收入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八、其他收入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69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本年收入合计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本年支出合计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default" w:ascii="宋体" w:hAnsi="宋体" w:eastAsia="宋体" w:cs="宋体"/>
                <w:b/>
                <w:color w:val="000000"/>
                <w:sz w:val="20"/>
                <w:szCs w:val="20"/>
                <w:lang w:val="en-US" w:eastAsia="zh-CN"/>
              </w:rPr>
            </w:pPr>
            <w:r>
              <w:rPr>
                <w:rFonts w:hint="eastAsia" w:ascii="宋体" w:hAnsi="宋体" w:cs="宋体"/>
                <w:b/>
                <w:color w:val="000000"/>
                <w:sz w:val="20"/>
                <w:szCs w:val="20"/>
                <w:lang w:val="en-US" w:eastAsia="zh-CN"/>
              </w:rPr>
              <w:t>2466.14</w:t>
            </w: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使用非财政拨款结余（含专用结余）</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结余分配</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年初结转和结余</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年末结转和结余</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w:t>
            </w:r>
          </w:p>
        </w:tc>
        <w:tc>
          <w:tcPr>
            <w:tcW w:w="1699"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nil"/>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764"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4671" w:type="dxa"/>
            <w:tcBorders>
              <w:top w:val="single" w:color="000000" w:sz="4" w:space="0"/>
              <w:left w:val="single" w:color="000000" w:sz="4" w:space="0"/>
              <w:bottom w:val="nil"/>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w:t>
            </w:r>
          </w:p>
        </w:tc>
        <w:tc>
          <w:tcPr>
            <w:tcW w:w="1699" w:type="dxa"/>
            <w:tcBorders>
              <w:top w:val="single" w:color="000000" w:sz="4" w:space="0"/>
              <w:left w:val="nil"/>
              <w:bottom w:val="nil"/>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39" w:hRule="atLeast"/>
        </w:trPr>
        <w:tc>
          <w:tcPr>
            <w:tcW w:w="4279"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总计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764"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4671" w:type="dxa"/>
            <w:tcBorders>
              <w:top w:val="single" w:color="000000" w:sz="4" w:space="0"/>
              <w:left w:val="single" w:color="000000" w:sz="4"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总计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w:t>
            </w:r>
          </w:p>
        </w:tc>
        <w:tc>
          <w:tcPr>
            <w:tcW w:w="1699" w:type="dxa"/>
            <w:tcBorders>
              <w:top w:val="single" w:color="000000" w:sz="4" w:space="0"/>
              <w:left w:val="nil"/>
              <w:bottom w:val="single" w:color="000000" w:sz="8" w:space="0"/>
              <w:right w:val="single" w:color="000000" w:sz="8" w:space="0"/>
            </w:tcBorders>
            <w:noWrap/>
            <w:tcMar>
              <w:top w:w="15" w:type="dxa"/>
              <w:left w:w="15" w:type="dxa"/>
              <w:right w:w="15" w:type="dxa"/>
            </w:tcMar>
            <w:vAlign w:val="center"/>
          </w:tcPr>
          <w:p>
            <w:pPr>
              <w:jc w:val="right"/>
              <w:rPr>
                <w:rFonts w:hint="default" w:ascii="宋体" w:hAnsi="宋体" w:eastAsia="宋体" w:cs="宋体"/>
                <w:b/>
                <w:color w:val="000000"/>
                <w:sz w:val="20"/>
                <w:szCs w:val="20"/>
                <w:lang w:val="en-US" w:eastAsia="zh-CN"/>
              </w:rPr>
            </w:pPr>
            <w:r>
              <w:rPr>
                <w:rFonts w:hint="eastAsia" w:ascii="宋体" w:hAnsi="宋体" w:cs="宋体"/>
                <w:b/>
                <w:color w:val="000000"/>
                <w:sz w:val="20"/>
                <w:szCs w:val="20"/>
                <w:lang w:val="en-US" w:eastAsia="zh-CN"/>
              </w:rPr>
              <w:t>2466.14</w:t>
            </w:r>
          </w:p>
        </w:tc>
      </w:tr>
      <w:tr>
        <w:tblPrEx>
          <w:tblCellMar>
            <w:top w:w="0" w:type="dxa"/>
            <w:left w:w="0" w:type="dxa"/>
            <w:bottom w:w="0" w:type="dxa"/>
            <w:right w:w="0" w:type="dxa"/>
          </w:tblCellMar>
        </w:tblPrEx>
        <w:trPr>
          <w:trHeight w:val="585" w:hRule="atLeast"/>
        </w:trPr>
        <w:tc>
          <w:tcPr>
            <w:tcW w:w="13988" w:type="dxa"/>
            <w:gridSpan w:val="6"/>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注：本表反映部门本年度的总收支和年末结转结余情况。本表金额转换为万元时，因四舍五入可能存在尾差。</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0" w:type="auto"/>
        <w:tblInd w:w="0" w:type="dxa"/>
        <w:tblLayout w:type="fixed"/>
        <w:tblCellMar>
          <w:top w:w="0" w:type="dxa"/>
          <w:left w:w="0" w:type="dxa"/>
          <w:bottom w:w="0" w:type="dxa"/>
          <w:right w:w="0" w:type="dxa"/>
        </w:tblCellMar>
      </w:tblPr>
      <w:tblGrid>
        <w:gridCol w:w="1027"/>
        <w:gridCol w:w="59"/>
        <w:gridCol w:w="1271"/>
        <w:gridCol w:w="1553"/>
        <w:gridCol w:w="88"/>
        <w:gridCol w:w="1465"/>
        <w:gridCol w:w="176"/>
        <w:gridCol w:w="1377"/>
        <w:gridCol w:w="264"/>
        <w:gridCol w:w="1289"/>
        <w:gridCol w:w="352"/>
        <w:gridCol w:w="1201"/>
        <w:gridCol w:w="440"/>
        <w:gridCol w:w="1113"/>
        <w:gridCol w:w="528"/>
        <w:gridCol w:w="1642"/>
      </w:tblGrid>
      <w:tr>
        <w:tblPrEx>
          <w:tblCellMar>
            <w:top w:w="0" w:type="dxa"/>
            <w:left w:w="0" w:type="dxa"/>
            <w:bottom w:w="0" w:type="dxa"/>
            <w:right w:w="0" w:type="dxa"/>
          </w:tblCellMar>
        </w:tblPrEx>
        <w:trPr>
          <w:trHeight w:val="435" w:hRule="atLeast"/>
        </w:trPr>
        <w:tc>
          <w:tcPr>
            <w:tcW w:w="13845" w:type="dxa"/>
            <w:gridSpan w:val="16"/>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收入决算表</w:t>
            </w:r>
          </w:p>
        </w:tc>
      </w:tr>
      <w:tr>
        <w:tblPrEx>
          <w:tblCellMar>
            <w:top w:w="0" w:type="dxa"/>
            <w:left w:w="0" w:type="dxa"/>
            <w:bottom w:w="0" w:type="dxa"/>
            <w:right w:w="0" w:type="dxa"/>
          </w:tblCellMar>
        </w:tblPrEx>
        <w:trPr>
          <w:trHeight w:val="285" w:hRule="atLeast"/>
        </w:trPr>
        <w:tc>
          <w:tcPr>
            <w:tcW w:w="102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5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27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公开02表</w:t>
            </w:r>
          </w:p>
        </w:tc>
      </w:tr>
      <w:tr>
        <w:tblPrEx>
          <w:tblCellMar>
            <w:top w:w="0" w:type="dxa"/>
            <w:left w:w="0" w:type="dxa"/>
            <w:bottom w:w="0" w:type="dxa"/>
            <w:right w:w="0" w:type="dxa"/>
          </w:tblCellMar>
        </w:tblPrEx>
        <w:trPr>
          <w:trHeight w:val="300" w:hRule="atLeast"/>
        </w:trPr>
        <w:tc>
          <w:tcPr>
            <w:tcW w:w="7016" w:type="dxa"/>
            <w:gridSpan w:val="8"/>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50" w:hRule="atLeast"/>
        </w:trPr>
        <w:tc>
          <w:tcPr>
            <w:tcW w:w="2357" w:type="dxa"/>
            <w:gridSpan w:val="3"/>
            <w:tcBorders>
              <w:top w:val="single" w:color="000000" w:sz="8"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本年收入合计</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财政拨款收入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上级补助收入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事业收入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经营收入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附属单位上缴收入</w:t>
            </w:r>
          </w:p>
        </w:tc>
        <w:tc>
          <w:tcPr>
            <w:tcW w:w="1642" w:type="dxa"/>
            <w:vMerge w:val="restart"/>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其他收入</w:t>
            </w:r>
          </w:p>
        </w:tc>
      </w:tr>
      <w:tr>
        <w:tblPrEx>
          <w:tblCellMar>
            <w:top w:w="0" w:type="dxa"/>
            <w:left w:w="0" w:type="dxa"/>
            <w:bottom w:w="0" w:type="dxa"/>
            <w:right w:w="0" w:type="dxa"/>
          </w:tblCellMar>
        </w:tblPrEx>
        <w:trPr>
          <w:trHeight w:val="450" w:hRule="atLeast"/>
        </w:trPr>
        <w:tc>
          <w:tcPr>
            <w:tcW w:w="1086" w:type="dxa"/>
            <w:gridSpan w:val="2"/>
            <w:vMerge w:val="restart"/>
            <w:tcBorders>
              <w:top w:val="single" w:color="000000" w:sz="4"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vMerge w:val="continue"/>
            <w:tcBorders>
              <w:top w:val="single" w:color="000000" w:sz="4"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2357" w:type="dxa"/>
            <w:gridSpan w:val="3"/>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642"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0" w:type="dxa"/>
            <w:bottom w:w="0" w:type="dxa"/>
            <w:right w:w="0" w:type="dxa"/>
          </w:tblCellMar>
        </w:tblPrEx>
        <w:trPr>
          <w:trHeight w:val="450" w:hRule="atLeast"/>
        </w:trPr>
        <w:tc>
          <w:tcPr>
            <w:tcW w:w="2357" w:type="dxa"/>
            <w:gridSpan w:val="3"/>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201</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一般公共服务支出</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20103</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政府办公厅（室）及相关机构事务</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华文中宋" w:hAnsi="华文中宋" w:eastAsia="华文中宋" w:cs="华文中宋"/>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2010301</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行政运行</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1607.52</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1607.52</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2010302</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一般行政管理事务</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858.61</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858.61</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642"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615" w:hRule="atLeast"/>
        </w:trPr>
        <w:tc>
          <w:tcPr>
            <w:tcW w:w="13845" w:type="dxa"/>
            <w:gridSpan w:val="16"/>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注：本表反映部门本年度取得的各项收入情况。本表金额转换为万元时，因四舍五入可能存在尾差。</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0" w:type="auto"/>
        <w:tblInd w:w="0" w:type="dxa"/>
        <w:tblLayout w:type="fixed"/>
        <w:tblCellMar>
          <w:top w:w="0" w:type="dxa"/>
          <w:left w:w="0" w:type="dxa"/>
          <w:bottom w:w="0" w:type="dxa"/>
          <w:right w:w="0" w:type="dxa"/>
        </w:tblCellMar>
      </w:tblPr>
      <w:tblGrid>
        <w:gridCol w:w="1120"/>
        <w:gridCol w:w="63"/>
        <w:gridCol w:w="27"/>
        <w:gridCol w:w="1349"/>
        <w:gridCol w:w="1774"/>
        <w:gridCol w:w="130"/>
        <w:gridCol w:w="1672"/>
        <w:gridCol w:w="232"/>
        <w:gridCol w:w="1569"/>
        <w:gridCol w:w="335"/>
        <w:gridCol w:w="1467"/>
        <w:gridCol w:w="437"/>
        <w:gridCol w:w="1364"/>
        <w:gridCol w:w="540"/>
        <w:gridCol w:w="1909"/>
      </w:tblGrid>
      <w:tr>
        <w:tblPrEx>
          <w:tblCellMar>
            <w:top w:w="0" w:type="dxa"/>
            <w:left w:w="0" w:type="dxa"/>
            <w:bottom w:w="0" w:type="dxa"/>
            <w:right w:w="0" w:type="dxa"/>
          </w:tblCellMar>
        </w:tblPrEx>
        <w:trPr>
          <w:trHeight w:val="435" w:hRule="atLeast"/>
        </w:trPr>
        <w:tc>
          <w:tcPr>
            <w:tcW w:w="13988" w:type="dxa"/>
            <w:gridSpan w:val="15"/>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支出决算表</w:t>
            </w:r>
          </w:p>
        </w:tc>
      </w:tr>
      <w:tr>
        <w:tblPrEx>
          <w:tblCellMar>
            <w:top w:w="0" w:type="dxa"/>
            <w:left w:w="0" w:type="dxa"/>
            <w:bottom w:w="0" w:type="dxa"/>
            <w:right w:w="0" w:type="dxa"/>
          </w:tblCellMar>
        </w:tblPrEx>
        <w:trPr>
          <w:trHeight w:val="285" w:hRule="atLeast"/>
        </w:trPr>
        <w:tc>
          <w:tcPr>
            <w:tcW w:w="112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90"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34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74"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449"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公开03表</w:t>
            </w:r>
          </w:p>
        </w:tc>
      </w:tr>
      <w:tr>
        <w:tblPrEx>
          <w:tblCellMar>
            <w:top w:w="0" w:type="dxa"/>
            <w:left w:w="0" w:type="dxa"/>
            <w:bottom w:w="0" w:type="dxa"/>
            <w:right w:w="0" w:type="dxa"/>
          </w:tblCellMar>
        </w:tblPrEx>
        <w:trPr>
          <w:trHeight w:val="300" w:hRule="atLeast"/>
        </w:trPr>
        <w:tc>
          <w:tcPr>
            <w:tcW w:w="6135" w:type="dxa"/>
            <w:gridSpan w:val="7"/>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449"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50" w:hRule="atLeast"/>
        </w:trPr>
        <w:tc>
          <w:tcPr>
            <w:tcW w:w="2559" w:type="dxa"/>
            <w:gridSpan w:val="4"/>
            <w:tcBorders>
              <w:top w:val="single" w:color="000000" w:sz="8"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本年支出合计</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上缴上级支出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经营支出</w:t>
            </w:r>
          </w:p>
        </w:tc>
        <w:tc>
          <w:tcPr>
            <w:tcW w:w="1909" w:type="dxa"/>
            <w:vMerge w:val="restart"/>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对附属单位补助支出</w:t>
            </w:r>
          </w:p>
        </w:tc>
      </w:tr>
      <w:tr>
        <w:tblPrEx>
          <w:tblCellMar>
            <w:top w:w="0" w:type="dxa"/>
            <w:left w:w="0" w:type="dxa"/>
            <w:bottom w:w="0" w:type="dxa"/>
            <w:right w:w="0" w:type="dxa"/>
          </w:tblCellMar>
        </w:tblPrEx>
        <w:trPr>
          <w:trHeight w:val="450" w:hRule="atLeast"/>
        </w:trPr>
        <w:tc>
          <w:tcPr>
            <w:tcW w:w="1183" w:type="dxa"/>
            <w:gridSpan w:val="2"/>
            <w:vMerge w:val="restart"/>
            <w:tcBorders>
              <w:top w:val="single" w:color="000000" w:sz="4"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137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9" w:type="dxa"/>
            <w:vMerge w:val="continue"/>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vMerge w:val="continue"/>
            <w:tcBorders>
              <w:top w:val="single" w:color="000000" w:sz="4" w:space="0"/>
              <w:left w:val="single" w:color="000000" w:sz="8" w:space="0"/>
              <w:bottom w:val="single" w:color="000000" w:sz="4" w:space="0"/>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09" w:type="dxa"/>
            <w:vMerge w:val="continue"/>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2559" w:type="dxa"/>
            <w:gridSpan w:val="4"/>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909"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2559" w:type="dxa"/>
            <w:gridSpan w:val="4"/>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1607.52</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858.61</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一般公共服务支出</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政府办公厅（室）及相关机构事务</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2010301</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行政运行</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1607.52</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2010302</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一般行政管理事务</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858.61</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4"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909"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630" w:hRule="atLeast"/>
        </w:trPr>
        <w:tc>
          <w:tcPr>
            <w:tcW w:w="13988" w:type="dxa"/>
            <w:gridSpan w:val="15"/>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注：本表反映部门本年度各项支出情况。本表金额转换为万元时，因四舍五入可能存在尾差。</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0" w:type="auto"/>
        <w:tblInd w:w="0" w:type="dxa"/>
        <w:tblLayout w:type="fixed"/>
        <w:tblCellMar>
          <w:top w:w="0" w:type="dxa"/>
          <w:left w:w="0" w:type="dxa"/>
          <w:bottom w:w="0" w:type="dxa"/>
          <w:right w:w="0" w:type="dxa"/>
        </w:tblCellMar>
      </w:tblPr>
      <w:tblGrid>
        <w:gridCol w:w="3417"/>
        <w:gridCol w:w="1297"/>
        <w:gridCol w:w="1210"/>
        <w:gridCol w:w="2596"/>
        <w:gridCol w:w="993"/>
        <w:gridCol w:w="567"/>
        <w:gridCol w:w="1275"/>
        <w:gridCol w:w="617"/>
        <w:gridCol w:w="943"/>
        <w:gridCol w:w="1058"/>
      </w:tblGrid>
      <w:tr>
        <w:tblPrEx>
          <w:tblCellMar>
            <w:top w:w="0" w:type="dxa"/>
            <w:left w:w="0" w:type="dxa"/>
            <w:bottom w:w="0" w:type="dxa"/>
            <w:right w:w="0" w:type="dxa"/>
          </w:tblCellMar>
        </w:tblPrEx>
        <w:trPr>
          <w:trHeight w:val="360" w:hRule="atLeast"/>
        </w:trPr>
        <w:tc>
          <w:tcPr>
            <w:tcW w:w="12915"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财政拨款收入支出决算总表</w:t>
            </w:r>
          </w:p>
        </w:tc>
        <w:tc>
          <w:tcPr>
            <w:tcW w:w="1058" w:type="dxa"/>
            <w:tcBorders>
              <w:top w:val="nil"/>
              <w:left w:val="nil"/>
              <w:bottom w:val="nil"/>
              <w:right w:val="nil"/>
            </w:tcBorders>
            <w:noWrap w:val="0"/>
            <w:vAlign w:val="top"/>
          </w:tcPr>
          <w:p>
            <w:pPr>
              <w:widowControl/>
              <w:jc w:val="center"/>
              <w:textAlignment w:val="center"/>
              <w:rPr>
                <w:rFonts w:hint="eastAsia" w:ascii="华文中宋" w:hAnsi="华文中宋" w:eastAsia="华文中宋" w:cs="华文中宋"/>
                <w:color w:val="000000"/>
                <w:kern w:val="0"/>
                <w:sz w:val="32"/>
                <w:szCs w:val="32"/>
                <w:lang w:bidi="ar"/>
              </w:rPr>
            </w:pPr>
          </w:p>
        </w:tc>
      </w:tr>
      <w:tr>
        <w:tblPrEx>
          <w:tblCellMar>
            <w:top w:w="0" w:type="dxa"/>
            <w:left w:w="0" w:type="dxa"/>
            <w:bottom w:w="0" w:type="dxa"/>
            <w:right w:w="0" w:type="dxa"/>
          </w:tblCellMar>
        </w:tblPrEx>
        <w:trPr>
          <w:trHeight w:val="199" w:hRule="atLeast"/>
        </w:trPr>
        <w:tc>
          <w:tcPr>
            <w:tcW w:w="341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29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21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993"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56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92" w:type="dxa"/>
            <w:gridSpan w:val="2"/>
            <w:tcBorders>
              <w:top w:val="nil"/>
              <w:left w:val="nil"/>
              <w:bottom w:val="nil"/>
              <w:right w:val="nil"/>
            </w:tcBorders>
            <w:shd w:val="clear" w:color="auto" w:fill="FFFFFF"/>
            <w:noWrap/>
            <w:tcMar>
              <w:top w:w="15" w:type="dxa"/>
              <w:left w:w="15" w:type="dxa"/>
              <w:right w:w="15" w:type="dxa"/>
            </w:tcMar>
            <w:vAlign w:val="center"/>
          </w:tcPr>
          <w:p>
            <w:pPr>
              <w:wordWrap w:val="0"/>
              <w:jc w:val="right"/>
              <w:rPr>
                <w:rFonts w:hint="eastAsia" w:ascii="宋体" w:hAnsi="宋体" w:cs="宋体"/>
                <w:color w:val="000000"/>
                <w:sz w:val="20"/>
                <w:szCs w:val="20"/>
              </w:rPr>
            </w:pPr>
            <w:r>
              <w:rPr>
                <w:rFonts w:hint="eastAsia" w:ascii="宋体" w:hAnsi="宋体" w:cs="宋体"/>
                <w:color w:val="000000"/>
                <w:sz w:val="20"/>
                <w:szCs w:val="20"/>
              </w:rPr>
              <w:t xml:space="preserve"> </w:t>
            </w:r>
            <w:r>
              <w:rPr>
                <w:rFonts w:ascii="宋体" w:hAnsi="宋体" w:cs="宋体"/>
                <w:color w:val="000000"/>
                <w:sz w:val="20"/>
                <w:szCs w:val="20"/>
              </w:rPr>
              <w:t xml:space="preserve">       </w:t>
            </w: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kern w:val="0"/>
                <w:sz w:val="20"/>
                <w:szCs w:val="20"/>
                <w:lang w:bidi="ar"/>
              </w:rPr>
            </w:pPr>
          </w:p>
        </w:tc>
        <w:tc>
          <w:tcPr>
            <w:tcW w:w="1058" w:type="dxa"/>
            <w:tcBorders>
              <w:top w:val="nil"/>
              <w:left w:val="nil"/>
              <w:bottom w:val="nil"/>
              <w:right w:val="nil"/>
            </w:tcBorders>
            <w:shd w:val="clear" w:color="auto" w:fill="FFFFFF"/>
            <w:noWrap w:val="0"/>
            <w:vAlign w:val="center"/>
          </w:tcPr>
          <w:p>
            <w:pPr>
              <w:widowControl/>
              <w:jc w:val="righ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公开04表</w:t>
            </w:r>
          </w:p>
        </w:tc>
      </w:tr>
      <w:tr>
        <w:tblPrEx>
          <w:tblCellMar>
            <w:top w:w="0" w:type="dxa"/>
            <w:left w:w="0" w:type="dxa"/>
            <w:bottom w:w="0" w:type="dxa"/>
            <w:right w:w="0" w:type="dxa"/>
          </w:tblCellMar>
        </w:tblPrEx>
        <w:trPr>
          <w:trHeight w:val="300" w:hRule="atLeast"/>
        </w:trPr>
        <w:tc>
          <w:tcPr>
            <w:tcW w:w="8520" w:type="dxa"/>
            <w:gridSpan w:val="4"/>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993"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56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9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94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kern w:val="0"/>
                <w:sz w:val="20"/>
                <w:szCs w:val="20"/>
                <w:lang w:bidi="ar"/>
              </w:rPr>
            </w:pPr>
          </w:p>
        </w:tc>
        <w:tc>
          <w:tcPr>
            <w:tcW w:w="1058" w:type="dxa"/>
            <w:tcBorders>
              <w:top w:val="nil"/>
              <w:left w:val="nil"/>
              <w:bottom w:val="nil"/>
              <w:right w:val="nil"/>
            </w:tcBorders>
            <w:shd w:val="clear" w:color="auto" w:fill="FFFFFF"/>
            <w:noWrap w:val="0"/>
            <w:vAlign w:val="center"/>
          </w:tcPr>
          <w:p>
            <w:pPr>
              <w:widowControl/>
              <w:jc w:val="righ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2" w:hRule="atLeast"/>
        </w:trPr>
        <w:tc>
          <w:tcPr>
            <w:tcW w:w="5924" w:type="dxa"/>
            <w:gridSpan w:val="3"/>
            <w:tcBorders>
              <w:top w:val="single" w:color="000000" w:sz="8"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收入</w:t>
            </w:r>
          </w:p>
        </w:tc>
        <w:tc>
          <w:tcPr>
            <w:tcW w:w="8049" w:type="dxa"/>
            <w:gridSpan w:val="7"/>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支出</w:t>
            </w:r>
          </w:p>
        </w:tc>
      </w:tr>
      <w:tr>
        <w:tblPrEx>
          <w:tblCellMar>
            <w:top w:w="0" w:type="dxa"/>
            <w:left w:w="0" w:type="dxa"/>
            <w:bottom w:w="0" w:type="dxa"/>
            <w:right w:w="0" w:type="dxa"/>
          </w:tblCellMar>
        </w:tblPrEx>
        <w:trPr>
          <w:trHeight w:val="630"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行次</w:t>
            </w:r>
          </w:p>
        </w:tc>
        <w:tc>
          <w:tcPr>
            <w:tcW w:w="12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金额</w:t>
            </w: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行次</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一般公共预算财政拨款</w:t>
            </w:r>
          </w:p>
        </w:tc>
        <w:tc>
          <w:tcPr>
            <w:tcW w:w="1560"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政府性基金预算财政拨款</w:t>
            </w: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sz w:val="20"/>
                <w:szCs w:val="20"/>
              </w:rPr>
              <w:t>国有资本经营预算财政拨款</w:t>
            </w: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    次</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    次</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560" w:type="dxa"/>
            <w:gridSpan w:val="2"/>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058" w:type="dxa"/>
            <w:tcBorders>
              <w:top w:val="single" w:color="000000" w:sz="4" w:space="0"/>
              <w:left w:val="single" w:color="000000" w:sz="4" w:space="0"/>
              <w:bottom w:val="single" w:color="000000" w:sz="4" w:space="0"/>
              <w:right w:val="single" w:color="000000" w:sz="8" w:space="0"/>
            </w:tcBorders>
            <w:shd w:val="clear" w:color="auto" w:fill="FFFFFF"/>
            <w:noWrap w:val="0"/>
            <w:vAlign w:val="top"/>
          </w:tcPr>
          <w:p>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5</w:t>
            </w: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一、一般公共预算财政拨款</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一、一般公共服务支出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二、政府性基金预算财政拨款</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二、外交支出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r>
              <w:rPr>
                <w:rFonts w:hint="eastAsia" w:ascii="宋体" w:hAnsi="宋体" w:cs="宋体"/>
                <w:color w:val="000000"/>
                <w:sz w:val="20"/>
                <w:szCs w:val="20"/>
              </w:rPr>
              <w:t>三、国有资本经营预算财政拨款</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三、国防支出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四、公共安全支出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五、教育支出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六、科学技术支出</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cs="宋体"/>
                <w:color w:val="00000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w:t>
            </w:r>
          </w:p>
        </w:tc>
        <w:tc>
          <w:tcPr>
            <w:tcW w:w="5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cs="宋体"/>
                <w:color w:val="000000"/>
                <w:sz w:val="20"/>
                <w:szCs w:val="20"/>
              </w:rPr>
            </w:pPr>
          </w:p>
        </w:tc>
        <w:tc>
          <w:tcPr>
            <w:tcW w:w="1058" w:type="dxa"/>
            <w:tcBorders>
              <w:top w:val="single" w:color="000000" w:sz="4" w:space="0"/>
              <w:left w:val="single" w:color="000000" w:sz="4" w:space="0"/>
              <w:bottom w:val="single" w:color="000000" w:sz="4" w:space="0"/>
              <w:right w:val="single" w:color="000000" w:sz="8" w:space="0"/>
            </w:tcBorders>
            <w:noWrap w:val="0"/>
            <w:vAlign w:val="top"/>
          </w:tcPr>
          <w:p>
            <w:pPr>
              <w:jc w:val="right"/>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w:t>
            </w:r>
          </w:p>
        </w:tc>
        <w:tc>
          <w:tcPr>
            <w:tcW w:w="567"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noWrap w:val="0"/>
            <w:vAlign w:val="top"/>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本年收入合计</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2596"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本年支出合计</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w:t>
            </w:r>
          </w:p>
        </w:tc>
        <w:tc>
          <w:tcPr>
            <w:tcW w:w="567"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b/>
                <w:color w:val="000000"/>
                <w:sz w:val="20"/>
                <w:szCs w:val="20"/>
              </w:rPr>
            </w:pPr>
          </w:p>
        </w:tc>
        <w:tc>
          <w:tcPr>
            <w:tcW w:w="1058" w:type="dxa"/>
            <w:tcBorders>
              <w:top w:val="single" w:color="000000" w:sz="4" w:space="0"/>
              <w:left w:val="nil"/>
              <w:bottom w:val="single" w:color="000000" w:sz="4" w:space="0"/>
              <w:right w:val="single" w:color="000000" w:sz="8" w:space="0"/>
            </w:tcBorders>
            <w:noWrap w:val="0"/>
            <w:vAlign w:val="top"/>
          </w:tcPr>
          <w:p>
            <w:pPr>
              <w:rPr>
                <w:rFonts w:hint="eastAsia" w:ascii="宋体" w:hAnsi="宋体" w:cs="宋体"/>
                <w:b/>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年初财政拨款结转和结余</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年末财政拨款结转和结余</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w:t>
            </w:r>
          </w:p>
        </w:tc>
        <w:tc>
          <w:tcPr>
            <w:tcW w:w="567"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noWrap w:val="0"/>
            <w:vAlign w:val="top"/>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一般公共预算财政拨款</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w:t>
            </w:r>
          </w:p>
        </w:tc>
        <w:tc>
          <w:tcPr>
            <w:tcW w:w="567" w:type="dxa"/>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c>
          <w:tcPr>
            <w:tcW w:w="1058" w:type="dxa"/>
            <w:tcBorders>
              <w:top w:val="single" w:color="000000" w:sz="4" w:space="0"/>
              <w:left w:val="nil"/>
              <w:bottom w:val="single" w:color="000000" w:sz="4" w:space="0"/>
              <w:right w:val="single" w:color="000000" w:sz="8" w:space="0"/>
            </w:tcBorders>
            <w:noWrap w:val="0"/>
            <w:vAlign w:val="top"/>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政府性基金预算财政拨款</w:t>
            </w:r>
          </w:p>
        </w:tc>
        <w:tc>
          <w:tcPr>
            <w:tcW w:w="1297"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21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000000" w:sz="4" w:space="0"/>
              <w:left w:val="single" w:color="000000" w:sz="4" w:space="0"/>
              <w:bottom w:val="single" w:color="auto" w:sz="4" w:space="0"/>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993"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w:t>
            </w:r>
          </w:p>
        </w:tc>
        <w:tc>
          <w:tcPr>
            <w:tcW w:w="567" w:type="dxa"/>
            <w:tcBorders>
              <w:top w:val="single" w:color="000000" w:sz="4" w:space="0"/>
              <w:left w:val="nil"/>
              <w:bottom w:val="single" w:color="auto" w:sz="4" w:space="0"/>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000000" w:sz="4" w:space="0"/>
              <w:left w:val="nil"/>
              <w:bottom w:val="single" w:color="auto"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c>
          <w:tcPr>
            <w:tcW w:w="1058" w:type="dxa"/>
            <w:tcBorders>
              <w:top w:val="single" w:color="000000" w:sz="4" w:space="0"/>
              <w:left w:val="nil"/>
              <w:bottom w:val="single" w:color="auto" w:sz="4" w:space="0"/>
              <w:right w:val="single" w:color="000000" w:sz="8" w:space="0"/>
            </w:tcBorders>
            <w:noWrap w:val="0"/>
            <w:vAlign w:val="top"/>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auto" w:sz="4" w:space="0"/>
              <w:left w:val="single" w:color="000000" w:sz="8" w:space="0"/>
              <w:bottom w:val="nil"/>
              <w:right w:val="nil"/>
            </w:tcBorders>
            <w:shd w:val="clear" w:color="auto" w:fill="auto"/>
            <w:noWrap/>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rPr>
              <w:t xml:space="preserve">       国有资本经营预算财政拨款</w:t>
            </w:r>
          </w:p>
        </w:tc>
        <w:tc>
          <w:tcPr>
            <w:tcW w:w="1297"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210" w:type="dxa"/>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right"/>
              <w:rPr>
                <w:rFonts w:hint="eastAsia" w:ascii="宋体" w:hAnsi="宋体" w:cs="宋体"/>
                <w:color w:val="000000"/>
                <w:sz w:val="20"/>
                <w:szCs w:val="20"/>
              </w:rPr>
            </w:pPr>
          </w:p>
        </w:tc>
        <w:tc>
          <w:tcPr>
            <w:tcW w:w="2596" w:type="dxa"/>
            <w:tcBorders>
              <w:top w:val="single" w:color="auto" w:sz="4" w:space="0"/>
              <w:left w:val="single" w:color="000000" w:sz="4" w:space="0"/>
              <w:bottom w:val="nil"/>
              <w:right w:val="nil"/>
            </w:tcBorders>
            <w:shd w:val="clear" w:color="auto" w:fill="auto"/>
            <w:noWrap/>
            <w:tcMar>
              <w:top w:w="15" w:type="dxa"/>
              <w:left w:w="15" w:type="dxa"/>
              <w:right w:w="15" w:type="dxa"/>
            </w:tcMar>
            <w:vAlign w:val="center"/>
          </w:tcPr>
          <w:p>
            <w:pPr>
              <w:jc w:val="left"/>
              <w:rPr>
                <w:rFonts w:hint="eastAsia" w:ascii="宋体" w:hAnsi="宋体" w:cs="宋体"/>
                <w:color w:val="000000"/>
                <w:sz w:val="20"/>
                <w:szCs w:val="20"/>
              </w:rPr>
            </w:pPr>
          </w:p>
        </w:tc>
        <w:tc>
          <w:tcPr>
            <w:tcW w:w="993"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w:t>
            </w:r>
          </w:p>
        </w:tc>
        <w:tc>
          <w:tcPr>
            <w:tcW w:w="567" w:type="dxa"/>
            <w:tcBorders>
              <w:top w:val="single" w:color="auto" w:sz="4" w:space="0"/>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560" w:type="dxa"/>
            <w:gridSpan w:val="2"/>
            <w:tcBorders>
              <w:top w:val="single" w:color="auto" w:sz="4" w:space="0"/>
              <w:left w:val="nil"/>
              <w:bottom w:val="nil"/>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c>
          <w:tcPr>
            <w:tcW w:w="1058" w:type="dxa"/>
            <w:tcBorders>
              <w:top w:val="single" w:color="auto" w:sz="4" w:space="0"/>
              <w:left w:val="nil"/>
              <w:bottom w:val="nil"/>
              <w:right w:val="single" w:color="000000" w:sz="8" w:space="0"/>
            </w:tcBorders>
            <w:noWrap w:val="0"/>
            <w:vAlign w:val="top"/>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02" w:hRule="atLeast"/>
        </w:trPr>
        <w:tc>
          <w:tcPr>
            <w:tcW w:w="3417"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总计</w:t>
            </w:r>
          </w:p>
        </w:tc>
        <w:tc>
          <w:tcPr>
            <w:tcW w:w="12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c>
          <w:tcPr>
            <w:tcW w:w="121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2596" w:type="dxa"/>
            <w:tcBorders>
              <w:top w:val="single" w:color="000000" w:sz="4" w:space="0"/>
              <w:left w:val="single" w:color="000000" w:sz="4"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总计</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w:t>
            </w:r>
          </w:p>
        </w:tc>
        <w:tc>
          <w:tcPr>
            <w:tcW w:w="567" w:type="dxa"/>
            <w:tcBorders>
              <w:top w:val="single" w:color="000000" w:sz="4" w:space="0"/>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jc w:val="right"/>
              <w:rPr>
                <w:rFonts w:hint="default" w:ascii="宋体" w:hAnsi="宋体" w:eastAsia="宋体" w:cs="宋体"/>
                <w:color w:val="000000"/>
                <w:sz w:val="20"/>
                <w:szCs w:val="20"/>
                <w:lang w:val="en-US" w:eastAsia="zh-CN"/>
              </w:rPr>
            </w:pPr>
            <w:r>
              <w:rPr>
                <w:rFonts w:hint="eastAsia" w:ascii="宋体" w:hAnsi="宋体" w:cs="宋体"/>
                <w:b/>
                <w:bCs/>
                <w:color w:val="000000"/>
                <w:sz w:val="20"/>
                <w:szCs w:val="20"/>
                <w:lang w:val="en-US" w:eastAsia="zh-CN"/>
              </w:rPr>
              <w:t>2466.14</w:t>
            </w:r>
          </w:p>
        </w:tc>
        <w:tc>
          <w:tcPr>
            <w:tcW w:w="1560" w:type="dxa"/>
            <w:gridSpan w:val="2"/>
            <w:tcBorders>
              <w:top w:val="single" w:color="000000" w:sz="4" w:space="0"/>
              <w:left w:val="nil"/>
              <w:bottom w:val="single" w:color="000000" w:sz="8" w:space="0"/>
              <w:right w:val="single" w:color="000000" w:sz="8" w:space="0"/>
            </w:tcBorders>
            <w:noWrap/>
            <w:tcMar>
              <w:top w:w="15" w:type="dxa"/>
              <w:left w:w="15" w:type="dxa"/>
              <w:right w:w="15" w:type="dxa"/>
            </w:tcMar>
            <w:vAlign w:val="center"/>
          </w:tcPr>
          <w:p>
            <w:pPr>
              <w:rPr>
                <w:rFonts w:hint="eastAsia" w:ascii="宋体" w:hAnsi="宋体" w:cs="宋体"/>
                <w:b/>
                <w:color w:val="000000"/>
                <w:sz w:val="20"/>
                <w:szCs w:val="20"/>
              </w:rPr>
            </w:pPr>
          </w:p>
        </w:tc>
        <w:tc>
          <w:tcPr>
            <w:tcW w:w="1058" w:type="dxa"/>
            <w:tcBorders>
              <w:top w:val="single" w:color="000000" w:sz="4" w:space="0"/>
              <w:left w:val="nil"/>
              <w:bottom w:val="single" w:color="000000" w:sz="8" w:space="0"/>
              <w:right w:val="single" w:color="000000" w:sz="8" w:space="0"/>
            </w:tcBorders>
            <w:noWrap w:val="0"/>
            <w:vAlign w:val="top"/>
          </w:tcPr>
          <w:p>
            <w:pPr>
              <w:rPr>
                <w:rFonts w:hint="eastAsia" w:ascii="宋体" w:hAnsi="宋体" w:cs="宋体"/>
                <w:b/>
                <w:color w:val="000000"/>
                <w:sz w:val="20"/>
                <w:szCs w:val="20"/>
              </w:rPr>
            </w:pPr>
          </w:p>
        </w:tc>
      </w:tr>
      <w:tr>
        <w:tblPrEx>
          <w:tblCellMar>
            <w:top w:w="0" w:type="dxa"/>
            <w:left w:w="0" w:type="dxa"/>
            <w:bottom w:w="0" w:type="dxa"/>
            <w:right w:w="0" w:type="dxa"/>
          </w:tblCellMar>
        </w:tblPrEx>
        <w:trPr>
          <w:trHeight w:val="585" w:hRule="atLeast"/>
        </w:trPr>
        <w:tc>
          <w:tcPr>
            <w:tcW w:w="12915" w:type="dxa"/>
            <w:gridSpan w:val="9"/>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注：本表反映部门本年度一般公共预算财政拨款、政府性基金预算财政拨款和国有资本经营预算财政拨款的总收支和年末结转结余情况。本表金额转换为万元时，因四舍五入可能存在尾差。</w:t>
            </w:r>
          </w:p>
        </w:tc>
        <w:tc>
          <w:tcPr>
            <w:tcW w:w="1058" w:type="dxa"/>
            <w:tcBorders>
              <w:top w:val="single" w:color="000000" w:sz="8" w:space="0"/>
              <w:left w:val="nil"/>
              <w:bottom w:val="nil"/>
              <w:right w:val="nil"/>
            </w:tcBorders>
            <w:noWrap w:val="0"/>
            <w:vAlign w:val="top"/>
          </w:tcPr>
          <w:p>
            <w:pPr>
              <w:widowControl/>
              <w:jc w:val="left"/>
              <w:textAlignment w:val="center"/>
              <w:rPr>
                <w:rFonts w:hint="eastAsia" w:ascii="宋体" w:hAnsi="宋体" w:cs="宋体"/>
                <w:color w:val="000000"/>
                <w:kern w:val="0"/>
                <w:sz w:val="20"/>
                <w:szCs w:val="20"/>
                <w:lang w:bidi="ar"/>
              </w:rPr>
            </w:pP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0" w:type="auto"/>
        <w:tblInd w:w="0" w:type="dxa"/>
        <w:tblLayout w:type="fixed"/>
        <w:tblCellMar>
          <w:top w:w="0" w:type="dxa"/>
          <w:left w:w="0" w:type="dxa"/>
          <w:bottom w:w="0" w:type="dxa"/>
          <w:right w:w="0" w:type="dxa"/>
        </w:tblCellMar>
      </w:tblPr>
      <w:tblGrid>
        <w:gridCol w:w="726"/>
        <w:gridCol w:w="688"/>
        <w:gridCol w:w="2225"/>
        <w:gridCol w:w="3449"/>
        <w:gridCol w:w="3449"/>
        <w:gridCol w:w="3451"/>
      </w:tblGrid>
      <w:tr>
        <w:tblPrEx>
          <w:tblCellMar>
            <w:top w:w="0" w:type="dxa"/>
            <w:left w:w="0" w:type="dxa"/>
            <w:bottom w:w="0" w:type="dxa"/>
            <w:right w:w="0" w:type="dxa"/>
          </w:tblCellMar>
        </w:tblPrEx>
        <w:trPr>
          <w:trHeight w:val="600" w:hRule="atLeast"/>
        </w:trPr>
        <w:tc>
          <w:tcPr>
            <w:tcW w:w="13988" w:type="dxa"/>
            <w:gridSpan w:val="6"/>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一般公共预算财政拨款支出决算表</w:t>
            </w:r>
          </w:p>
        </w:tc>
      </w:tr>
      <w:tr>
        <w:tblPrEx>
          <w:tblCellMar>
            <w:top w:w="0" w:type="dxa"/>
            <w:left w:w="0" w:type="dxa"/>
            <w:bottom w:w="0" w:type="dxa"/>
            <w:right w:w="0" w:type="dxa"/>
          </w:tblCellMar>
        </w:tblPrEx>
        <w:trPr>
          <w:trHeight w:val="222" w:hRule="atLeast"/>
        </w:trPr>
        <w:tc>
          <w:tcPr>
            <w:tcW w:w="72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688"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2225"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3449"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3449"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Style w:val="5"/>
                <w:rFonts w:hint="default"/>
                <w:lang w:bidi="ar"/>
              </w:rPr>
              <w:t>5表</w:t>
            </w:r>
          </w:p>
        </w:tc>
      </w:tr>
      <w:tr>
        <w:tblPrEx>
          <w:tblCellMar>
            <w:top w:w="0" w:type="dxa"/>
            <w:left w:w="0" w:type="dxa"/>
            <w:bottom w:w="0" w:type="dxa"/>
            <w:right w:w="0" w:type="dxa"/>
          </w:tblCellMar>
        </w:tblPrEx>
        <w:trPr>
          <w:trHeight w:val="300" w:hRule="atLeast"/>
        </w:trPr>
        <w:tc>
          <w:tcPr>
            <w:tcW w:w="7088" w:type="dxa"/>
            <w:gridSpan w:val="4"/>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3449"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34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rPr>
        <w:tc>
          <w:tcPr>
            <w:tcW w:w="3639" w:type="dxa"/>
            <w:gridSpan w:val="3"/>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项 </w:t>
            </w:r>
            <w:r>
              <w:rPr>
                <w:rStyle w:val="6"/>
                <w:rFonts w:hint="default"/>
                <w:sz w:val="20"/>
                <w:szCs w:val="20"/>
                <w:lang w:bidi="ar"/>
              </w:rPr>
              <w:t xml:space="preserve">   </w:t>
            </w:r>
            <w:r>
              <w:rPr>
                <w:rStyle w:val="7"/>
                <w:rFonts w:hint="default"/>
                <w:sz w:val="20"/>
                <w:szCs w:val="20"/>
                <w:lang w:bidi="ar"/>
              </w:rPr>
              <w:t>目</w:t>
            </w:r>
          </w:p>
        </w:tc>
        <w:tc>
          <w:tcPr>
            <w:tcW w:w="10349" w:type="dxa"/>
            <w:gridSpan w:val="3"/>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本年支出</w:t>
            </w:r>
          </w:p>
        </w:tc>
      </w:tr>
      <w:tr>
        <w:tblPrEx>
          <w:tblCellMar>
            <w:top w:w="0" w:type="dxa"/>
            <w:left w:w="0" w:type="dxa"/>
            <w:bottom w:w="0" w:type="dxa"/>
            <w:right w:w="0" w:type="dxa"/>
          </w:tblCellMar>
        </w:tblPrEx>
        <w:trPr>
          <w:trHeight w:val="495" w:hRule="atLeast"/>
        </w:trPr>
        <w:tc>
          <w:tcPr>
            <w:tcW w:w="1414" w:type="dxa"/>
            <w:gridSpan w:val="2"/>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222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3449" w:type="dxa"/>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3449" w:type="dxa"/>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基本支出</w:t>
            </w:r>
          </w:p>
        </w:tc>
        <w:tc>
          <w:tcPr>
            <w:tcW w:w="3451" w:type="dxa"/>
            <w:vMerge w:val="restart"/>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项目支出</w:t>
            </w:r>
          </w:p>
        </w:tc>
      </w:tr>
      <w:tr>
        <w:tblPrEx>
          <w:tblCellMar>
            <w:top w:w="0" w:type="dxa"/>
            <w:left w:w="0" w:type="dxa"/>
            <w:bottom w:w="0" w:type="dxa"/>
            <w:right w:w="0" w:type="dxa"/>
          </w:tblCellMar>
        </w:tblPrEx>
        <w:trPr>
          <w:trHeight w:val="360" w:hRule="atLeast"/>
        </w:trPr>
        <w:tc>
          <w:tcPr>
            <w:tcW w:w="1414"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2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51" w:type="dxa"/>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414"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2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49"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3451" w:type="dxa"/>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3639" w:type="dxa"/>
            <w:gridSpan w:val="3"/>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r>
      <w:tr>
        <w:tblPrEx>
          <w:tblCellMar>
            <w:top w:w="0" w:type="dxa"/>
            <w:left w:w="0" w:type="dxa"/>
            <w:bottom w:w="0" w:type="dxa"/>
            <w:right w:w="0" w:type="dxa"/>
          </w:tblCellMar>
        </w:tblPrEx>
        <w:trPr>
          <w:trHeight w:val="450" w:hRule="atLeast"/>
        </w:trPr>
        <w:tc>
          <w:tcPr>
            <w:tcW w:w="3639" w:type="dxa"/>
            <w:gridSpan w:val="3"/>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2466.14</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1607.52</w:t>
            </w: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858.61</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w:t>
            </w:r>
          </w:p>
        </w:tc>
        <w:tc>
          <w:tcPr>
            <w:tcW w:w="22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一般公共服务支出</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2466.14</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w:t>
            </w:r>
          </w:p>
        </w:tc>
        <w:tc>
          <w:tcPr>
            <w:tcW w:w="22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政府办公厅（室）及相关机构事务</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2466.14</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2010301</w:t>
            </w:r>
          </w:p>
        </w:tc>
        <w:tc>
          <w:tcPr>
            <w:tcW w:w="22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行政运行</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1607.52</w:t>
            </w: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2010302</w:t>
            </w:r>
          </w:p>
        </w:tc>
        <w:tc>
          <w:tcPr>
            <w:tcW w:w="22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一般行政管理事务</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r>
              <w:rPr>
                <w:rFonts w:hint="eastAsia" w:ascii="宋体" w:hAnsi="宋体" w:cs="宋体"/>
                <w:color w:val="000000"/>
                <w:sz w:val="20"/>
                <w:szCs w:val="20"/>
                <w:lang w:val="en-US" w:eastAsia="zh-CN"/>
              </w:rPr>
              <w:t>858.61</w:t>
            </w: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225"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3451" w:type="dxa"/>
            <w:tcBorders>
              <w:top w:val="single" w:color="000000" w:sz="4" w:space="0"/>
              <w:left w:val="single" w:color="000000" w:sz="4"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645" w:hRule="atLeast"/>
        </w:trPr>
        <w:tc>
          <w:tcPr>
            <w:tcW w:w="13988" w:type="dxa"/>
            <w:gridSpan w:val="6"/>
            <w:tcBorders>
              <w:top w:val="nil"/>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注：本表反映部门本年度一般公共预算财政拨款支出情况。本表金额转换为万元时，因四舍五入可能存在尾差。</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3"/>
        <w:tblW w:w="14332" w:type="dxa"/>
        <w:tblInd w:w="0" w:type="dxa"/>
        <w:tblLayout w:type="fixed"/>
        <w:tblCellMar>
          <w:top w:w="0" w:type="dxa"/>
          <w:left w:w="0" w:type="dxa"/>
          <w:bottom w:w="0" w:type="dxa"/>
          <w:right w:w="0" w:type="dxa"/>
        </w:tblCellMar>
      </w:tblPr>
      <w:tblGrid>
        <w:gridCol w:w="1008"/>
        <w:gridCol w:w="2785"/>
        <w:gridCol w:w="938"/>
        <w:gridCol w:w="870"/>
        <w:gridCol w:w="2066"/>
        <w:gridCol w:w="938"/>
        <w:gridCol w:w="870"/>
        <w:gridCol w:w="3575"/>
        <w:gridCol w:w="1282"/>
      </w:tblGrid>
      <w:tr>
        <w:tblPrEx>
          <w:tblCellMar>
            <w:top w:w="0" w:type="dxa"/>
            <w:left w:w="0" w:type="dxa"/>
            <w:bottom w:w="0" w:type="dxa"/>
            <w:right w:w="0" w:type="dxa"/>
          </w:tblCellMar>
        </w:tblPrEx>
        <w:trPr>
          <w:trHeight w:val="435"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一般公共预算财政拨款基本支出决算明细表</w:t>
            </w:r>
          </w:p>
        </w:tc>
      </w:tr>
      <w:tr>
        <w:tblPrEx>
          <w:tblCellMar>
            <w:top w:w="0" w:type="dxa"/>
            <w:left w:w="0" w:type="dxa"/>
            <w:bottom w:w="0" w:type="dxa"/>
            <w:right w:w="0" w:type="dxa"/>
          </w:tblCellMar>
        </w:tblPrEx>
        <w:trPr>
          <w:trHeight w:val="405" w:hRule="atLeast"/>
        </w:trPr>
        <w:tc>
          <w:tcPr>
            <w:tcW w:w="1008"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2785"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938"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206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87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3575"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282"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公开06表</w:t>
            </w:r>
          </w:p>
        </w:tc>
      </w:tr>
      <w:tr>
        <w:tblPrEx>
          <w:tblCellMar>
            <w:top w:w="0" w:type="dxa"/>
            <w:left w:w="0" w:type="dxa"/>
            <w:bottom w:w="0" w:type="dxa"/>
            <w:right w:w="0" w:type="dxa"/>
          </w:tblCellMar>
        </w:tblPrEx>
        <w:trPr>
          <w:trHeight w:val="300" w:hRule="atLeast"/>
        </w:trPr>
        <w:tc>
          <w:tcPr>
            <w:tcW w:w="7667" w:type="dxa"/>
            <w:gridSpan w:val="5"/>
            <w:tcBorders>
              <w:top w:val="nil"/>
              <w:left w:val="nil"/>
              <w:bottom w:val="nil"/>
              <w:right w:val="nil"/>
            </w:tcBorders>
            <w:noWrap/>
            <w:tcMar>
              <w:top w:w="15" w:type="dxa"/>
              <w:left w:w="15" w:type="dxa"/>
              <w:right w:w="15" w:type="dxa"/>
            </w:tcMar>
            <w:vAlign w:val="center"/>
          </w:tcPr>
          <w:p>
            <w:pPr>
              <w:jc w:val="left"/>
              <w:rPr>
                <w:rFonts w:ascii="Arial" w:hAnsi="Arial" w:cs="Arial"/>
                <w:color w:val="000000"/>
                <w:sz w:val="20"/>
                <w:szCs w:val="20"/>
              </w:rPr>
            </w:pPr>
            <w:r>
              <w:rPr>
                <w:rFonts w:hint="eastAsia" w:ascii="宋体" w:hAnsi="宋体" w:cs="宋体"/>
                <w:color w:val="000000"/>
                <w:kern w:val="0"/>
                <w:sz w:val="20"/>
                <w:szCs w:val="20"/>
                <w:lang w:bidi="ar"/>
              </w:rPr>
              <w:t>部门</w:t>
            </w:r>
            <w:r>
              <w:rPr>
                <w:rFonts w:ascii="Arial" w:hAnsi="Arial" w:cs="Arial"/>
                <w:color w:val="000000"/>
                <w:kern w:val="0"/>
                <w:sz w:val="20"/>
                <w:szCs w:val="20"/>
                <w:lang w:bidi="ar"/>
              </w:rPr>
              <w:t>：</w:t>
            </w:r>
            <w:r>
              <w:rPr>
                <w:rFonts w:hint="eastAsia" w:ascii="宋体" w:hAnsi="宋体" w:cs="宋体"/>
                <w:color w:val="000000"/>
                <w:kern w:val="0"/>
                <w:sz w:val="20"/>
                <w:szCs w:val="20"/>
                <w:lang w:val="en-US" w:eastAsia="zh-CN" w:bidi="ar"/>
              </w:rPr>
              <w:t>信阳市平桥区震雷山街道办事处（本级）</w:t>
            </w:r>
          </w:p>
        </w:tc>
        <w:tc>
          <w:tcPr>
            <w:tcW w:w="938"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357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rPr>
            </w:pPr>
          </w:p>
        </w:tc>
        <w:tc>
          <w:tcPr>
            <w:tcW w:w="1282" w:type="dxa"/>
            <w:tcBorders>
              <w:top w:val="nil"/>
              <w:left w:val="nil"/>
              <w:bottom w:val="nil"/>
              <w:right w:val="nil"/>
            </w:tcBorders>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615" w:hRule="atLeast"/>
        </w:trPr>
        <w:tc>
          <w:tcPr>
            <w:tcW w:w="1008"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2785"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2066"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经济分类科目编码</w:t>
            </w:r>
          </w:p>
        </w:tc>
        <w:tc>
          <w:tcPr>
            <w:tcW w:w="3575"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282" w:type="dxa"/>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995.23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585.05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基本工资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531.52</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办公费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50.36</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房屋建筑物购建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津贴补贴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36.92</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印刷费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37.78</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办公设备购置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奖金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咨询费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9.17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专用设备购置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伙食补助费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16.44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手续费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基础设施建设</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绩效工资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42.04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19.91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大型修缮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机关事业单位基本养老保险费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121.24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20.28</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信息网络及软件购置更新</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职业年金缴费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9.53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邮电费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0.55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物资储备</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职工基本医疗保险缴费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34.10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取暖费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31009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土地补偿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30111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公务员医疗补助缴费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30209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物业管理费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安置补助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30112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其他社会保障缴费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4.94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差旅费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8.43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31011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地上附着物和青苗补偿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30113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住房公积金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198.49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因公出国（境）费用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拆迁补偿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30114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医疗费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维修（护）费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3.88</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公务用车购置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30199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租赁费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4.75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31019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其他交通工具购置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对个人和家庭的补助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27.25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会议费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31021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文物和陈列品购置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离休费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培训费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31022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无形资产购置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退休费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公务招待费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38.84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31099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退职（役）费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30218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专用材料费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抚恤金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被装购置费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资本金注入</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30305</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生活补助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6.19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专用燃料费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政府投资基金股权投资</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救济费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劳务费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251.54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31204</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费用补贴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医疗费补助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12.11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委托业务费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64.17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利息补贴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助学金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工会经费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36.62</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31299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奖励金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2.2</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30229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福利费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对社会保障基金补助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个人农业生产补贴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30231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公务用车运行维护费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7.1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31302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对社会保险基金补助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30399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对其他个人和家庭的补助支出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1.74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30239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其他交通费用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31303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补充全国社会保障基金</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30240</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税金及附加费用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30299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31.67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39906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赠与</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债务利息及费用支出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39907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国家赔偿费用支出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30701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国内债务付息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39908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对民间非营利组织和群众性自治组织补贴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30702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国外债务付息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39999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30703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国内债务发行费用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20"/>
                <w:szCs w:val="20"/>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30704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国外债务发行费用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cs="宋体"/>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18"/>
                <w:szCs w:val="18"/>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cs="宋体"/>
                <w:color w:val="000000"/>
                <w:sz w:val="18"/>
                <w:szCs w:val="18"/>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人员经费合计</w:t>
            </w:r>
          </w:p>
        </w:tc>
        <w:tc>
          <w:tcPr>
            <w:tcW w:w="938"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1022.48</w:t>
            </w:r>
          </w:p>
        </w:tc>
        <w:tc>
          <w:tcPr>
            <w:tcW w:w="8319" w:type="dxa"/>
            <w:gridSpan w:val="5"/>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公用经费合计</w:t>
            </w:r>
          </w:p>
        </w:tc>
        <w:tc>
          <w:tcPr>
            <w:tcW w:w="1282"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585.05</w:t>
            </w:r>
          </w:p>
        </w:tc>
      </w:tr>
      <w:tr>
        <w:tblPrEx>
          <w:tblCellMar>
            <w:top w:w="0" w:type="dxa"/>
            <w:left w:w="0" w:type="dxa"/>
            <w:bottom w:w="0" w:type="dxa"/>
            <w:right w:w="0" w:type="dxa"/>
          </w:tblCellMar>
        </w:tblPrEx>
        <w:trPr>
          <w:trHeight w:val="390"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注：本表反映部门本年度一般公共预算财政拨款基本支出明细情况。本表金额转换为万元时，因四舍五入可能存在尾差。</w:t>
            </w:r>
          </w:p>
          <w:p>
            <w:pPr>
              <w:widowControl/>
              <w:jc w:val="left"/>
              <w:textAlignment w:val="center"/>
              <w:rPr>
                <w:rFonts w:ascii="宋体" w:hAnsi="宋体" w:cs="宋体"/>
                <w:color w:val="000000"/>
                <w:kern w:val="0"/>
                <w:sz w:val="20"/>
                <w:szCs w:val="20"/>
                <w:lang w:bidi="ar"/>
              </w:rPr>
            </w:pPr>
          </w:p>
          <w:p>
            <w:pPr>
              <w:widowControl/>
              <w:jc w:val="left"/>
              <w:textAlignment w:val="center"/>
              <w:rPr>
                <w:rFonts w:ascii="宋体" w:hAnsi="宋体" w:cs="宋体"/>
                <w:color w:val="000000"/>
                <w:kern w:val="0"/>
                <w:sz w:val="20"/>
                <w:szCs w:val="20"/>
                <w:lang w:bidi="ar"/>
              </w:rPr>
            </w:pPr>
          </w:p>
          <w:p>
            <w:pPr>
              <w:widowControl/>
              <w:jc w:val="left"/>
              <w:textAlignment w:val="center"/>
              <w:rPr>
                <w:rFonts w:ascii="宋体" w:hAnsi="宋体" w:cs="宋体"/>
                <w:color w:val="000000"/>
                <w:kern w:val="0"/>
                <w:sz w:val="20"/>
                <w:szCs w:val="20"/>
                <w:lang w:bidi="ar"/>
              </w:rPr>
            </w:pPr>
          </w:p>
          <w:p>
            <w:pPr>
              <w:widowControl/>
              <w:jc w:val="left"/>
              <w:textAlignment w:val="center"/>
              <w:rPr>
                <w:rFonts w:ascii="宋体" w:hAnsi="宋体" w:cs="宋体"/>
                <w:color w:val="000000"/>
                <w:kern w:val="0"/>
                <w:sz w:val="20"/>
                <w:szCs w:val="20"/>
                <w:lang w:bidi="ar"/>
              </w:rPr>
            </w:pPr>
          </w:p>
          <w:p>
            <w:pPr>
              <w:widowControl/>
              <w:jc w:val="left"/>
              <w:textAlignment w:val="center"/>
              <w:rPr>
                <w:rFonts w:ascii="宋体" w:hAnsi="宋体" w:cs="宋体"/>
                <w:color w:val="000000"/>
                <w:kern w:val="0"/>
                <w:sz w:val="20"/>
                <w:szCs w:val="20"/>
                <w:lang w:bidi="ar"/>
              </w:rPr>
            </w:pPr>
          </w:p>
          <w:tbl>
            <w:tblPr>
              <w:tblStyle w:val="3"/>
              <w:tblW w:w="14175" w:type="dxa"/>
              <w:tblInd w:w="0" w:type="dxa"/>
              <w:tblLayout w:type="fixed"/>
              <w:tblCellMar>
                <w:top w:w="0" w:type="dxa"/>
                <w:left w:w="0" w:type="dxa"/>
                <w:bottom w:w="0" w:type="dxa"/>
                <w:right w:w="0" w:type="dxa"/>
              </w:tblCellMar>
            </w:tblPr>
            <w:tblGrid>
              <w:gridCol w:w="612"/>
              <w:gridCol w:w="536"/>
              <w:gridCol w:w="1276"/>
              <w:gridCol w:w="1926"/>
              <w:gridCol w:w="1926"/>
              <w:gridCol w:w="30"/>
              <w:gridCol w:w="1896"/>
              <w:gridCol w:w="30"/>
              <w:gridCol w:w="1897"/>
              <w:gridCol w:w="30"/>
              <w:gridCol w:w="1607"/>
              <w:gridCol w:w="2409"/>
            </w:tblGrid>
            <w:tr>
              <w:tblPrEx>
                <w:tblCellMar>
                  <w:top w:w="0" w:type="dxa"/>
                  <w:left w:w="0" w:type="dxa"/>
                  <w:bottom w:w="0" w:type="dxa"/>
                  <w:right w:w="0" w:type="dxa"/>
                </w:tblCellMar>
              </w:tblPrEx>
              <w:trPr>
                <w:trHeight w:val="600" w:hRule="atLeast"/>
              </w:trPr>
              <w:tc>
                <w:tcPr>
                  <w:tcW w:w="14175" w:type="dxa"/>
                  <w:gridSpan w:val="12"/>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CellMar>
                  <w:top w:w="0" w:type="dxa"/>
                  <w:left w:w="0" w:type="dxa"/>
                  <w:bottom w:w="0" w:type="dxa"/>
                  <w:right w:w="0" w:type="dxa"/>
                </w:tblCellMar>
              </w:tblPrEx>
              <w:trPr>
                <w:trHeight w:val="222" w:hRule="atLeast"/>
              </w:trPr>
              <w:tc>
                <w:tcPr>
                  <w:tcW w:w="612"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53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Fonts w:ascii="宋体" w:hAnsi="宋体" w:cs="宋体"/>
                      <w:color w:val="000000"/>
                      <w:kern w:val="0"/>
                      <w:sz w:val="20"/>
                      <w:szCs w:val="20"/>
                      <w:lang w:bidi="ar"/>
                    </w:rPr>
                    <w:t>7</w:t>
                  </w:r>
                  <w:r>
                    <w:rPr>
                      <w:rFonts w:hint="eastAsia" w:ascii="宋体" w:hAnsi="宋体" w:cs="宋体"/>
                      <w:color w:val="000000"/>
                      <w:kern w:val="0"/>
                      <w:sz w:val="20"/>
                      <w:szCs w:val="20"/>
                      <w:lang w:bidi="ar"/>
                    </w:rPr>
                    <w:t>表</w:t>
                  </w:r>
                </w:p>
              </w:tc>
            </w:tr>
            <w:tr>
              <w:tblPrEx>
                <w:tblCellMar>
                  <w:top w:w="0" w:type="dxa"/>
                  <w:left w:w="0" w:type="dxa"/>
                  <w:bottom w:w="0" w:type="dxa"/>
                  <w:right w:w="0" w:type="dxa"/>
                </w:tblCellMar>
              </w:tblPrEx>
              <w:trPr>
                <w:trHeight w:val="300" w:hRule="atLeast"/>
              </w:trPr>
              <w:tc>
                <w:tcPr>
                  <w:tcW w:w="6306" w:type="dxa"/>
                  <w:gridSpan w:val="6"/>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1926" w:type="dxa"/>
                  <w:gridSpan w:val="2"/>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607"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rPr>
              <w:tc>
                <w:tcPr>
                  <w:tcW w:w="2424" w:type="dxa"/>
                  <w:gridSpan w:val="3"/>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926" w:type="dxa"/>
                  <w:vMerge w:val="restart"/>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年初结转和结余</w:t>
                  </w:r>
                </w:p>
              </w:tc>
              <w:tc>
                <w:tcPr>
                  <w:tcW w:w="1926"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本年收入</w:t>
                  </w:r>
                </w:p>
              </w:tc>
              <w:tc>
                <w:tcPr>
                  <w:tcW w:w="5490" w:type="dxa"/>
                  <w:gridSpan w:val="6"/>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本年支出</w:t>
                  </w:r>
                </w:p>
              </w:tc>
              <w:tc>
                <w:tcPr>
                  <w:tcW w:w="240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年末结转和结余</w:t>
                  </w:r>
                </w:p>
              </w:tc>
            </w:tr>
            <w:tr>
              <w:tblPrEx>
                <w:tblCellMar>
                  <w:top w:w="0" w:type="dxa"/>
                  <w:left w:w="0" w:type="dxa"/>
                  <w:bottom w:w="0" w:type="dxa"/>
                  <w:right w:w="0" w:type="dxa"/>
                </w:tblCellMar>
              </w:tblPrEx>
              <w:trPr>
                <w:trHeight w:val="540" w:hRule="atLeast"/>
              </w:trPr>
              <w:tc>
                <w:tcPr>
                  <w:tcW w:w="1148" w:type="dxa"/>
                  <w:gridSpan w:val="2"/>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12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927" w:type="dxa"/>
                  <w:gridSpan w:val="2"/>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基本支出</w:t>
                  </w:r>
                </w:p>
              </w:tc>
              <w:tc>
                <w:tcPr>
                  <w:tcW w:w="1637" w:type="dxa"/>
                  <w:gridSpan w:val="2"/>
                  <w:vMerge w:val="restart"/>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项目支出</w:t>
                  </w: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36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637" w:type="dxa"/>
                  <w:gridSpan w:val="2"/>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637" w:type="dxa"/>
                  <w:gridSpan w:val="2"/>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2424" w:type="dxa"/>
                  <w:gridSpan w:val="3"/>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2424" w:type="dxa"/>
                  <w:gridSpan w:val="3"/>
                  <w:tcBorders>
                    <w:top w:val="nil"/>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645" w:hRule="atLeast"/>
              </w:trPr>
              <w:tc>
                <w:tcPr>
                  <w:tcW w:w="14175" w:type="dxa"/>
                  <w:gridSpan w:val="12"/>
                  <w:tcBorders>
                    <w:left w:val="nil"/>
                    <w:bottom w:val="nil"/>
                    <w:right w:val="nil"/>
                  </w:tcBorders>
                  <w:noWrap w:val="0"/>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注：本表反映部门本年度政府性基金预算财政拨款收入、支出及结转和结余情况。</w:t>
                  </w:r>
                </w:p>
                <w:p>
                  <w:pPr>
                    <w:widowControl/>
                    <w:jc w:val="left"/>
                    <w:textAlignment w:val="center"/>
                    <w:rPr>
                      <w:rFonts w:ascii="宋体" w:hAnsi="宋体" w:cs="宋体"/>
                      <w:color w:val="000000"/>
                      <w:sz w:val="22"/>
                    </w:rPr>
                  </w:pPr>
                  <w:r>
                    <w:rPr>
                      <w:rFonts w:hint="eastAsia" w:ascii="宋体" w:hAnsi="宋体" w:cs="宋体"/>
                      <w:color w:val="000000"/>
                      <w:sz w:val="22"/>
                    </w:rPr>
                    <w:t>说明：我部门没有政府性基金收入，也没有使用政府性基金安排的支出，故本表无数据。</w:t>
                  </w:r>
                </w:p>
                <w:p>
                  <w:pPr>
                    <w:widowControl/>
                    <w:jc w:val="left"/>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tbl>
                  <w:tblPr>
                    <w:tblStyle w:val="3"/>
                    <w:tblW w:w="11980" w:type="dxa"/>
                    <w:tblInd w:w="868" w:type="dxa"/>
                    <w:tblLayout w:type="fixed"/>
                    <w:tblCellMar>
                      <w:top w:w="0" w:type="dxa"/>
                      <w:left w:w="108" w:type="dxa"/>
                      <w:bottom w:w="0" w:type="dxa"/>
                      <w:right w:w="108" w:type="dxa"/>
                    </w:tblCellMar>
                  </w:tblPr>
                  <w:tblGrid>
                    <w:gridCol w:w="1060"/>
                    <w:gridCol w:w="560"/>
                    <w:gridCol w:w="1820"/>
                    <w:gridCol w:w="2620"/>
                    <w:gridCol w:w="2620"/>
                    <w:gridCol w:w="3300"/>
                  </w:tblGrid>
                  <w:tr>
                    <w:tblPrEx>
                      <w:tblCellMar>
                        <w:top w:w="0" w:type="dxa"/>
                        <w:left w:w="108" w:type="dxa"/>
                        <w:bottom w:w="0" w:type="dxa"/>
                        <w:right w:w="108" w:type="dxa"/>
                      </w:tblCellMar>
                    </w:tblPrEx>
                    <w:trPr>
                      <w:trHeight w:val="720" w:hRule="atLeast"/>
                    </w:trPr>
                    <w:tc>
                      <w:tcPr>
                        <w:tcW w:w="11980" w:type="dxa"/>
                        <w:gridSpan w:val="6"/>
                        <w:tcBorders>
                          <w:top w:val="nil"/>
                          <w:left w:val="nil"/>
                          <w:bottom w:val="nil"/>
                          <w:right w:val="nil"/>
                        </w:tcBorders>
                        <w:shd w:val="clear" w:color="000000" w:fill="FFFFFF"/>
                        <w:noWrap w:val="0"/>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82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300" w:type="dxa"/>
                        <w:tcBorders>
                          <w:top w:val="nil"/>
                          <w:left w:val="nil"/>
                          <w:bottom w:val="nil"/>
                          <w:right w:val="nil"/>
                        </w:tcBorders>
                        <w:shd w:val="clear" w:color="000000" w:fill="FFFFFF"/>
                        <w:noWrap/>
                        <w:vAlign w:val="center"/>
                      </w:tcPr>
                      <w:p>
                        <w:pPr>
                          <w:widowControl/>
                          <w:jc w:val="right"/>
                          <w:rPr>
                            <w:rFonts w:hint="eastAsia" w:ascii="宋体" w:hAnsi="宋体" w:cs="宋体"/>
                            <w:color w:val="000000"/>
                            <w:kern w:val="0"/>
                            <w:sz w:val="20"/>
                            <w:szCs w:val="20"/>
                          </w:rPr>
                        </w:pPr>
                        <w:r>
                          <w:rPr>
                            <w:rFonts w:hint="eastAsia" w:ascii="宋体" w:hAnsi="宋体" w:cs="宋体"/>
                            <w:color w:val="000000"/>
                            <w:kern w:val="0"/>
                            <w:sz w:val="20"/>
                            <w:szCs w:val="20"/>
                          </w:rPr>
                          <w:t>公开08表</w:t>
                        </w:r>
                      </w:p>
                    </w:tc>
                  </w:tr>
                  <w:tr>
                    <w:tblPrEx>
                      <w:tblCellMar>
                        <w:top w:w="0" w:type="dxa"/>
                        <w:left w:w="108" w:type="dxa"/>
                        <w:bottom w:w="0" w:type="dxa"/>
                        <w:right w:w="108" w:type="dxa"/>
                      </w:tblCellMar>
                    </w:tblPrEx>
                    <w:trPr>
                      <w:trHeight w:val="285" w:hRule="atLeast"/>
                    </w:trPr>
                    <w:tc>
                      <w:tcPr>
                        <w:tcW w:w="6060" w:type="dxa"/>
                        <w:gridSpan w:val="4"/>
                        <w:tcBorders>
                          <w:top w:val="nil"/>
                          <w:left w:val="nil"/>
                          <w:bottom w:val="nil"/>
                          <w:right w:val="nil"/>
                        </w:tcBorders>
                        <w:shd w:val="clear" w:color="000000" w:fill="FFFFFF"/>
                        <w:noWrap/>
                        <w:vAlign w:val="center"/>
                      </w:tcPr>
                      <w:p>
                        <w:pPr>
                          <w:widowControl/>
                          <w:jc w:val="left"/>
                          <w:rPr>
                            <w:rFonts w:hint="eastAsia" w:ascii="宋体" w:hAnsi="宋体" w:cs="宋体"/>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bidi="ar"/>
                          </w:rPr>
                          <w:t>信阳市平桥区震雷山街道办事处（本级）</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300" w:type="dxa"/>
                        <w:tcBorders>
                          <w:top w:val="nil"/>
                          <w:left w:val="nil"/>
                          <w:bottom w:val="nil"/>
                          <w:right w:val="nil"/>
                        </w:tcBorders>
                        <w:shd w:val="clear" w:color="000000" w:fill="FFFFFF"/>
                        <w:noWrap/>
                        <w:vAlign w:val="center"/>
                      </w:tcPr>
                      <w:p>
                        <w:pPr>
                          <w:widowControl/>
                          <w:jc w:val="right"/>
                          <w:rPr>
                            <w:rFonts w:hint="eastAsia" w:ascii="宋体" w:hAnsi="宋体" w:cs="宋体"/>
                            <w:color w:val="000000"/>
                            <w:kern w:val="0"/>
                            <w:sz w:val="20"/>
                            <w:szCs w:val="20"/>
                          </w:rPr>
                        </w:pPr>
                        <w:r>
                          <w:rPr>
                            <w:rFonts w:hint="eastAsia" w:ascii="宋体" w:hAnsi="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xml:space="preserve">项 </w:t>
                        </w:r>
                        <w:r>
                          <w:rPr>
                            <w:rFonts w:hint="eastAsia" w:ascii="宋体" w:hAnsi="宋体" w:cs="宋体"/>
                            <w:color w:val="000000"/>
                            <w:kern w:val="0"/>
                            <w:sz w:val="22"/>
                          </w:rPr>
                          <w:t xml:space="preserve">   </w:t>
                        </w:r>
                        <w:r>
                          <w:rPr>
                            <w:rFonts w:hint="eastAsia" w:ascii="宋体" w:hAnsi="宋体" w:cs="宋体"/>
                            <w:kern w:val="0"/>
                            <w:sz w:val="24"/>
                            <w:szCs w:val="24"/>
                          </w:rPr>
                          <w:t>目</w:t>
                        </w:r>
                      </w:p>
                    </w:tc>
                    <w:tc>
                      <w:tcPr>
                        <w:tcW w:w="8540"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本年支出</w:t>
                        </w:r>
                      </w:p>
                    </w:tc>
                  </w:tr>
                  <w:tr>
                    <w:tblPrEx>
                      <w:tblCellMar>
                        <w:top w:w="0" w:type="dxa"/>
                        <w:left w:w="108" w:type="dxa"/>
                        <w:bottom w:w="0" w:type="dxa"/>
                        <w:right w:w="108" w:type="dxa"/>
                      </w:tblCellMar>
                    </w:tblPrEx>
                    <w:trPr>
                      <w:trHeight w:val="402" w:hRule="atLeast"/>
                    </w:trPr>
                    <w:tc>
                      <w:tcPr>
                        <w:tcW w:w="1620"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科目代码</w:t>
                        </w:r>
                      </w:p>
                    </w:tc>
                    <w:tc>
                      <w:tcPr>
                        <w:tcW w:w="182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科目名称</w:t>
                        </w:r>
                      </w:p>
                    </w:tc>
                    <w:tc>
                      <w:tcPr>
                        <w:tcW w:w="262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合计</w:t>
                        </w:r>
                      </w:p>
                    </w:tc>
                    <w:tc>
                      <w:tcPr>
                        <w:tcW w:w="262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xml:space="preserve">基本支出  </w:t>
                        </w:r>
                      </w:p>
                    </w:tc>
                    <w:tc>
                      <w:tcPr>
                        <w:tcW w:w="330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项目支出</w:t>
                        </w:r>
                      </w:p>
                    </w:tc>
                  </w:tr>
                  <w:tr>
                    <w:tblPrEx>
                      <w:tblCellMar>
                        <w:top w:w="0" w:type="dxa"/>
                        <w:left w:w="108" w:type="dxa"/>
                        <w:bottom w:w="0" w:type="dxa"/>
                        <w:right w:w="108" w:type="dxa"/>
                      </w:tblCellMar>
                    </w:tblPrEx>
                    <w:trPr>
                      <w:trHeight w:val="402" w:hRule="atLeast"/>
                    </w:trPr>
                    <w:tc>
                      <w:tcPr>
                        <w:tcW w:w="162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18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33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r>
                  <w:tr>
                    <w:tblPrEx>
                      <w:tblCellMar>
                        <w:top w:w="0" w:type="dxa"/>
                        <w:left w:w="108" w:type="dxa"/>
                        <w:bottom w:w="0" w:type="dxa"/>
                        <w:right w:w="108" w:type="dxa"/>
                      </w:tblCellMar>
                    </w:tblPrEx>
                    <w:trPr>
                      <w:trHeight w:val="402" w:hRule="atLeast"/>
                    </w:trPr>
                    <w:tc>
                      <w:tcPr>
                        <w:tcW w:w="162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18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33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栏次</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1</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2</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3</w:t>
                        </w: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合计</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720" w:hRule="atLeast"/>
                    </w:trPr>
                    <w:tc>
                      <w:tcPr>
                        <w:tcW w:w="11980" w:type="dxa"/>
                        <w:gridSpan w:val="6"/>
                        <w:tcBorders>
                          <w:top w:val="nil"/>
                          <w:left w:val="nil"/>
                          <w:bottom w:val="nil"/>
                          <w:right w:val="nil"/>
                        </w:tcBorders>
                        <w:shd w:val="clear" w:color="auto" w:fill="auto"/>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注：本表反映部门本年度国有资本经营预算财政拨款支出情况。</w:t>
                        </w:r>
                      </w:p>
                    </w:tc>
                  </w:tr>
                  <w:tr>
                    <w:tblPrEx>
                      <w:tblCellMar>
                        <w:top w:w="0" w:type="dxa"/>
                        <w:left w:w="108" w:type="dxa"/>
                        <w:bottom w:w="0" w:type="dxa"/>
                        <w:right w:w="108" w:type="dxa"/>
                      </w:tblCellMar>
                    </w:tblPrEx>
                    <w:trPr>
                      <w:trHeight w:val="285" w:hRule="atLeast"/>
                    </w:trPr>
                    <w:tc>
                      <w:tcPr>
                        <w:tcW w:w="11980" w:type="dxa"/>
                        <w:gridSpan w:val="6"/>
                        <w:tcBorders>
                          <w:top w:val="nil"/>
                          <w:left w:val="nil"/>
                          <w:bottom w:val="nil"/>
                          <w:right w:val="nil"/>
                        </w:tcBorders>
                        <w:shd w:val="clear" w:color="auto" w:fill="auto"/>
                        <w:noWrap w:val="0"/>
                        <w:vAlign w:val="center"/>
                      </w:tcPr>
                      <w:p>
                        <w:pPr>
                          <w:widowControl/>
                          <w:jc w:val="left"/>
                          <w:rPr>
                            <w:rFonts w:hint="eastAsia" w:ascii="宋体" w:hAnsi="宋体" w:cs="宋体"/>
                            <w:bCs/>
                            <w:kern w:val="0"/>
                            <w:sz w:val="24"/>
                            <w:szCs w:val="24"/>
                          </w:rPr>
                        </w:pPr>
                        <w:r>
                          <w:rPr>
                            <w:rFonts w:hint="eastAsia" w:ascii="宋体" w:hAnsi="宋体" w:cs="宋体"/>
                            <w:bCs/>
                            <w:kern w:val="0"/>
                            <w:sz w:val="24"/>
                            <w:szCs w:val="24"/>
                          </w:rPr>
                          <w:t>说明：我部门没有使用国有资本经营预算安排的支出，故本表无数据。</w:t>
                        </w:r>
                      </w:p>
                    </w:tc>
                  </w:tr>
                </w:tbl>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hint="eastAsia" w:ascii="宋体" w:hAnsi="宋体" w:cs="宋体"/>
                      <w:color w:val="000000"/>
                      <w:sz w:val="20"/>
                      <w:szCs w:val="20"/>
                    </w:rPr>
                  </w:pPr>
                </w:p>
                <w:tbl>
                  <w:tblPr>
                    <w:tblStyle w:val="3"/>
                    <w:tblW w:w="0" w:type="auto"/>
                    <w:tblInd w:w="0" w:type="dxa"/>
                    <w:tblLayout w:type="fixed"/>
                    <w:tblCellMar>
                      <w:top w:w="0" w:type="dxa"/>
                      <w:left w:w="0" w:type="dxa"/>
                      <w:bottom w:w="0" w:type="dxa"/>
                      <w:right w:w="0" w:type="dxa"/>
                    </w:tblCellMar>
                  </w:tblPr>
                  <w:tblGrid>
                    <w:gridCol w:w="1151"/>
                    <w:gridCol w:w="1149"/>
                    <w:gridCol w:w="1150"/>
                    <w:gridCol w:w="1150"/>
                    <w:gridCol w:w="1151"/>
                    <w:gridCol w:w="1150"/>
                    <w:gridCol w:w="1151"/>
                    <w:gridCol w:w="1151"/>
                    <w:gridCol w:w="1151"/>
                    <w:gridCol w:w="1151"/>
                    <w:gridCol w:w="1151"/>
                    <w:gridCol w:w="1151"/>
                  </w:tblGrid>
                  <w:tr>
                    <w:tblPrEx>
                      <w:tblCellMar>
                        <w:top w:w="0" w:type="dxa"/>
                        <w:left w:w="0" w:type="dxa"/>
                        <w:bottom w:w="0" w:type="dxa"/>
                        <w:right w:w="0" w:type="dxa"/>
                      </w:tblCellMar>
                    </w:tblPrEx>
                    <w:trPr>
                      <w:trHeight w:val="600" w:hRule="atLeast"/>
                    </w:trPr>
                    <w:tc>
                      <w:tcPr>
                        <w:tcW w:w="13807" w:type="dxa"/>
                        <w:gridSpan w:val="12"/>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一般公共预算财政拨款“三公”经费支出决算表</w:t>
                        </w:r>
                      </w:p>
                    </w:tc>
                  </w:tr>
                  <w:tr>
                    <w:tblPrEx>
                      <w:tblCellMar>
                        <w:top w:w="0" w:type="dxa"/>
                        <w:left w:w="0" w:type="dxa"/>
                        <w:bottom w:w="0" w:type="dxa"/>
                        <w:right w:w="0" w:type="dxa"/>
                      </w:tblCellMar>
                    </w:tblPrEx>
                    <w:trPr>
                      <w:trHeight w:val="222" w:hRule="atLeast"/>
                    </w:trPr>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49"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Fonts w:ascii="宋体" w:hAnsi="宋体" w:cs="宋体"/>
                            <w:color w:val="000000"/>
                            <w:kern w:val="0"/>
                            <w:sz w:val="20"/>
                            <w:szCs w:val="20"/>
                            <w:lang w:bidi="ar"/>
                          </w:rPr>
                          <w:t>9</w:t>
                        </w:r>
                        <w:r>
                          <w:rPr>
                            <w:rFonts w:hint="eastAsia" w:ascii="宋体" w:hAnsi="宋体" w:cs="宋体"/>
                            <w:color w:val="000000"/>
                            <w:kern w:val="0"/>
                            <w:sz w:val="20"/>
                            <w:szCs w:val="20"/>
                            <w:lang w:bidi="ar"/>
                          </w:rPr>
                          <w:t>表</w:t>
                        </w:r>
                      </w:p>
                    </w:tc>
                  </w:tr>
                  <w:tr>
                    <w:tblPrEx>
                      <w:tblCellMar>
                        <w:top w:w="0" w:type="dxa"/>
                        <w:left w:w="0" w:type="dxa"/>
                        <w:bottom w:w="0" w:type="dxa"/>
                        <w:right w:w="0" w:type="dxa"/>
                      </w:tblCellMar>
                    </w:tblPrEx>
                    <w:trPr>
                      <w:trHeight w:val="300" w:hRule="atLeast"/>
                    </w:trPr>
                    <w:tc>
                      <w:tcPr>
                        <w:tcW w:w="5751" w:type="dxa"/>
                        <w:gridSpan w:val="5"/>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s="宋体"/>
                            <w:color w:val="000000"/>
                            <w:sz w:val="20"/>
                            <w:szCs w:val="20"/>
                          </w:rPr>
                        </w:pPr>
                        <w:r>
                          <w:rPr>
                            <w:rFonts w:hint="eastAsia" w:ascii="宋体" w:hAnsi="宋体" w:cs="宋体"/>
                            <w:color w:val="000000"/>
                            <w:kern w:val="0"/>
                            <w:sz w:val="20"/>
                            <w:szCs w:val="20"/>
                            <w:lang w:bidi="ar"/>
                          </w:rPr>
                          <w:t>部门：</w:t>
                        </w:r>
                        <w:r>
                          <w:rPr>
                            <w:rFonts w:hint="eastAsia" w:ascii="宋体" w:hAnsi="宋体" w:cs="宋体"/>
                            <w:color w:val="000000"/>
                            <w:kern w:val="0"/>
                            <w:sz w:val="20"/>
                            <w:szCs w:val="20"/>
                            <w:lang w:val="en-US" w:eastAsia="zh-CN" w:bidi="ar"/>
                          </w:rPr>
                          <w:t>信阳市平桥区震雷山街道办事处（本级）</w:t>
                        </w:r>
                      </w:p>
                    </w:tc>
                    <w:tc>
                      <w:tcPr>
                        <w:tcW w:w="1150"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559" w:hRule="atLeast"/>
                    </w:trPr>
                    <w:tc>
                      <w:tcPr>
                        <w:tcW w:w="6901" w:type="dxa"/>
                        <w:gridSpan w:val="6"/>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预算数</w:t>
                        </w:r>
                      </w:p>
                    </w:tc>
                    <w:tc>
                      <w:tcPr>
                        <w:tcW w:w="6906" w:type="dxa"/>
                        <w:gridSpan w:val="6"/>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600" w:hRule="atLeast"/>
                    </w:trPr>
                    <w:tc>
                      <w:tcPr>
                        <w:tcW w:w="1151" w:type="dxa"/>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公务用车购置及运行维护费</w:t>
                        </w:r>
                      </w:p>
                    </w:tc>
                    <w:tc>
                      <w:tcPr>
                        <w:tcW w:w="11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公务接待费</w:t>
                        </w:r>
                      </w:p>
                    </w:tc>
                    <w:tc>
                      <w:tcPr>
                        <w:tcW w:w="1151" w:type="dxa"/>
                        <w:vMerge w:val="restar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5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3"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公务用车购置及运行维护费</w:t>
                        </w:r>
                      </w:p>
                    </w:tc>
                    <w:tc>
                      <w:tcPr>
                        <w:tcW w:w="1151" w:type="dxa"/>
                        <w:vMerge w:val="restart"/>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公务接待费</w:t>
                        </w:r>
                      </w:p>
                    </w:tc>
                  </w:tr>
                  <w:tr>
                    <w:tblPrEx>
                      <w:tblCellMar>
                        <w:top w:w="0" w:type="dxa"/>
                        <w:left w:w="0" w:type="dxa"/>
                        <w:bottom w:w="0" w:type="dxa"/>
                        <w:right w:w="0" w:type="dxa"/>
                      </w:tblCellMar>
                    </w:tblPrEx>
                    <w:trPr>
                      <w:trHeight w:val="600" w:hRule="atLeast"/>
                    </w:trPr>
                    <w:tc>
                      <w:tcPr>
                        <w:tcW w:w="1151"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15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运行维护费</w:t>
                        </w:r>
                      </w:p>
                    </w:tc>
                    <w:tc>
                      <w:tcPr>
                        <w:tcW w:w="11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运行维护费</w:t>
                        </w:r>
                      </w:p>
                    </w:tc>
                    <w:tc>
                      <w:tcPr>
                        <w:tcW w:w="1151" w:type="dxa"/>
                        <w:vMerge w:val="continue"/>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559" w:hRule="atLeast"/>
                    </w:trPr>
                    <w:tc>
                      <w:tcPr>
                        <w:tcW w:w="1151"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1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0" w:type="dxa"/>
                        <w:bottom w:w="0" w:type="dxa"/>
                        <w:right w:w="0" w:type="dxa"/>
                      </w:tblCellMar>
                    </w:tblPrEx>
                    <w:trPr>
                      <w:trHeight w:val="855" w:hRule="atLeast"/>
                    </w:trPr>
                    <w:tc>
                      <w:tcPr>
                        <w:tcW w:w="1151" w:type="dxa"/>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45.94</w:t>
                        </w:r>
                      </w:p>
                    </w:tc>
                    <w:tc>
                      <w:tcPr>
                        <w:tcW w:w="11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7.1</w:t>
                        </w: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38.84</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45.94</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tcBorders>
                          <w:top w:val="single" w:color="000000" w:sz="4" w:space="0"/>
                          <w:left w:val="single" w:color="000000" w:sz="4" w:space="0"/>
                          <w:bottom w:val="single" w:color="000000" w:sz="8" w:space="0"/>
                          <w:right w:val="nil"/>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7.1</w:t>
                        </w:r>
                      </w:p>
                    </w:tc>
                    <w:tc>
                      <w:tcPr>
                        <w:tcW w:w="1151" w:type="dxa"/>
                        <w:tcBorders>
                          <w:top w:val="single" w:color="000000" w:sz="4" w:space="0"/>
                          <w:left w:val="single" w:color="000000" w:sz="4" w:space="0"/>
                          <w:bottom w:val="single" w:color="000000" w:sz="8" w:space="0"/>
                          <w:right w:val="single" w:color="000000" w:sz="8" w:space="0"/>
                        </w:tcBorders>
                        <w:noWrap w:val="0"/>
                        <w:tcMar>
                          <w:top w:w="15" w:type="dxa"/>
                          <w:left w:w="15" w:type="dxa"/>
                          <w:right w:w="15" w:type="dxa"/>
                        </w:tcMar>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38.84</w:t>
                        </w:r>
                      </w:p>
                    </w:tc>
                  </w:tr>
                  <w:tr>
                    <w:tblPrEx>
                      <w:tblCellMar>
                        <w:top w:w="0" w:type="dxa"/>
                        <w:left w:w="0" w:type="dxa"/>
                        <w:bottom w:w="0" w:type="dxa"/>
                        <w:right w:w="0" w:type="dxa"/>
                      </w:tblCellMar>
                    </w:tblPrEx>
                    <w:trPr>
                      <w:trHeight w:val="900" w:hRule="atLeast"/>
                    </w:trPr>
                    <w:tc>
                      <w:tcPr>
                        <w:tcW w:w="13807" w:type="dxa"/>
                        <w:gridSpan w:val="12"/>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本表金额转换为万元时，因四舍五入可能存在尾差。</w:t>
                        </w:r>
                      </w:p>
                    </w:tc>
                  </w:tr>
                </w:tbl>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hint="eastAsia" w:ascii="宋体" w:hAnsi="宋体" w:cs="宋体"/>
                      <w:color w:val="000000"/>
                      <w:sz w:val="20"/>
                      <w:szCs w:val="20"/>
                    </w:rPr>
                  </w:pPr>
                </w:p>
              </w:tc>
            </w:tr>
          </w:tbl>
          <w:p>
            <w:pPr>
              <w:widowControl/>
              <w:jc w:val="left"/>
              <w:textAlignment w:val="center"/>
              <w:rPr>
                <w:rFonts w:hint="eastAsia" w:ascii="宋体" w:hAnsi="宋体" w:cs="宋体"/>
                <w:color w:val="000000"/>
                <w:kern w:val="0"/>
                <w:sz w:val="20"/>
                <w:szCs w:val="20"/>
                <w:lang w:bidi="ar"/>
              </w:rPr>
            </w:pPr>
          </w:p>
          <w:p>
            <w:pPr>
              <w:widowControl/>
              <w:jc w:val="left"/>
              <w:textAlignment w:val="center"/>
              <w:rPr>
                <w:rFonts w:hint="eastAsia" w:ascii="宋体" w:hAnsi="宋体" w:cs="宋体"/>
                <w:color w:val="000000"/>
                <w:sz w:val="20"/>
                <w:szCs w:val="20"/>
              </w:rPr>
            </w:pP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tabs>
          <w:tab w:val="left" w:pos="5665"/>
        </w:tabs>
        <w:rPr>
          <w:rFonts w:ascii="仿宋_GB2312" w:hAnsi="仿宋_GB2312" w:eastAsia="仿宋_GB2312" w:cs="仿宋_GB2312"/>
          <w:sz w:val="32"/>
          <w:szCs w:val="32"/>
        </w:rPr>
      </w:pPr>
    </w:p>
    <w:p>
      <w:pPr>
        <w:tabs>
          <w:tab w:val="left" w:pos="5665"/>
        </w:tabs>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第三部分 2024年度部门决算情况说明</w:t>
      </w:r>
    </w:p>
    <w:p>
      <w:pPr>
        <w:widowControl/>
        <w:jc w:val="left"/>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eastAsia="仿宋_GB2312"/>
          <w:sz w:val="32"/>
          <w:szCs w:val="32"/>
        </w:rPr>
        <w:t>2024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万元。与上年度相比，收、支总计各减少</w:t>
      </w:r>
      <w:r>
        <w:rPr>
          <w:rFonts w:hint="eastAsia" w:ascii="仿宋_GB2312" w:hAnsi="仿宋_GB2312" w:eastAsia="仿宋_GB2312" w:cs="仿宋_GB2312"/>
          <w:sz w:val="32"/>
          <w:szCs w:val="32"/>
          <w:lang w:val="en-US" w:eastAsia="zh-CN"/>
        </w:rPr>
        <w:t>130.8</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5.04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厉行节约、精简不必要支出</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黑体" w:cs="黑体"/>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1607.52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65.18</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858.61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34.82</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eastAsia="仿宋_GB2312"/>
          <w:sz w:val="32"/>
          <w:szCs w:val="32"/>
        </w:rPr>
        <w:t>年度财政拨款收、支总计均为</w:t>
      </w:r>
      <w:r>
        <w:rPr>
          <w:rFonts w:hint="eastAsia" w:ascii="仿宋_GB2312" w:hAnsi="仿宋_GB2312" w:eastAsia="仿宋_GB2312" w:cs="仿宋_GB2312"/>
          <w:sz w:val="32"/>
          <w:szCs w:val="32"/>
          <w:lang w:val="en-US" w:eastAsia="zh-CN"/>
        </w:rPr>
        <w:t>2466.14</w:t>
      </w:r>
      <w:r>
        <w:rPr>
          <w:rFonts w:hint="eastAsia" w:ascii="仿宋_GB2312" w:eastAsia="仿宋_GB2312"/>
          <w:sz w:val="32"/>
          <w:szCs w:val="32"/>
        </w:rPr>
        <w:t>万元。与上</w:t>
      </w:r>
      <w:r>
        <w:rPr>
          <w:rFonts w:hint="eastAsia" w:ascii="仿宋_GB2312" w:hAnsi="仿宋_GB2312" w:eastAsia="仿宋_GB2312" w:cs="仿宋_GB2312"/>
          <w:sz w:val="32"/>
          <w:szCs w:val="32"/>
        </w:rPr>
        <w:t>年度相比，财政拨款收、支总计各减少</w:t>
      </w:r>
      <w:r>
        <w:rPr>
          <w:rFonts w:hint="eastAsia" w:ascii="仿宋_GB2312" w:hAnsi="仿宋_GB2312" w:eastAsia="仿宋_GB2312" w:cs="仿宋_GB2312"/>
          <w:sz w:val="32"/>
          <w:szCs w:val="32"/>
          <w:lang w:val="en-US" w:eastAsia="zh-CN"/>
        </w:rPr>
        <w:t>130.8</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5.04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厉行节约、精简不必要支出</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%。与上年度相比，一般公共预算财政拨款支出减少</w:t>
      </w:r>
      <w:r>
        <w:rPr>
          <w:rFonts w:hint="eastAsia" w:ascii="仿宋_GB2312" w:hAnsi="仿宋_GB2312" w:eastAsia="仿宋_GB2312" w:cs="仿宋_GB2312"/>
          <w:sz w:val="32"/>
          <w:szCs w:val="32"/>
          <w:lang w:val="en-US" w:eastAsia="zh-CN"/>
        </w:rPr>
        <w:t>130.8</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5.04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厉行节约、精简不必要支出</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2466.14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2010301行政运行</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1607.52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1607.52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eastAsia="仿宋_GB2312"/>
          <w:b/>
          <w:sz w:val="32"/>
          <w:szCs w:val="32"/>
        </w:rPr>
        <w:t>2.</w:t>
      </w:r>
      <w:r>
        <w:rPr>
          <w:rFonts w:hint="eastAsia" w:ascii="仿宋_GB2312" w:eastAsia="仿宋_GB2312"/>
          <w:b/>
          <w:sz w:val="32"/>
          <w:szCs w:val="32"/>
          <w:lang w:val="en-US" w:eastAsia="zh-CN"/>
        </w:rPr>
        <w:t>2010302一般行政管理事务</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858.61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858.61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1607.52</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1022.48</w:t>
      </w:r>
      <w:r>
        <w:rPr>
          <w:rFonts w:hint="eastAsia" w:ascii="仿宋_GB2312" w:hAnsi="仿宋_GB2312" w:eastAsia="仿宋_GB2312" w:cs="仿宋_GB2312"/>
          <w:sz w:val="32"/>
          <w:szCs w:val="32"/>
        </w:rPr>
        <w:t>万元，主要包括：基本工资、津贴补贴、伙食补助费、绩效工资、机关事业单位基本养老保险缴费、职业年金缴费、其他社会保障缴费、其他工资福利支出、生活补助、奖励金、住房公积金、其他对个人和家庭的补助支出</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585.05</w:t>
      </w:r>
      <w:r>
        <w:rPr>
          <w:rFonts w:hint="eastAsia" w:ascii="仿宋_GB2312" w:hAnsi="仿宋_GB2312" w:eastAsia="仿宋_GB2312" w:cs="仿宋_GB2312"/>
          <w:sz w:val="32"/>
          <w:szCs w:val="32"/>
        </w:rPr>
        <w:t>万元，主要包括：办公费、印刷费、水费、电费、邮电费、差旅费、维修（护）费、租赁费、公务接待费、劳务费、委托业务费、工会经费、公务用车运行维护费、其他商品和服务支出。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震雷山办事处未安排</w:t>
      </w:r>
      <w:r>
        <w:rPr>
          <w:rFonts w:ascii="仿宋_GB2312" w:eastAsia="仿宋_GB2312"/>
          <w:sz w:val="32"/>
          <w:szCs w:val="32"/>
        </w:rPr>
        <w:t>2024</w:t>
      </w:r>
      <w:r>
        <w:rPr>
          <w:rFonts w:hint="eastAsia" w:ascii="仿宋_GB2312" w:hAnsi="仿宋_GB2312" w:eastAsia="仿宋_GB2312" w:cs="仿宋_GB2312"/>
          <w:sz w:val="32"/>
          <w:szCs w:val="32"/>
        </w:rPr>
        <w:t>年度政府性基金预算财政拨款支出。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w:t>
      </w:r>
      <w:r>
        <w:rPr>
          <w:rFonts w:ascii="黑体" w:hAnsi="黑体" w:eastAsia="黑体" w:cs="黑体"/>
          <w:sz w:val="32"/>
          <w:szCs w:val="32"/>
        </w:rPr>
        <w:t>经营</w:t>
      </w:r>
      <w:r>
        <w:rPr>
          <w:rFonts w:hint="eastAsia" w:ascii="黑体" w:hAnsi="黑体" w:eastAsia="黑体" w:cs="黑体"/>
          <w:sz w:val="32"/>
          <w:szCs w:val="32"/>
        </w:rPr>
        <w:t>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震雷山办事处未安排</w:t>
      </w:r>
      <w:r>
        <w:rPr>
          <w:rFonts w:ascii="仿宋_GB2312" w:eastAsia="仿宋_GB2312"/>
          <w:sz w:val="32"/>
          <w:szCs w:val="32"/>
        </w:rPr>
        <w:t>2024</w:t>
      </w:r>
      <w:r>
        <w:rPr>
          <w:rFonts w:hint="eastAsia" w:ascii="仿宋_GB2312" w:hAnsi="仿宋_GB2312" w:eastAsia="仿宋_GB2312" w:cs="仿宋_GB2312"/>
          <w:sz w:val="32"/>
          <w:szCs w:val="32"/>
        </w:rPr>
        <w:t>年度国有资本</w:t>
      </w:r>
      <w:r>
        <w:rPr>
          <w:rFonts w:ascii="仿宋_GB2312" w:hAnsi="仿宋_GB2312" w:eastAsia="仿宋_GB2312" w:cs="仿宋_GB2312"/>
          <w:sz w:val="32"/>
          <w:szCs w:val="32"/>
        </w:rPr>
        <w:t>经营</w:t>
      </w:r>
      <w:r>
        <w:rPr>
          <w:rFonts w:hint="eastAsia" w:ascii="仿宋_GB2312" w:hAnsi="仿宋_GB2312" w:eastAsia="仿宋_GB2312" w:cs="仿宋_GB2312"/>
          <w:sz w:val="32"/>
          <w:szCs w:val="32"/>
        </w:rPr>
        <w:t>预算财政拨款支出。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九、一般公共预算财政拨款“三公”经费支出决算情况说明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（一）一般公共预算财政拨款“三公”经费支出决算总体情况说明。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年度一般公共预算财政拨款“三公”经费支出预算为</w:t>
      </w:r>
      <w:r>
        <w:rPr>
          <w:rFonts w:hint="eastAsia" w:ascii="仿宋_GB2312" w:hAnsi="仿宋_GB2312" w:eastAsia="仿宋_GB2312" w:cs="仿宋_GB2312"/>
          <w:sz w:val="32"/>
          <w:szCs w:val="32"/>
          <w:lang w:val="en-US" w:eastAsia="zh-CN"/>
        </w:rPr>
        <w:t>45.94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45.94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ascii="仿宋_GB2312" w:eastAsia="仿宋_GB2312"/>
          <w:sz w:val="32"/>
          <w:szCs w:val="32"/>
        </w:rPr>
        <w:t>2024</w:t>
      </w:r>
      <w:r>
        <w:rPr>
          <w:rFonts w:hint="eastAsia" w:ascii="仿宋_GB2312" w:hAnsi="仿宋_GB2312" w:eastAsia="仿宋_GB2312" w:cs="仿宋_GB2312"/>
          <w:sz w:val="32"/>
          <w:szCs w:val="32"/>
        </w:rPr>
        <w:t>年度一般公共预算财政拨款“三公”经费支出决算数与预算数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（二）一般公共预算财政拨款“三公”经费支出决算具体情况说明。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年度一般公共预算财政拨款“三公”经费支出决算中，因公出国（境）费支出决算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万元；公务用车购置及运行费支出决算</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15.45</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38.84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84.55</w:t>
      </w:r>
      <w:r>
        <w:rPr>
          <w:rFonts w:hint="eastAsia" w:ascii="仿宋_GB2312" w:hAnsi="仿宋_GB2312" w:eastAsia="仿宋_GB2312" w:cs="仿宋_GB2312"/>
          <w:sz w:val="32"/>
          <w:szCs w:val="32"/>
        </w:rPr>
        <w:t>%。具体情况如下：</w:t>
      </w:r>
    </w:p>
    <w:p>
      <w:pPr>
        <w:widowControl/>
        <w:numPr>
          <w:ilvl w:val="0"/>
          <w:numId w:val="2"/>
        </w:numPr>
        <w:spacing w:line="59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因公出国（境）费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w:t>
      </w:r>
      <w:r>
        <w:rPr>
          <w:rFonts w:hint="eastAsia" w:ascii="仿宋_GB2312" w:hAnsi="仿宋_GB2312" w:eastAsia="仿宋_GB2312" w:cs="仿宋_GB2312"/>
          <w:sz w:val="32"/>
          <w:szCs w:val="32"/>
          <w:lang w:eastAsia="zh-CN"/>
        </w:rPr>
        <w:t>。</w:t>
      </w:r>
    </w:p>
    <w:p>
      <w:pPr>
        <w:widowControl/>
        <w:numPr>
          <w:ilvl w:val="0"/>
          <w:numId w:val="0"/>
        </w:numPr>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公务用车运行维护支出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公车运行及维护费用</w:t>
      </w:r>
      <w:r>
        <w:rPr>
          <w:rFonts w:hint="eastAsia" w:ascii="仿宋_GB2312" w:hAnsi="仿宋_GB2312" w:eastAsia="仿宋_GB2312" w:cs="仿宋_GB2312"/>
          <w:sz w:val="32"/>
          <w:szCs w:val="32"/>
        </w:rPr>
        <w:t>。</w:t>
      </w:r>
      <w:r>
        <w:rPr>
          <w:rFonts w:ascii="仿宋_GB2312" w:eastAsia="仿宋_GB2312"/>
          <w:sz w:val="32"/>
          <w:szCs w:val="32"/>
        </w:rPr>
        <w:t>2024</w:t>
      </w:r>
      <w:r>
        <w:rPr>
          <w:rFonts w:hint="eastAsia" w:ascii="仿宋_GB2312" w:hAnsi="仿宋_GB2312" w:eastAsia="仿宋_GB2312" w:cs="仿宋_GB2312"/>
          <w:sz w:val="32"/>
          <w:szCs w:val="32"/>
        </w:rPr>
        <w:t>年期末，单位开支财政拨款的公务用车保有量为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辆。</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38.84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存在差异。其中：</w:t>
      </w:r>
    </w:p>
    <w:p>
      <w:pPr>
        <w:widowControl/>
        <w:spacing w:line="59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sz w:val="32"/>
          <w:szCs w:val="32"/>
          <w:lang w:val="en-US" w:eastAsia="zh-CN"/>
        </w:rPr>
        <w:t>38.84</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日常公务接待</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我单位不是行政机关，也不是参照公务员法管理的事业单位，没有机关运行经费支出。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eastAsia="仿宋_GB2312"/>
          <w:sz w:val="32"/>
          <w:szCs w:val="32"/>
        </w:rPr>
        <w:t>2024</w:t>
      </w:r>
      <w:r>
        <w:rPr>
          <w:rFonts w:hint="eastAsia" w:ascii="仿宋_GB2312" w:hAnsi="仿宋_GB2312" w:eastAsia="仿宋_GB2312" w:cs="仿宋_GB2312"/>
          <w:sz w:val="32"/>
          <w:szCs w:val="32"/>
        </w:rPr>
        <w:t>年期末，我单位共有车辆</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辆，其中：省执法执勤用车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pPr>
        <w:widowControl/>
        <w:spacing w:line="590" w:lineRule="exact"/>
        <w:ind w:firstLine="640" w:firstLineChars="200"/>
        <w:rPr>
          <w:rFonts w:hint="eastAsia" w:ascii="仿宋_GB2312" w:hAnsi="仿宋_GB2312" w:eastAsia="仿宋_GB2312" w:cs="仿宋_GB2312"/>
          <w:sz w:val="32"/>
          <w:szCs w:val="32"/>
        </w:r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十三、预算绩效评价情况说明</w:t>
      </w:r>
    </w:p>
    <w:p>
      <w:pPr>
        <w:ind w:firstLine="640"/>
        <w:rPr>
          <w:rFonts w:hint="eastAsia" w:ascii="仿宋_GB2312" w:hAnsi="仿宋_GB2312" w:eastAsia="仿宋_GB2312" w:cs="仿宋_GB2312"/>
          <w:sz w:val="32"/>
          <w:szCs w:val="32"/>
        </w:rPr>
      </w:pPr>
      <w:r>
        <w:rPr>
          <w:rFonts w:ascii="楷体_GB2312" w:hAnsi="楷体_GB2312" w:eastAsia="楷体_GB2312" w:cs="楷体_GB2312"/>
          <w:b/>
          <w:bCs/>
          <w:sz w:val="32"/>
          <w:szCs w:val="32"/>
        </w:rPr>
        <w:t>（一）绩效评价工作开展情况。</w:t>
      </w:r>
      <w:r>
        <w:rPr>
          <w:rFonts w:hint="eastAsia" w:ascii="仿宋_GB2312" w:hAnsi="仿宋_GB2312" w:eastAsia="仿宋_GB2312" w:cs="仿宋_GB2312"/>
          <w:sz w:val="32"/>
          <w:szCs w:val="32"/>
        </w:rPr>
        <w:t>为深入贯彻落实中央、省、市、</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关于全面实施预算绩效管理的决策部署，进一步强化各级各部门预算绩效管理主体责任和绩效理念，根据</w:t>
      </w:r>
      <w:r>
        <w:rPr>
          <w:rFonts w:hint="eastAsia" w:ascii="仿宋_GB2312" w:hAnsi="仿宋_GB2312" w:eastAsia="仿宋_GB2312" w:cs="仿宋_GB2312"/>
          <w:sz w:val="32"/>
          <w:szCs w:val="32"/>
          <w:lang w:val="en-US" w:eastAsia="zh-CN"/>
        </w:rPr>
        <w:t>平桥区</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文件精神，</w:t>
      </w:r>
      <w:r>
        <w:rPr>
          <w:rFonts w:hint="eastAsia" w:ascii="仿宋_GB2312" w:hAnsi="仿宋_GB2312" w:eastAsia="仿宋_GB2312" w:cs="仿宋_GB2312"/>
          <w:sz w:val="32"/>
          <w:szCs w:val="32"/>
          <w:lang w:val="en-US" w:eastAsia="zh-CN"/>
        </w:rPr>
        <w:t>震雷山街道办事处</w:t>
      </w:r>
      <w:r>
        <w:rPr>
          <w:rFonts w:hint="eastAsia" w:ascii="仿宋_GB2312" w:hAnsi="仿宋_GB2312" w:eastAsia="仿宋_GB2312" w:cs="仿宋_GB2312"/>
          <w:sz w:val="32"/>
          <w:szCs w:val="32"/>
        </w:rPr>
        <w:t>积极开展202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年度整体绩效情况自评工作。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加强组织领导，强化责任落实。严格按照中央、省、市、</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关于全面实施预算绩效管理的工作要求，加强预算绩效管理工作组织领导和集体决策，落实主体责任，明确内部分工，理顺部门内部绩效自评工作机制，做到花钱与办事、绩效与责任深度融合。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突出评价重点，提升自评质量。切实推动绩效自评工作开展并实现应评尽评，根据绩效评价指标体系和报告范本，采用成本效益分析法、标杆管理法等方法，重点关注规划决策、制度办法、分配方法、目标实现、效益效率等方面内容，认真撰写绩效自评报告，确保客观反映资金使用实际绩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结果应用，提高使用效益。将自评结果作为完善政策制度、改进项目管理、精准受益对象、优化支出结构等方面的重要依据，真正发挥绩效“指挥棒”作用，同时对绩效自评发现的问题全面整改落实，进一步提升项目管理质量，切实提高财政资金使用效益。</w:t>
      </w:r>
    </w:p>
    <w:p>
      <w:pPr>
        <w:widowControl/>
        <w:spacing w:line="590" w:lineRule="exact"/>
        <w:ind w:firstLine="640" w:firstLineChars="200"/>
        <w:rPr>
          <w:rFonts w:ascii="仿宋_GB2312" w:eastAsia="仿宋_GB2312"/>
          <w:sz w:val="32"/>
          <w:szCs w:val="32"/>
        </w:rPr>
      </w:pPr>
    </w:p>
    <w:p>
      <w:pPr>
        <w:widowControl/>
        <w:numPr>
          <w:ilvl w:val="0"/>
          <w:numId w:val="3"/>
        </w:numPr>
        <w:spacing w:line="590" w:lineRule="exact"/>
        <w:ind w:firstLine="643" w:firstLineChars="200"/>
        <w:rPr>
          <w:rFonts w:hint="eastAsia" w:ascii="楷体_GB2312" w:hAnsi="楷体_GB2312" w:eastAsia="楷体_GB2312" w:cs="楷体_GB2312"/>
          <w:b/>
          <w:bCs/>
          <w:sz w:val="32"/>
          <w:szCs w:val="32"/>
          <w:lang w:eastAsia="zh-CN"/>
        </w:rPr>
      </w:pPr>
      <w:r>
        <w:rPr>
          <w:rFonts w:ascii="楷体_GB2312" w:hAnsi="楷体_GB2312" w:eastAsia="楷体_GB2312" w:cs="楷体_GB2312"/>
          <w:b/>
          <w:bCs/>
          <w:sz w:val="32"/>
          <w:szCs w:val="32"/>
        </w:rPr>
        <w:t>项目绩效自评结果</w:t>
      </w:r>
      <w:r>
        <w:rPr>
          <w:rFonts w:hint="eastAsia" w:ascii="楷体_GB2312" w:hAnsi="楷体_GB2312" w:eastAsia="楷体_GB2312" w:cs="楷体_GB2312"/>
          <w:b/>
          <w:bCs/>
          <w:sz w:val="32"/>
          <w:szCs w:val="32"/>
          <w:lang w:eastAsia="zh-CN"/>
        </w:rPr>
        <w:t>。</w:t>
      </w:r>
    </w:p>
    <w:tbl>
      <w:tblPr>
        <w:tblStyle w:val="3"/>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1"/>
        <w:gridCol w:w="603"/>
        <w:gridCol w:w="748"/>
        <w:gridCol w:w="714"/>
        <w:gridCol w:w="756"/>
        <w:gridCol w:w="756"/>
        <w:gridCol w:w="756"/>
        <w:gridCol w:w="756"/>
        <w:gridCol w:w="852"/>
        <w:gridCol w:w="574"/>
        <w:gridCol w:w="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5000" w:type="pct"/>
            <w:gridSpan w:val="11"/>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5000" w:type="pct"/>
            <w:gridSpan w:val="11"/>
            <w:tcBorders>
              <w:top w:val="nil"/>
              <w:left w:val="nil"/>
              <w:bottom w:val="nil"/>
              <w:right w:val="nil"/>
            </w:tcBorders>
            <w:noWrap/>
            <w:vAlign w:val="top"/>
          </w:tcPr>
          <w:p>
            <w:pPr>
              <w:keepNext w:val="0"/>
              <w:keepLines w:val="0"/>
              <w:widowControl/>
              <w:suppressLineNumbers w:val="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2024</w:t>
            </w:r>
            <w:r>
              <w:rPr>
                <w:rFonts w:hint="eastAsia" w:ascii="宋体" w:hAnsi="宋体" w:eastAsia="宋体" w:cs="宋体"/>
                <w:i w:val="0"/>
                <w:color w:val="000000"/>
                <w:kern w:val="0"/>
                <w:sz w:val="22"/>
                <w:szCs w:val="22"/>
                <w:u w:val="none"/>
                <w:lang w:val="en-US" w:eastAsia="zh-CN" w:bidi="ar"/>
              </w:rPr>
              <w:t xml:space="preserve">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11"/>
            <w:tcBorders>
              <w:top w:val="nil"/>
              <w:left w:val="nil"/>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填表人及联系方式： </w:t>
            </w:r>
            <w:r>
              <w:rPr>
                <w:rFonts w:hint="eastAsia" w:ascii="宋体" w:hAnsi="宋体" w:cs="宋体"/>
                <w:i w:val="0"/>
                <w:color w:val="000000"/>
                <w:kern w:val="0"/>
                <w:sz w:val="18"/>
                <w:szCs w:val="18"/>
                <w:u w:val="none"/>
                <w:lang w:val="en-US" w:eastAsia="zh-CN" w:bidi="ar"/>
              </w:rPr>
              <w:t>刘玉宛；18837602171</w:t>
            </w:r>
            <w:r>
              <w:rPr>
                <w:rFonts w:hint="eastAsia" w:ascii="宋体" w:hAnsi="宋体" w:eastAsia="宋体" w:cs="宋体"/>
                <w:i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039" w:type="pct"/>
            <w:gridSpan w:val="9"/>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震雷山街道办事处2024年专项经费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1769"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信阳市平桥区震雷山街道办事处；611</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19"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信阳市平桥区震雷山街道办事处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96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全年预算数</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全年执行数</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执行率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（B/A</w:t>
            </w:r>
            <w:r>
              <w:rPr>
                <w:rStyle w:val="5"/>
                <w:lang w:val="en-US" w:eastAsia="zh-CN" w:bidi="ar"/>
              </w:rPr>
              <w:t>x</w:t>
            </w:r>
            <w:r>
              <w:rPr>
                <w:rStyle w:val="6"/>
                <w:lang w:val="en-US" w:eastAsia="zh-CN" w:bidi="ar"/>
              </w:rPr>
              <w:t>100%）</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335.42</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335.42</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313.75</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93.54</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其中：政府预算资金</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335.42</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335.42</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313.75</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93.54</w:t>
            </w: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财政专户管理资金</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单位资金</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5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资金管理情况</w:t>
            </w: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34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情况说明</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分值（20）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安排科学性</w:t>
            </w:r>
          </w:p>
        </w:tc>
        <w:tc>
          <w:tcPr>
            <w:tcW w:w="1342"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科学</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拨付合规性</w:t>
            </w:r>
          </w:p>
        </w:tc>
        <w:tc>
          <w:tcPr>
            <w:tcW w:w="1342"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合规</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使用规范性</w:t>
            </w:r>
          </w:p>
        </w:tc>
        <w:tc>
          <w:tcPr>
            <w:tcW w:w="1342"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规范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预算绩效管理情况</w:t>
            </w:r>
          </w:p>
        </w:tc>
        <w:tc>
          <w:tcPr>
            <w:tcW w:w="1342"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按照要求进行绩效管理</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59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13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26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213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政府购买服务、优抚社救事业费、信访稳定工作经费、改善农村人居环境、中心工作加班值班经费等</w:t>
            </w:r>
          </w:p>
        </w:tc>
        <w:tc>
          <w:tcPr>
            <w:tcW w:w="226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政府购买服务、优抚社救事业费、信访稳定工作经费、改善农村人居环境、中心工作加班值班经费等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9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44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信访稳定工作经费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精准扶贫经费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优抚社救事业费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≤2.96万元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2.2万元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中心工作加班值班经费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改善农村人居环境</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≤20万元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20万元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治安巡逻经费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村务监督经费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保洁员经费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≤113.4万元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59.9万元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政府购买服务</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≤140万元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82.5万元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敬老院经费</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≤8万元</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6.76万元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聘请保洁员人户</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≥30人</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32人</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经费拨付准确率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经费拨付及时率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rPr>
            </w:pPr>
            <w:r>
              <w:rPr>
                <w:rFonts w:hint="eastAsia" w:ascii="宋体" w:hAnsi="宋体" w:cs="宋体"/>
                <w:i w:val="0"/>
                <w:color w:val="000000"/>
                <w:sz w:val="18"/>
                <w:szCs w:val="18"/>
                <w:u w:val="none"/>
                <w:lang w:val="en-US" w:eastAsia="zh-CN"/>
              </w:rPr>
              <w:t>≥90%</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92%</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效益指标</w:t>
            </w:r>
          </w:p>
        </w:tc>
        <w:tc>
          <w:tcPr>
            <w:tcW w:w="44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保障办事处机关2024年正常运转</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保障</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好</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提升辖区治安水平</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提升</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好</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生态效益指标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改善辖区人居环境</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改善</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好</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9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群众满意度</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≥92%</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95%</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318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99.4</w:t>
            </w:r>
          </w:p>
        </w:tc>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5000"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注：1.资金管理情况的考核，对违反预算管理规定行为的，原则上每发现1例扣1分，扣完为止。</w:t>
            </w:r>
          </w:p>
          <w:p>
            <w:pPr>
              <w:keepNext w:val="0"/>
              <w:keepLines w:val="0"/>
              <w:widowControl/>
              <w:suppressLineNumbers w:val="0"/>
              <w:jc w:val="left"/>
              <w:textAlignment w:val="center"/>
              <w:rPr>
                <w:rStyle w:val="8"/>
                <w:lang w:val="en-US" w:eastAsia="zh-CN" w:bidi="ar"/>
              </w:rPr>
            </w:pPr>
            <w:r>
              <w:rPr>
                <w:rFonts w:hint="eastAsia" w:ascii="宋体" w:hAnsi="宋体" w:eastAsia="宋体" w:cs="宋体"/>
                <w:i w:val="0"/>
                <w:color w:val="000000"/>
                <w:kern w:val="0"/>
                <w:sz w:val="18"/>
                <w:szCs w:val="18"/>
                <w:u w:val="none"/>
                <w:lang w:val="en-US" w:eastAsia="zh-CN" w:bidi="ar"/>
              </w:rPr>
              <w:t xml:space="preserve">    2.绩效自评采取打分评价的形式，满分为100分，</w:t>
            </w:r>
            <w:r>
              <w:rPr>
                <w:rStyle w:val="8"/>
                <w:lang w:val="en-US" w:eastAsia="zh-CN" w:bidi="ar"/>
              </w:rPr>
              <w:t>项目单位自评原则上统一按以下方式设置：预算执行率10分、资金管理情况20分、成本指标10分、产出指标30分、效益指标25分、满意度指标5分；对于不需设置成本指标的项目，其产出指标调增10分；对于不需设置满意度指标的项目，其效益指标调增5分。二三级指标的分值权重由各单位根据项目实际情况和指标重要程度合理设置。</w:t>
            </w:r>
          </w:p>
          <w:p>
            <w:pPr>
              <w:keepNext w:val="0"/>
              <w:keepLines w:val="0"/>
              <w:widowControl/>
              <w:suppressLineNumbers w:val="0"/>
              <w:jc w:val="left"/>
              <w:textAlignment w:val="center"/>
              <w:rPr>
                <w:rStyle w:val="8"/>
                <w:lang w:val="en-US" w:eastAsia="zh-CN" w:bidi="ar"/>
              </w:rPr>
            </w:pPr>
            <w:r>
              <w:rPr>
                <w:rStyle w:val="8"/>
                <w:lang w:val="en-US" w:eastAsia="zh-CN" w:bidi="ar"/>
              </w:rPr>
              <w:t xml:space="preserve">    3.偏差原因分析及改进措施：说明偏离目标、不能完成目标的原因及改进措施。</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Style w:val="8"/>
                <w:lang w:val="en-US" w:eastAsia="zh-CN" w:bidi="ar"/>
              </w:rPr>
              <w:t xml:space="preserve">    4.定性指标完成情况分为好、较好、一般、较差四档，在相应档次分别按照100％-90%(含)、90%-80％(含)、80％-60％(含)、60％-0％合理确定分值。定量指标完成指标值的，记该指标所赋全部分值；未完成的，按照完成值与指标值的比例计分。</w:t>
            </w:r>
          </w:p>
        </w:tc>
      </w:tr>
    </w:tbl>
    <w:p>
      <w:pPr>
        <w:widowControl/>
        <w:jc w:val="left"/>
        <w:rPr>
          <w:rFonts w:hint="eastAsia" w:ascii="楷体_GB2312" w:hAnsi="楷体_GB2312" w:eastAsia="楷体_GB2312" w:cs="楷体_GB2312"/>
          <w:sz w:val="32"/>
          <w:szCs w:val="32"/>
        </w:rPr>
        <w:sectPr>
          <w:pgSz w:w="11906" w:h="16838"/>
          <w:pgMar w:top="1440" w:right="1800" w:bottom="1440" w:left="1800" w:header="720" w:footer="720" w:gutter="0"/>
          <w:pgNumType w:fmt="numberInDash"/>
          <w:cols w:space="720" w:num="1"/>
          <w:docGrid w:type="lines" w:linePitch="312" w:charSpace="0"/>
        </w:sectPr>
      </w:pPr>
    </w:p>
    <w:p>
      <w:pPr>
        <w:ind w:firstLine="1440" w:firstLineChars="300"/>
        <w:jc w:val="both"/>
        <w:outlineLvl w:val="0"/>
        <w:rPr>
          <w:rFonts w:hint="eastAsia" w:ascii="黑体" w:hAnsi="黑体" w:eastAsia="黑体" w:cs="黑体"/>
          <w:sz w:val="48"/>
          <w:szCs w:val="48"/>
        </w:rPr>
      </w:pPr>
    </w:p>
    <w:p>
      <w:pPr>
        <w:ind w:firstLine="1440" w:firstLineChars="300"/>
        <w:jc w:val="both"/>
        <w:outlineLvl w:val="0"/>
        <w:rPr>
          <w:rFonts w:hint="eastAsia" w:ascii="黑体" w:hAnsi="黑体" w:eastAsia="黑体" w:cs="黑体"/>
          <w:sz w:val="48"/>
          <w:szCs w:val="48"/>
        </w:rPr>
      </w:pPr>
    </w:p>
    <w:p>
      <w:pPr>
        <w:ind w:firstLine="1440" w:firstLineChars="300"/>
        <w:jc w:val="both"/>
        <w:outlineLvl w:val="0"/>
        <w:rPr>
          <w:rFonts w:hint="eastAsia" w:ascii="黑体" w:hAnsi="黑体" w:eastAsia="黑体" w:cs="黑体"/>
          <w:sz w:val="48"/>
          <w:szCs w:val="48"/>
        </w:rPr>
      </w:pPr>
    </w:p>
    <w:p>
      <w:pPr>
        <w:ind w:firstLine="1440" w:firstLineChars="300"/>
        <w:jc w:val="both"/>
        <w:outlineLvl w:val="0"/>
        <w:rPr>
          <w:rFonts w:hint="eastAsia" w:ascii="黑体" w:hAnsi="黑体" w:eastAsia="黑体" w:cs="黑体"/>
          <w:sz w:val="48"/>
          <w:szCs w:val="48"/>
        </w:rPr>
      </w:pPr>
    </w:p>
    <w:p>
      <w:pPr>
        <w:ind w:firstLine="1440" w:firstLineChars="300"/>
        <w:jc w:val="both"/>
        <w:outlineLvl w:val="0"/>
        <w:rPr>
          <w:rFonts w:hint="eastAsia" w:ascii="黑体" w:hAnsi="黑体" w:eastAsia="黑体" w:cs="黑体"/>
          <w:sz w:val="48"/>
          <w:szCs w:val="48"/>
        </w:rPr>
      </w:pPr>
    </w:p>
    <w:p>
      <w:pPr>
        <w:ind w:firstLine="1440" w:firstLineChars="300"/>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第四部分  名词解释</w:t>
      </w:r>
    </w:p>
    <w:p>
      <w:pPr>
        <w:jc w:val="center"/>
        <w:rPr>
          <w:rFonts w:hint="eastAsia" w:ascii="黑体" w:hAnsi="黑体" w:eastAsia="黑体" w:cs="黑体"/>
          <w:sz w:val="48"/>
          <w:szCs w:val="48"/>
        </w:rPr>
      </w:pPr>
    </w:p>
    <w:p>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七、使用非财政拨款结余（含专用结余）：指事业单位使用以前年度积累的非财政拨款结余弥补当年收支差额的金额。</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年初结转和结余：指单位以前年度尚未完成、结转到本年仍按原规定用途继续使用的资金，或项目已完成等产生的结余资金。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r>
        <w:rPr>
          <w:rFonts w:ascii="仿宋_GB2312" w:hAnsi="仿宋_GB2312" w:eastAsia="仿宋_GB2312" w:cs="仿宋_GB2312"/>
          <w:sz w:val="32"/>
          <w:szCs w:val="32"/>
        </w:rPr>
        <w:t>、经营支出：指事业单位在专业业务活动及其辅助活动之外开展非独立核算经营活动发生的支出。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结余分配：指事业单位按照会计制度规定缴纳的所得税、提取的专用结余以及转入非财政拨款结余的金额等。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十六、年末结转和</w:t>
      </w:r>
      <w:r>
        <w:rPr>
          <w:rFonts w:ascii="仿宋_GB2312" w:hAnsi="仿宋_GB2312" w:eastAsia="仿宋_GB2312" w:cs="仿宋_GB2312"/>
          <w:sz w:val="32"/>
          <w:szCs w:val="32"/>
        </w:rPr>
        <w:t>结余</w:t>
      </w:r>
      <w:r>
        <w:rPr>
          <w:rFonts w:hint="eastAsia" w:ascii="仿宋_GB2312" w:hAnsi="仿宋_GB2312" w:eastAsia="仿宋_GB2312" w:cs="仿宋_GB2312"/>
          <w:sz w:val="32"/>
          <w:szCs w:val="32"/>
        </w:rPr>
        <w:t>：指</w:t>
      </w:r>
      <w:r>
        <w:rPr>
          <w:rFonts w:ascii="仿宋_GB2312" w:hAnsi="仿宋_GB2312" w:eastAsia="仿宋_GB2312" w:cs="仿宋_GB2312"/>
          <w:sz w:val="32"/>
          <w:szCs w:val="32"/>
        </w:rPr>
        <w:t>单位按有关规定结转到下年或以后年度</w:t>
      </w:r>
      <w:r>
        <w:rPr>
          <w:rFonts w:hint="eastAsia" w:ascii="仿宋_GB2312" w:hAnsi="仿宋_GB2312" w:eastAsia="仿宋_GB2312" w:cs="仿宋_GB2312"/>
          <w:sz w:val="32"/>
          <w:szCs w:val="32"/>
        </w:rPr>
        <w:t>继续</w:t>
      </w:r>
      <w:r>
        <w:rPr>
          <w:rFonts w:ascii="仿宋_GB2312" w:hAnsi="仿宋_GB2312" w:eastAsia="仿宋_GB2312" w:cs="仿宋_GB2312"/>
          <w:sz w:val="32"/>
          <w:szCs w:val="32"/>
        </w:rPr>
        <w:t>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三公”经费：纳入同级财政一般公共预算管理“三公”经费，指单位使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公务用车燃料费、新能源汽车</w:t>
      </w:r>
      <w:r>
        <w:rPr>
          <w:rFonts w:ascii="仿宋_GB2312" w:hAnsi="仿宋_GB2312" w:eastAsia="仿宋_GB2312" w:cs="仿宋_GB2312"/>
          <w:sz w:val="32"/>
          <w:szCs w:val="32"/>
        </w:rPr>
        <w:t>充电</w:t>
      </w:r>
      <w:r>
        <w:rPr>
          <w:rFonts w:hint="eastAsia" w:ascii="仿宋_GB2312" w:hAnsi="仿宋_GB2312" w:eastAsia="仿宋_GB2312" w:cs="仿宋_GB2312"/>
          <w:sz w:val="32"/>
          <w:szCs w:val="32"/>
        </w:rPr>
        <w:t>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机关运行经费：为保障行政单位（含参照公务员法管理的事业单位）运行用于购买货物和服务的各项资金，包括办公及印刷费、邮电费、差旅费、会议费、福利费、日常维修费、专用材料费、办公用房水电费、办公用房取暖费、办公用房物业管理费、公务用车运行维护费以及其他费用。</w:t>
      </w:r>
    </w:p>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- 25 -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- 25 -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5166A7"/>
    <w:multiLevelType w:val="singleLevel"/>
    <w:tmpl w:val="C85166A7"/>
    <w:lvl w:ilvl="0" w:tentative="0">
      <w:start w:val="2"/>
      <w:numFmt w:val="chineseCounting"/>
      <w:suff w:val="nothing"/>
      <w:lvlText w:val="（%1）"/>
      <w:lvlJc w:val="left"/>
      <w:rPr>
        <w:rFonts w:hint="eastAsia"/>
      </w:rPr>
    </w:lvl>
  </w:abstractNum>
  <w:abstractNum w:abstractNumId="1">
    <w:nsid w:val="E9B6B65E"/>
    <w:multiLevelType w:val="singleLevel"/>
    <w:tmpl w:val="E9B6B65E"/>
    <w:lvl w:ilvl="0" w:tentative="0">
      <w:start w:val="1"/>
      <w:numFmt w:val="decimal"/>
      <w:suff w:val="nothing"/>
      <w:lvlText w:val="%1．"/>
      <w:lvlJc w:val="left"/>
    </w:lvl>
  </w:abstractNum>
  <w:abstractNum w:abstractNumId="2">
    <w:nsid w:val="5971BE17"/>
    <w:multiLevelType w:val="singleLevel"/>
    <w:tmpl w:val="5971BE17"/>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96FB2"/>
    <w:rsid w:val="04575F38"/>
    <w:rsid w:val="08DB6A0C"/>
    <w:rsid w:val="09A514F4"/>
    <w:rsid w:val="0BE55E0C"/>
    <w:rsid w:val="0D70298D"/>
    <w:rsid w:val="0F9D0EBF"/>
    <w:rsid w:val="0FA1450C"/>
    <w:rsid w:val="102D2243"/>
    <w:rsid w:val="123D6042"/>
    <w:rsid w:val="126B7053"/>
    <w:rsid w:val="12E60978"/>
    <w:rsid w:val="14264FE0"/>
    <w:rsid w:val="15C73125"/>
    <w:rsid w:val="15F1161D"/>
    <w:rsid w:val="16B56AEF"/>
    <w:rsid w:val="16D231FD"/>
    <w:rsid w:val="1740291A"/>
    <w:rsid w:val="19031D93"/>
    <w:rsid w:val="1A862C7C"/>
    <w:rsid w:val="1B9413C8"/>
    <w:rsid w:val="1BC752FA"/>
    <w:rsid w:val="1EBA7324"/>
    <w:rsid w:val="202251F5"/>
    <w:rsid w:val="21187A1A"/>
    <w:rsid w:val="218872DA"/>
    <w:rsid w:val="22586201"/>
    <w:rsid w:val="23AB5501"/>
    <w:rsid w:val="24311EAA"/>
    <w:rsid w:val="247B3126"/>
    <w:rsid w:val="26256302"/>
    <w:rsid w:val="26CC5EBA"/>
    <w:rsid w:val="29127DD1"/>
    <w:rsid w:val="299D769A"/>
    <w:rsid w:val="2C3167C0"/>
    <w:rsid w:val="2CB73169"/>
    <w:rsid w:val="2EE25309"/>
    <w:rsid w:val="2F776BDF"/>
    <w:rsid w:val="304E0AA2"/>
    <w:rsid w:val="3102072B"/>
    <w:rsid w:val="31480833"/>
    <w:rsid w:val="32625925"/>
    <w:rsid w:val="32FB0021"/>
    <w:rsid w:val="33182487"/>
    <w:rsid w:val="37695498"/>
    <w:rsid w:val="378620B5"/>
    <w:rsid w:val="38A67194"/>
    <w:rsid w:val="3B5F6EA5"/>
    <w:rsid w:val="3BD72EE0"/>
    <w:rsid w:val="3BF82E56"/>
    <w:rsid w:val="3CF17FD1"/>
    <w:rsid w:val="3E027FBC"/>
    <w:rsid w:val="3EDF20D9"/>
    <w:rsid w:val="430640AA"/>
    <w:rsid w:val="43BF2BD7"/>
    <w:rsid w:val="46916381"/>
    <w:rsid w:val="48805E95"/>
    <w:rsid w:val="4941408E"/>
    <w:rsid w:val="49A73042"/>
    <w:rsid w:val="4ADA0FDC"/>
    <w:rsid w:val="4C215AB1"/>
    <w:rsid w:val="4E04568A"/>
    <w:rsid w:val="4E9B1B4B"/>
    <w:rsid w:val="4EF03291"/>
    <w:rsid w:val="4F195165"/>
    <w:rsid w:val="4FED7B62"/>
    <w:rsid w:val="501E5D00"/>
    <w:rsid w:val="521560B8"/>
    <w:rsid w:val="52377DDC"/>
    <w:rsid w:val="52F12681"/>
    <w:rsid w:val="52F1442F"/>
    <w:rsid w:val="53034510"/>
    <w:rsid w:val="53AB6CD4"/>
    <w:rsid w:val="54F93352"/>
    <w:rsid w:val="557E5D22"/>
    <w:rsid w:val="55D22CB1"/>
    <w:rsid w:val="57A557E8"/>
    <w:rsid w:val="57C00874"/>
    <w:rsid w:val="581A4428"/>
    <w:rsid w:val="5B081542"/>
    <w:rsid w:val="5B44356A"/>
    <w:rsid w:val="5B8147BE"/>
    <w:rsid w:val="5D5061F6"/>
    <w:rsid w:val="5E5F0DE7"/>
    <w:rsid w:val="5EAB402C"/>
    <w:rsid w:val="605B3830"/>
    <w:rsid w:val="634E4F86"/>
    <w:rsid w:val="63F200B4"/>
    <w:rsid w:val="64104931"/>
    <w:rsid w:val="648654AE"/>
    <w:rsid w:val="685C1EF3"/>
    <w:rsid w:val="6B0074AE"/>
    <w:rsid w:val="6B036F9E"/>
    <w:rsid w:val="6BA240C1"/>
    <w:rsid w:val="6BAF4A30"/>
    <w:rsid w:val="6CDA5ADC"/>
    <w:rsid w:val="6D77157D"/>
    <w:rsid w:val="6E250FD9"/>
    <w:rsid w:val="6E8E4DD0"/>
    <w:rsid w:val="6EB42BD3"/>
    <w:rsid w:val="70003AAC"/>
    <w:rsid w:val="71033854"/>
    <w:rsid w:val="72D61441"/>
    <w:rsid w:val="73927111"/>
    <w:rsid w:val="74E76FE8"/>
    <w:rsid w:val="75287D2D"/>
    <w:rsid w:val="75AE7B06"/>
    <w:rsid w:val="781D4384"/>
    <w:rsid w:val="7924080B"/>
    <w:rsid w:val="7A2B5BC9"/>
    <w:rsid w:val="7BAE5AE3"/>
    <w:rsid w:val="7D2232B3"/>
    <w:rsid w:val="7F371616"/>
    <w:rsid w:val="7FA97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01"/>
    <w:basedOn w:val="4"/>
    <w:qFormat/>
    <w:uiPriority w:val="0"/>
    <w:rPr>
      <w:rFonts w:hint="eastAsia" w:ascii="宋体" w:hAnsi="宋体" w:eastAsia="宋体" w:cs="宋体"/>
      <w:color w:val="000000"/>
      <w:sz w:val="22"/>
      <w:szCs w:val="22"/>
      <w:u w:val="none"/>
    </w:rPr>
  </w:style>
  <w:style w:type="character" w:customStyle="1" w:styleId="7">
    <w:name w:val="font51"/>
    <w:qFormat/>
    <w:uiPriority w:val="0"/>
    <w:rPr>
      <w:rFonts w:hint="eastAsia" w:ascii="宋体" w:hAnsi="宋体" w:eastAsia="宋体" w:cs="宋体"/>
      <w:color w:val="000000"/>
      <w:sz w:val="24"/>
      <w:szCs w:val="24"/>
      <w:u w:val="none"/>
    </w:rPr>
  </w:style>
  <w:style w:type="character" w:customStyle="1" w:styleId="8">
    <w:name w:val="font31"/>
    <w:basedOn w:val="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4297</Words>
  <Characters>5192</Characters>
  <Lines>0</Lines>
  <Paragraphs>0</Paragraphs>
  <TotalTime>0</TotalTime>
  <ScaleCrop>false</ScaleCrop>
  <LinksUpToDate>false</LinksUpToDate>
  <CharactersWithSpaces>5544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2025-09-08T03:46:00Z</dcterms:created>
  <dc:creator>lenovo</dc:creator>
  <cp:lastModifiedBy>Administrator</cp:lastModifiedBy>
  <dcterms:modified xsi:type="dcterms:W3CDTF">2025-12-01T00:47:38Z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TemplateDocerSaveRecord">
    <vt:lpwstr>eyJoZGlkIjoiY2IzNDQxZmVhNzliNWE2NWY3NmQ0OGY4NTU0MDQ2ZjYiLCJ1c2VySWQiOiIyNzE2MzY4ODcifQ==</vt:lpwstr>
  </property>
  <property fmtid="{D5CDD505-2E9C-101B-9397-08002B2CF9AE}" pid="4" name="ICV">
    <vt:lpwstr>9C874073396740BF8C757FC2788AB617_12</vt:lpwstr>
  </property>
</Properties>
</file>