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52"/>
          <w:szCs w:val="52"/>
        </w:rPr>
      </w:pPr>
    </w:p>
    <w:p>
      <w:pPr>
        <w:jc w:val="center"/>
        <w:rPr>
          <w:rFonts w:hint="eastAsia" w:ascii="黑体" w:hAnsi="黑体" w:eastAsia="黑体" w:cs="黑体"/>
          <w:sz w:val="52"/>
          <w:szCs w:val="52"/>
        </w:rPr>
      </w:pPr>
    </w:p>
    <w:p>
      <w:pPr>
        <w:jc w:val="center"/>
        <w:rPr>
          <w:rFonts w:hint="eastAsia" w:ascii="黑体" w:hAnsi="黑体" w:eastAsia="黑体" w:cs="黑体"/>
          <w:sz w:val="52"/>
          <w:szCs w:val="52"/>
        </w:rPr>
      </w:pPr>
    </w:p>
    <w:p>
      <w:pPr>
        <w:jc w:val="center"/>
        <w:rPr>
          <w:rFonts w:hint="eastAsia" w:ascii="黑体" w:hAnsi="黑体" w:eastAsia="黑体" w:cs="黑体"/>
          <w:sz w:val="52"/>
          <w:szCs w:val="52"/>
        </w:rPr>
      </w:pPr>
    </w:p>
    <w:p>
      <w:pPr>
        <w:jc w:val="center"/>
        <w:rPr>
          <w:rFonts w:hint="eastAsia" w:ascii="黑体" w:hAnsi="黑体" w:eastAsia="黑体" w:cs="黑体"/>
          <w:sz w:val="52"/>
          <w:szCs w:val="52"/>
        </w:rPr>
      </w:pPr>
    </w:p>
    <w:p>
      <w:pPr>
        <w:jc w:val="center"/>
        <w:rPr>
          <w:rFonts w:hint="eastAsia" w:ascii="黑体" w:hAnsi="黑体" w:eastAsia="黑体" w:cs="黑体"/>
          <w:sz w:val="52"/>
          <w:szCs w:val="52"/>
        </w:rPr>
      </w:pPr>
      <w:r>
        <w:rPr>
          <w:rFonts w:hint="eastAsia" w:ascii="黑体" w:hAnsi="黑体" w:eastAsia="黑体" w:cs="黑体"/>
          <w:sz w:val="52"/>
          <w:szCs w:val="52"/>
        </w:rPr>
        <w:t>20</w:t>
      </w:r>
      <w:r>
        <w:rPr>
          <w:rFonts w:ascii="黑体" w:hAnsi="黑体" w:eastAsia="黑体" w:cs="黑体"/>
          <w:sz w:val="52"/>
          <w:szCs w:val="52"/>
        </w:rPr>
        <w:t>2</w:t>
      </w:r>
      <w:r>
        <w:rPr>
          <w:rFonts w:hint="eastAsia" w:ascii="黑体" w:hAnsi="黑体" w:eastAsia="黑体" w:cs="黑体"/>
          <w:sz w:val="52"/>
          <w:szCs w:val="52"/>
        </w:rPr>
        <w:t>4年度</w:t>
      </w:r>
    </w:p>
    <w:p>
      <w:pPr>
        <w:jc w:val="center"/>
        <w:rPr>
          <w:rFonts w:hint="eastAsia" w:ascii="黑体" w:hAnsi="黑体" w:eastAsia="黑体" w:cs="黑体"/>
          <w:sz w:val="52"/>
          <w:szCs w:val="52"/>
        </w:rPr>
      </w:pPr>
      <w:r>
        <w:rPr>
          <w:rFonts w:hint="eastAsia" w:ascii="黑体" w:hAnsi="黑体" w:eastAsia="黑体" w:cs="黑体"/>
          <w:sz w:val="52"/>
          <w:szCs w:val="52"/>
        </w:rPr>
        <w:t>信阳市第六高级中学</w:t>
      </w:r>
      <w:r>
        <w:rPr>
          <w:rFonts w:hint="eastAsia" w:ascii="黑体" w:hAnsi="黑体" w:eastAsia="黑体" w:cs="黑体"/>
          <w:sz w:val="52"/>
          <w:szCs w:val="52"/>
          <w:lang w:eastAsia="zh-CN"/>
        </w:rPr>
        <w:t>部门</w:t>
      </w:r>
      <w:bookmarkStart w:id="2" w:name="_GoBack"/>
      <w:bookmarkEnd w:id="2"/>
      <w:r>
        <w:rPr>
          <w:rFonts w:hint="eastAsia" w:ascii="黑体" w:hAnsi="黑体" w:eastAsia="黑体" w:cs="黑体"/>
          <w:sz w:val="52"/>
          <w:szCs w:val="52"/>
        </w:rPr>
        <w:t>决算</w:t>
      </w:r>
    </w:p>
    <w:p>
      <w:pPr>
        <w:jc w:val="center"/>
        <w:rPr>
          <w:rFonts w:hint="eastAsia" w:ascii="黑体" w:hAnsi="黑体" w:eastAsia="黑体" w:cs="黑体"/>
          <w:sz w:val="52"/>
          <w:szCs w:val="52"/>
        </w:rPr>
      </w:pPr>
    </w:p>
    <w:p>
      <w:pPr>
        <w:jc w:val="center"/>
        <w:rPr>
          <w:rFonts w:hint="eastAsia" w:ascii="黑体" w:hAnsi="黑体" w:eastAsia="黑体" w:cs="黑体"/>
          <w:sz w:val="52"/>
          <w:szCs w:val="52"/>
        </w:rPr>
      </w:pPr>
    </w:p>
    <w:p>
      <w:pPr>
        <w:jc w:val="center"/>
        <w:rPr>
          <w:rFonts w:hint="eastAsia" w:ascii="黑体" w:hAnsi="黑体" w:eastAsia="黑体" w:cs="黑体"/>
          <w:sz w:val="52"/>
          <w:szCs w:val="52"/>
        </w:rPr>
      </w:pPr>
    </w:p>
    <w:p>
      <w:pPr>
        <w:ind w:firstLine="3840" w:firstLineChars="1200"/>
        <w:rPr>
          <w:rFonts w:hint="eastAsia" w:ascii="黑体" w:hAnsi="黑体" w:eastAsia="黑体" w:cs="黑体"/>
          <w:sz w:val="32"/>
          <w:szCs w:val="32"/>
        </w:rPr>
      </w:pPr>
    </w:p>
    <w:p>
      <w:pPr>
        <w:ind w:firstLine="3840" w:firstLineChars="1200"/>
        <w:rPr>
          <w:rFonts w:hint="eastAsia" w:ascii="黑体" w:hAnsi="黑体" w:eastAsia="黑体" w:cs="黑体"/>
          <w:sz w:val="32"/>
          <w:szCs w:val="32"/>
        </w:rPr>
        <w:sectPr>
          <w:pgSz w:w="11906" w:h="16838"/>
          <w:pgMar w:top="1440" w:right="1531" w:bottom="1440" w:left="1587" w:header="850" w:footer="992" w:gutter="0"/>
          <w:pgNumType w:fmt="numberInDash"/>
          <w:cols w:space="720" w:num="1"/>
          <w:docGrid w:type="lines" w:linePitch="317" w:charSpace="0"/>
        </w:sectPr>
      </w:pPr>
      <w:r>
        <w:rPr>
          <w:rFonts w:hint="eastAsia" w:ascii="黑体" w:hAnsi="黑体" w:eastAsia="黑体" w:cs="黑体"/>
          <w:sz w:val="32"/>
          <w:szCs w:val="32"/>
        </w:rPr>
        <w:t>二〇二五年</w:t>
      </w:r>
      <w:r>
        <w:rPr>
          <w:rFonts w:hint="eastAsia" w:ascii="黑体" w:hAnsi="黑体" w:eastAsia="黑体" w:cs="黑体"/>
          <w:sz w:val="32"/>
          <w:szCs w:val="32"/>
          <w:lang w:eastAsia="zh-CN"/>
        </w:rPr>
        <w:t>九</w:t>
      </w:r>
      <w:r>
        <w:rPr>
          <w:rFonts w:hint="eastAsia" w:ascii="黑体" w:hAnsi="黑体" w:eastAsia="黑体" w:cs="黑体"/>
          <w:sz w:val="32"/>
          <w:szCs w:val="32"/>
        </w:rPr>
        <w:t>月</w:t>
      </w:r>
    </w:p>
    <w:p>
      <w:pPr>
        <w:jc w:val="center"/>
        <w:rPr>
          <w:rFonts w:hint="eastAsia" w:ascii="黑体" w:hAnsi="黑体" w:eastAsia="黑体" w:cs="黑体"/>
          <w:sz w:val="36"/>
          <w:szCs w:val="36"/>
        </w:rPr>
      </w:pPr>
      <w:r>
        <w:rPr>
          <w:rFonts w:hint="eastAsia" w:ascii="黑体" w:hAnsi="黑体" w:eastAsia="黑体" w:cs="黑体"/>
          <w:sz w:val="36"/>
          <w:szCs w:val="36"/>
        </w:rPr>
        <w:t>目　　录</w:t>
      </w:r>
    </w:p>
    <w:p>
      <w:pPr>
        <w:jc w:val="left"/>
        <w:rPr>
          <w:rFonts w:hint="eastAsia" w:ascii="黑体" w:hAnsi="黑体" w:eastAsia="黑体" w:cs="黑体"/>
          <w:sz w:val="32"/>
          <w:szCs w:val="32"/>
        </w:rPr>
      </w:pPr>
      <w:r>
        <w:rPr>
          <w:rFonts w:hint="eastAsia" w:ascii="黑体" w:hAnsi="黑体" w:eastAsia="黑体" w:cs="黑体"/>
          <w:sz w:val="32"/>
          <w:szCs w:val="32"/>
        </w:rPr>
        <w:t>第一部分　</w:t>
      </w:r>
      <w:r>
        <w:rPr>
          <w:rFonts w:hint="eastAsia" w:ascii="黑体" w:hAnsi="黑体" w:eastAsia="黑体" w:cs="黑体"/>
          <w:sz w:val="28"/>
          <w:szCs w:val="28"/>
        </w:rPr>
        <w:t>信阳市第六高级中学</w:t>
      </w:r>
      <w:r>
        <w:rPr>
          <w:rFonts w:hint="eastAsia" w:ascii="黑体" w:hAnsi="黑体" w:eastAsia="黑体" w:cs="黑体"/>
          <w:sz w:val="32"/>
          <w:szCs w:val="32"/>
        </w:rPr>
        <w:t>概况</w:t>
      </w:r>
    </w:p>
    <w:p>
      <w:pPr>
        <w:numPr>
          <w:ilvl w:val="0"/>
          <w:numId w:val="1"/>
        </w:numPr>
        <w:ind w:firstLine="640" w:firstLineChars="200"/>
        <w:jc w:val="left"/>
        <w:rPr>
          <w:rFonts w:hint="eastAsia" w:ascii="宋体" w:hAnsi="宋体" w:cs="宋体"/>
          <w:sz w:val="32"/>
          <w:szCs w:val="32"/>
        </w:rPr>
      </w:pPr>
      <w:r>
        <w:rPr>
          <w:rFonts w:hint="eastAsia" w:ascii="宋体" w:hAnsi="宋体" w:cs="宋体"/>
          <w:sz w:val="32"/>
          <w:szCs w:val="32"/>
        </w:rPr>
        <w:t>单位职责</w:t>
      </w:r>
    </w:p>
    <w:p>
      <w:pPr>
        <w:numPr>
          <w:ilvl w:val="0"/>
          <w:numId w:val="1"/>
        </w:numPr>
        <w:ind w:firstLine="640" w:firstLineChars="200"/>
        <w:jc w:val="left"/>
        <w:rPr>
          <w:rFonts w:hint="eastAsia" w:ascii="宋体" w:hAnsi="宋体" w:cs="宋体"/>
          <w:sz w:val="32"/>
          <w:szCs w:val="32"/>
        </w:rPr>
      </w:pPr>
      <w:r>
        <w:rPr>
          <w:rFonts w:hint="eastAsia" w:ascii="宋体" w:hAnsi="宋体" w:cs="宋体"/>
          <w:sz w:val="32"/>
          <w:szCs w:val="32"/>
        </w:rPr>
        <w:t>机构设置</w:t>
      </w:r>
    </w:p>
    <w:p>
      <w:pPr>
        <w:jc w:val="left"/>
        <w:rPr>
          <w:rFonts w:hint="eastAsia" w:ascii="黑体" w:hAnsi="黑体" w:eastAsia="黑体" w:cs="黑体"/>
          <w:sz w:val="32"/>
          <w:szCs w:val="32"/>
        </w:rPr>
      </w:pPr>
      <w:r>
        <w:rPr>
          <w:rFonts w:hint="eastAsia" w:ascii="黑体" w:hAnsi="黑体" w:eastAsia="黑体" w:cs="黑体"/>
          <w:sz w:val="32"/>
          <w:szCs w:val="32"/>
        </w:rPr>
        <w:t>第二部分  2024年度单位决算表</w:t>
      </w:r>
    </w:p>
    <w:p>
      <w:pPr>
        <w:ind w:firstLine="640" w:firstLineChars="200"/>
        <w:jc w:val="left"/>
        <w:rPr>
          <w:rFonts w:hint="eastAsia" w:ascii="宋体" w:hAnsi="宋体" w:cs="黑体"/>
          <w:sz w:val="32"/>
          <w:szCs w:val="32"/>
        </w:rPr>
      </w:pPr>
      <w:r>
        <w:rPr>
          <w:rFonts w:hint="eastAsia" w:ascii="宋体" w:hAnsi="宋体" w:cs="黑体"/>
          <w:sz w:val="32"/>
          <w:szCs w:val="32"/>
        </w:rPr>
        <w:t>一、收入支出决算总表</w:t>
      </w:r>
    </w:p>
    <w:p>
      <w:pPr>
        <w:ind w:firstLine="640" w:firstLineChars="200"/>
        <w:jc w:val="left"/>
        <w:rPr>
          <w:rFonts w:hint="eastAsia" w:ascii="宋体" w:hAnsi="宋体" w:cs="黑体"/>
          <w:sz w:val="32"/>
          <w:szCs w:val="32"/>
        </w:rPr>
      </w:pPr>
      <w:r>
        <w:rPr>
          <w:rFonts w:hint="eastAsia" w:ascii="宋体" w:hAnsi="宋体" w:cs="黑体"/>
          <w:sz w:val="32"/>
          <w:szCs w:val="32"/>
        </w:rPr>
        <w:t>二、收入决算表</w:t>
      </w:r>
    </w:p>
    <w:p>
      <w:pPr>
        <w:ind w:firstLine="640" w:firstLineChars="200"/>
        <w:jc w:val="left"/>
        <w:rPr>
          <w:rFonts w:hint="eastAsia" w:ascii="宋体" w:hAnsi="宋体" w:cs="黑体"/>
          <w:sz w:val="32"/>
          <w:szCs w:val="32"/>
        </w:rPr>
      </w:pPr>
      <w:r>
        <w:rPr>
          <w:rFonts w:hint="eastAsia" w:ascii="宋体" w:hAnsi="宋体" w:cs="黑体"/>
          <w:sz w:val="32"/>
          <w:szCs w:val="32"/>
        </w:rPr>
        <w:t>三、支出决算表</w:t>
      </w:r>
    </w:p>
    <w:p>
      <w:pPr>
        <w:ind w:firstLine="640" w:firstLineChars="200"/>
        <w:jc w:val="left"/>
        <w:rPr>
          <w:rFonts w:hint="eastAsia" w:ascii="宋体" w:hAnsi="宋体" w:cs="黑体"/>
          <w:sz w:val="32"/>
          <w:szCs w:val="32"/>
        </w:rPr>
      </w:pPr>
      <w:r>
        <w:rPr>
          <w:rFonts w:hint="eastAsia" w:ascii="宋体" w:hAnsi="宋体" w:cs="黑体"/>
          <w:sz w:val="32"/>
          <w:szCs w:val="32"/>
        </w:rPr>
        <w:t>四、财政拨款收入支出决算总表</w:t>
      </w:r>
    </w:p>
    <w:p>
      <w:pPr>
        <w:ind w:firstLine="640" w:firstLineChars="200"/>
        <w:jc w:val="left"/>
        <w:rPr>
          <w:rFonts w:hint="eastAsia" w:ascii="宋体" w:hAnsi="宋体" w:cs="黑体"/>
          <w:sz w:val="32"/>
          <w:szCs w:val="32"/>
        </w:rPr>
      </w:pPr>
      <w:r>
        <w:rPr>
          <w:rFonts w:hint="eastAsia" w:ascii="宋体" w:hAnsi="宋体" w:cs="黑体"/>
          <w:sz w:val="32"/>
          <w:szCs w:val="32"/>
        </w:rPr>
        <w:t>五、一般公共预算财政拨款支出决算表</w:t>
      </w:r>
    </w:p>
    <w:p>
      <w:pPr>
        <w:ind w:firstLine="640" w:firstLineChars="200"/>
        <w:jc w:val="left"/>
        <w:rPr>
          <w:rFonts w:hint="eastAsia" w:ascii="宋体" w:hAnsi="宋体" w:cs="黑体"/>
          <w:sz w:val="32"/>
          <w:szCs w:val="32"/>
        </w:rPr>
      </w:pPr>
      <w:r>
        <w:rPr>
          <w:rFonts w:hint="eastAsia" w:ascii="宋体" w:hAnsi="宋体" w:cs="黑体"/>
          <w:sz w:val="32"/>
          <w:szCs w:val="32"/>
        </w:rPr>
        <w:t>六、一般公共预算财政拨款基本支出决算明细表</w:t>
      </w:r>
    </w:p>
    <w:p>
      <w:pPr>
        <w:ind w:firstLine="640" w:firstLineChars="200"/>
        <w:jc w:val="left"/>
        <w:rPr>
          <w:rFonts w:hint="eastAsia" w:ascii="宋体" w:hAnsi="宋体" w:cs="黑体"/>
          <w:sz w:val="32"/>
          <w:szCs w:val="32"/>
        </w:rPr>
      </w:pPr>
      <w:r>
        <w:rPr>
          <w:rFonts w:hint="eastAsia" w:ascii="宋体" w:hAnsi="宋体" w:cs="黑体"/>
          <w:sz w:val="32"/>
          <w:szCs w:val="32"/>
        </w:rPr>
        <w:t>七、政府性基金预算财政拨款收入支出决算表</w:t>
      </w:r>
    </w:p>
    <w:p>
      <w:pPr>
        <w:ind w:firstLine="640" w:firstLineChars="200"/>
        <w:jc w:val="left"/>
        <w:rPr>
          <w:rFonts w:hint="eastAsia" w:ascii="宋体" w:hAnsi="宋体" w:cs="黑体"/>
          <w:sz w:val="32"/>
          <w:szCs w:val="32"/>
        </w:rPr>
      </w:pPr>
      <w:r>
        <w:rPr>
          <w:rFonts w:hint="eastAsia" w:ascii="宋体" w:hAnsi="宋体" w:cs="黑体"/>
          <w:sz w:val="32"/>
          <w:szCs w:val="32"/>
        </w:rPr>
        <w:t>八、国有</w:t>
      </w:r>
      <w:r>
        <w:rPr>
          <w:rFonts w:ascii="宋体" w:hAnsi="宋体" w:cs="黑体"/>
          <w:sz w:val="32"/>
          <w:szCs w:val="32"/>
        </w:rPr>
        <w:t>资本经营预算财政拨款</w:t>
      </w:r>
      <w:r>
        <w:rPr>
          <w:rFonts w:hint="eastAsia" w:ascii="宋体" w:hAnsi="宋体" w:cs="黑体"/>
          <w:sz w:val="32"/>
          <w:szCs w:val="32"/>
        </w:rPr>
        <w:t>支出决算表</w:t>
      </w:r>
    </w:p>
    <w:p>
      <w:pPr>
        <w:ind w:firstLine="640" w:firstLineChars="200"/>
        <w:jc w:val="left"/>
        <w:rPr>
          <w:rFonts w:hint="eastAsia" w:ascii="宋体" w:hAnsi="宋体" w:cs="黑体"/>
          <w:sz w:val="32"/>
          <w:szCs w:val="32"/>
        </w:rPr>
      </w:pPr>
      <w:r>
        <w:rPr>
          <w:rFonts w:hint="eastAsia" w:ascii="宋体" w:hAnsi="宋体" w:cs="黑体"/>
          <w:sz w:val="32"/>
          <w:szCs w:val="32"/>
        </w:rPr>
        <w:t>九、财政拨款“三公”经费支出决算表</w:t>
      </w:r>
    </w:p>
    <w:p>
      <w:pPr>
        <w:jc w:val="left"/>
        <w:rPr>
          <w:rFonts w:hint="eastAsia" w:ascii="黑体" w:hAnsi="黑体" w:eastAsia="黑体" w:cs="黑体"/>
          <w:sz w:val="32"/>
          <w:szCs w:val="32"/>
        </w:rPr>
      </w:pPr>
      <w:r>
        <w:rPr>
          <w:rFonts w:hint="eastAsia" w:ascii="黑体" w:hAnsi="黑体" w:eastAsia="黑体" w:cs="黑体"/>
          <w:sz w:val="32"/>
          <w:szCs w:val="32"/>
        </w:rPr>
        <w:t>第三部分　</w:t>
      </w:r>
      <w:r>
        <w:rPr>
          <w:rFonts w:ascii="黑体" w:hAnsi="黑体" w:eastAsia="黑体" w:cs="黑体"/>
          <w:sz w:val="32"/>
          <w:szCs w:val="32"/>
        </w:rPr>
        <w:t>202</w:t>
      </w:r>
      <w:r>
        <w:rPr>
          <w:rFonts w:hint="eastAsia" w:ascii="黑体" w:hAnsi="黑体" w:eastAsia="黑体" w:cs="黑体"/>
          <w:sz w:val="32"/>
          <w:szCs w:val="32"/>
        </w:rPr>
        <w:t>4年度</w:t>
      </w:r>
      <w:r>
        <w:rPr>
          <w:rFonts w:ascii="黑体" w:hAnsi="黑体" w:eastAsia="黑体" w:cs="黑体"/>
          <w:sz w:val="32"/>
          <w:szCs w:val="32"/>
        </w:rPr>
        <w:t>单位</w:t>
      </w:r>
      <w:r>
        <w:rPr>
          <w:rFonts w:hint="eastAsia" w:ascii="黑体" w:hAnsi="黑体" w:eastAsia="黑体" w:cs="黑体"/>
          <w:sz w:val="32"/>
          <w:szCs w:val="32"/>
        </w:rPr>
        <w:t>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一、收入支出决算总体情况说明</w:t>
      </w:r>
    </w:p>
    <w:p>
      <w:pPr>
        <w:ind w:firstLine="640" w:firstLineChars="200"/>
        <w:jc w:val="left"/>
        <w:rPr>
          <w:rFonts w:hint="eastAsia" w:ascii="宋体" w:hAnsi="宋体" w:cs="宋体"/>
          <w:sz w:val="32"/>
          <w:szCs w:val="32"/>
        </w:rPr>
      </w:pPr>
      <w:r>
        <w:rPr>
          <w:rFonts w:hint="eastAsia" w:ascii="宋体" w:hAnsi="宋体" w:cs="宋体"/>
          <w:sz w:val="32"/>
          <w:szCs w:val="32"/>
        </w:rPr>
        <w:t>二、收入决算情况说明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三、支出决算情况说明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四、财政拨款收入支出决算总体情况说明</w:t>
      </w:r>
    </w:p>
    <w:p>
      <w:pPr>
        <w:ind w:firstLine="640" w:firstLineChars="200"/>
        <w:jc w:val="left"/>
        <w:rPr>
          <w:rFonts w:hint="eastAsia" w:ascii="宋体" w:hAnsi="宋体" w:cs="宋体"/>
          <w:sz w:val="32"/>
          <w:szCs w:val="32"/>
        </w:rPr>
      </w:pPr>
      <w:r>
        <w:rPr>
          <w:rFonts w:hint="eastAsia" w:ascii="宋体" w:hAnsi="宋体" w:cs="宋体"/>
          <w:sz w:val="32"/>
          <w:szCs w:val="32"/>
        </w:rPr>
        <w:t>五、一般公共预算财政拨款支出决算情况说明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六、一般公共预算财政拨款基本支出决算情况说明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七、政府性基金预算财政拨款支出决算情况说明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八、国有资本</w:t>
      </w:r>
      <w:r>
        <w:rPr>
          <w:rFonts w:ascii="宋体" w:hAnsi="宋体" w:cs="宋体"/>
          <w:sz w:val="32"/>
          <w:szCs w:val="32"/>
        </w:rPr>
        <w:t>经营</w:t>
      </w:r>
      <w:r>
        <w:rPr>
          <w:rFonts w:hint="eastAsia" w:ascii="宋体" w:hAnsi="宋体" w:cs="宋体"/>
          <w:sz w:val="32"/>
          <w:szCs w:val="32"/>
        </w:rPr>
        <w:t>预算财政拨款支出决算情况说明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九、财政拨款“三公”经费支出决算情况说明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十、机关运行经费支出情况说明</w:t>
      </w:r>
    </w:p>
    <w:p>
      <w:pPr>
        <w:ind w:firstLine="640" w:firstLineChars="200"/>
        <w:jc w:val="left"/>
        <w:rPr>
          <w:rFonts w:hint="eastAsia" w:ascii="宋体" w:hAnsi="宋体" w:cs="宋体"/>
          <w:sz w:val="32"/>
          <w:szCs w:val="32"/>
        </w:rPr>
      </w:pPr>
      <w:r>
        <w:rPr>
          <w:rFonts w:hint="eastAsia" w:ascii="宋体" w:hAnsi="宋体" w:cs="宋体"/>
          <w:sz w:val="32"/>
          <w:szCs w:val="32"/>
        </w:rPr>
        <w:t>十一、政府采购支出情况说明</w:t>
      </w:r>
    </w:p>
    <w:p>
      <w:pPr>
        <w:ind w:firstLine="640" w:firstLineChars="200"/>
        <w:jc w:val="left"/>
        <w:rPr>
          <w:rFonts w:hint="eastAsia" w:ascii="宋体" w:hAnsi="宋体" w:cs="宋体"/>
          <w:sz w:val="32"/>
          <w:szCs w:val="32"/>
        </w:rPr>
      </w:pPr>
      <w:r>
        <w:rPr>
          <w:rFonts w:hint="eastAsia" w:ascii="宋体" w:hAnsi="宋体" w:cs="宋体"/>
          <w:sz w:val="32"/>
          <w:szCs w:val="32"/>
        </w:rPr>
        <w:t>十二、国有资产占用情况说明</w:t>
      </w:r>
    </w:p>
    <w:p>
      <w:pPr>
        <w:ind w:firstLine="640" w:firstLineChars="200"/>
        <w:jc w:val="left"/>
        <w:rPr>
          <w:rFonts w:hint="eastAsia" w:ascii="宋体" w:hAnsi="宋体" w:cs="宋体"/>
          <w:sz w:val="32"/>
          <w:szCs w:val="32"/>
        </w:rPr>
      </w:pPr>
      <w:r>
        <w:rPr>
          <w:rFonts w:hint="eastAsia" w:ascii="宋体" w:hAnsi="宋体" w:cs="宋体"/>
          <w:sz w:val="32"/>
          <w:szCs w:val="32"/>
        </w:rPr>
        <w:t>十三、预算绩效情况说明</w:t>
      </w:r>
    </w:p>
    <w:p>
      <w:pPr>
        <w:jc w:val="left"/>
        <w:rPr>
          <w:rFonts w:hint="eastAsia" w:ascii="黑体" w:hAnsi="黑体" w:eastAsia="黑体" w:cs="黑体"/>
          <w:sz w:val="32"/>
          <w:szCs w:val="32"/>
        </w:rPr>
      </w:pPr>
      <w:r>
        <w:rPr>
          <w:rFonts w:hint="eastAsia" w:ascii="黑体" w:hAnsi="黑体" w:eastAsia="黑体" w:cs="黑体"/>
          <w:sz w:val="32"/>
          <w:szCs w:val="32"/>
        </w:rPr>
        <w:t>第四部分　　名词解释</w:t>
      </w: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outlineLvl w:val="0"/>
        <w:rPr>
          <w:rFonts w:hint="eastAsia" w:ascii="黑体" w:hAnsi="宋体" w:eastAsia="黑体" w:cs="宋体"/>
          <w:kern w:val="0"/>
          <w:sz w:val="28"/>
          <w:szCs w:val="28"/>
        </w:rPr>
      </w:pPr>
      <w:r>
        <w:rPr>
          <w:rFonts w:hint="eastAsia" w:ascii="黑体" w:hAnsi="黑体" w:eastAsia="黑体" w:cs="黑体"/>
          <w:sz w:val="48"/>
          <w:szCs w:val="48"/>
        </w:rPr>
        <w:t xml:space="preserve">第一部分 </w:t>
      </w:r>
      <w:r>
        <w:rPr>
          <w:rFonts w:hint="eastAsia" w:eastAsia="仿宋_GB2312"/>
          <w:b/>
          <w:bCs/>
          <w:sz w:val="48"/>
          <w:szCs w:val="48"/>
        </w:rPr>
        <w:t>信阳市第六高级中学</w:t>
      </w:r>
      <w:r>
        <w:rPr>
          <w:rFonts w:hint="eastAsia" w:ascii="黑体" w:hAnsi="黑体" w:eastAsia="黑体" w:cs="黑体"/>
          <w:sz w:val="48"/>
          <w:szCs w:val="48"/>
        </w:rPr>
        <w:t>概况</w:t>
      </w:r>
    </w:p>
    <w:p>
      <w:pPr>
        <w:widowControl/>
        <w:ind w:firstLine="640" w:firstLineChars="200"/>
        <w:jc w:val="left"/>
        <w:outlineLvl w:val="1"/>
        <w:rPr>
          <w:rFonts w:hint="eastAsia" w:ascii="黑体" w:hAnsi="黑体" w:eastAsia="黑体" w:cs="黑体"/>
          <w:kern w:val="0"/>
          <w:sz w:val="32"/>
          <w:szCs w:val="32"/>
        </w:rPr>
      </w:pPr>
    </w:p>
    <w:p>
      <w:pPr>
        <w:widowControl/>
        <w:ind w:firstLine="640" w:firstLineChars="200"/>
        <w:jc w:val="left"/>
        <w:outlineLvl w:val="1"/>
        <w:rPr>
          <w:rFonts w:hint="eastAsia" w:ascii="黑体" w:hAnsi="黑体" w:eastAsia="黑体" w:cs="黑体"/>
          <w:kern w:val="0"/>
          <w:sz w:val="32"/>
          <w:szCs w:val="32"/>
        </w:rPr>
      </w:pPr>
      <w:r>
        <w:rPr>
          <w:rFonts w:hint="eastAsia" w:ascii="黑体" w:hAnsi="黑体" w:eastAsia="黑体" w:cs="黑体"/>
          <w:kern w:val="0"/>
          <w:sz w:val="32"/>
          <w:szCs w:val="32"/>
        </w:rPr>
        <w:t>一、单位</w:t>
      </w:r>
      <w:r>
        <w:rPr>
          <w:rFonts w:hint="eastAsia" w:ascii="黑体" w:hAnsi="黑体" w:eastAsia="黑体" w:cs="黑体"/>
          <w:bCs/>
          <w:sz w:val="32"/>
          <w:szCs w:val="32"/>
        </w:rPr>
        <w:t>职责</w:t>
      </w:r>
    </w:p>
    <w:p>
      <w:pPr>
        <w:widowControl/>
        <w:ind w:firstLine="600" w:firstLineChars="200"/>
        <w:jc w:val="left"/>
        <w:outlineLvl w:val="1"/>
        <w:rPr>
          <w:rFonts w:ascii="仿宋_GB2312" w:eastAsia="仿宋_GB2312"/>
          <w:sz w:val="32"/>
          <w:szCs w:val="32"/>
        </w:rPr>
      </w:pPr>
      <w:bookmarkStart w:id="0" w:name="PO_part1Responsibilities2"/>
      <w:r>
        <w:rPr>
          <w:rFonts w:hint="eastAsia" w:eastAsia="仿宋_GB2312"/>
          <w:sz w:val="30"/>
          <w:szCs w:val="30"/>
        </w:rPr>
        <w:t>信阳市第六高级中学是财政补助事业单位。</w:t>
      </w:r>
      <w:bookmarkEnd w:id="0"/>
      <w:r>
        <w:rPr>
          <w:rFonts w:hint="eastAsia" w:ascii="仿宋_GB2312" w:eastAsia="仿宋_GB2312"/>
          <w:sz w:val="32"/>
          <w:szCs w:val="32"/>
        </w:rPr>
        <w:t>主要负责高中教育阶段中学生教育，及教师业绩考核，职称评聘，并对上级拨付的公用经费进行调配使用。</w:t>
      </w:r>
    </w:p>
    <w:p>
      <w:pPr>
        <w:widowControl/>
        <w:ind w:firstLine="640" w:firstLineChars="200"/>
        <w:jc w:val="left"/>
        <w:outlineLvl w:val="1"/>
        <w:rPr>
          <w:rFonts w:hint="eastAsia" w:ascii="黑体" w:hAnsi="黑体" w:eastAsia="黑体" w:cs="黑体"/>
          <w:kern w:val="0"/>
          <w:sz w:val="32"/>
          <w:szCs w:val="32"/>
        </w:rPr>
      </w:pPr>
      <w:r>
        <w:rPr>
          <w:rFonts w:hint="eastAsia" w:ascii="黑体" w:hAnsi="黑体" w:eastAsia="黑体" w:cs="黑体"/>
          <w:kern w:val="0"/>
          <w:sz w:val="32"/>
          <w:szCs w:val="32"/>
        </w:rPr>
        <w:t>二、机构设置</w:t>
      </w:r>
    </w:p>
    <w:p>
      <w:pPr>
        <w:widowControl/>
        <w:jc w:val="left"/>
        <w:rPr>
          <w:rFonts w:ascii="仿宋_GB2312" w:eastAsia="仿宋_GB2312"/>
          <w:sz w:val="32"/>
          <w:szCs w:val="32"/>
        </w:rPr>
      </w:pPr>
      <w:r>
        <w:rPr>
          <w:rFonts w:hint="eastAsia" w:eastAsia="仿宋_GB2312"/>
          <w:sz w:val="30"/>
          <w:szCs w:val="30"/>
        </w:rPr>
        <w:t>信阳市第六高级中学</w:t>
      </w:r>
      <w:r>
        <w:rPr>
          <w:rFonts w:ascii="仿宋_GB2312" w:eastAsia="仿宋_GB2312"/>
          <w:sz w:val="32"/>
          <w:szCs w:val="32"/>
        </w:rPr>
        <w:t>7</w:t>
      </w:r>
      <w:r>
        <w:rPr>
          <w:rFonts w:hint="eastAsia" w:ascii="仿宋_GB2312" w:eastAsia="仿宋_GB2312"/>
          <w:sz w:val="32"/>
          <w:szCs w:val="32"/>
        </w:rPr>
        <w:t>个内设机构。分别是办公室、总务处、教务处、政教处、团委办、工会办、教科研室。根据以上内设机构职能，共有编制317人，其中：事业编制317人.</w:t>
      </w:r>
    </w:p>
    <w:p>
      <w:pPr>
        <w:adjustRightInd w:val="0"/>
        <w:snapToGrid w:val="0"/>
        <w:spacing w:line="560" w:lineRule="exact"/>
        <w:ind w:firstLine="600" w:firstLineChars="200"/>
        <w:jc w:val="left"/>
        <w:rPr>
          <w:rFonts w:hint="eastAsia" w:ascii="仿宋" w:hAnsi="仿宋" w:eastAsia="仿宋" w:cs="宋体"/>
          <w:kern w:val="0"/>
          <w:sz w:val="32"/>
          <w:szCs w:val="32"/>
        </w:rPr>
      </w:pPr>
      <w:r>
        <w:rPr>
          <w:rFonts w:hint="eastAsia" w:eastAsia="仿宋_GB2312"/>
          <w:sz w:val="30"/>
          <w:szCs w:val="30"/>
        </w:rPr>
        <w:t>本单位为平桥区区直学校，信阳市第六高级中学。此次公开的预算“无下属机构及其他预算单位”仅有本单位决算。</w:t>
      </w:r>
    </w:p>
    <w:p>
      <w:pPr>
        <w:jc w:val="center"/>
        <w:rPr>
          <w:rFonts w:hint="eastAsia" w:ascii="黑体" w:hAnsi="黑体" w:eastAsia="黑体" w:cs="方正小标宋简体"/>
          <w:sz w:val="44"/>
          <w:szCs w:val="44"/>
        </w:rPr>
      </w:pPr>
    </w:p>
    <w:p>
      <w:pPr>
        <w:widowControl/>
        <w:jc w:val="left"/>
        <w:rPr>
          <w:rFonts w:ascii="仿宋_GB2312" w:eastAsia="仿宋_GB2312"/>
          <w:sz w:val="32"/>
          <w:szCs w:val="32"/>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jc w:val="center"/>
        <w:outlineLvl w:val="0"/>
        <w:rPr>
          <w:rFonts w:hint="eastAsia" w:ascii="黑体" w:hAnsi="黑体" w:eastAsia="黑体" w:cs="黑体"/>
          <w:sz w:val="48"/>
          <w:szCs w:val="48"/>
        </w:rPr>
      </w:pPr>
      <w:r>
        <w:rPr>
          <w:rFonts w:hint="eastAsia" w:ascii="黑体" w:hAnsi="黑体" w:eastAsia="黑体" w:cs="黑体"/>
          <w:sz w:val="48"/>
          <w:szCs w:val="48"/>
        </w:rPr>
        <w:t>第二部分  2024年度部门决算表</w:t>
      </w: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sectPr>
          <w:footerReference r:id="rId3" w:type="default"/>
          <w:footerReference r:id="rId4" w:type="even"/>
          <w:pgSz w:w="11906" w:h="16838"/>
          <w:pgMar w:top="1440" w:right="1800" w:bottom="1440" w:left="1800" w:header="720" w:footer="720" w:gutter="0"/>
          <w:pgNumType w:fmt="numberInDash"/>
          <w:cols w:space="720" w:num="1"/>
          <w:docGrid w:type="lines" w:linePitch="312" w:charSpace="0"/>
        </w:sectPr>
      </w:pPr>
    </w:p>
    <w:tbl>
      <w:tblPr>
        <w:tblStyle w:val="16"/>
        <w:tblW w:w="12015" w:type="dxa"/>
        <w:tblInd w:w="93" w:type="dxa"/>
        <w:tblLayout w:type="autofit"/>
        <w:tblCellMar>
          <w:top w:w="0" w:type="dxa"/>
          <w:left w:w="108" w:type="dxa"/>
          <w:bottom w:w="0" w:type="dxa"/>
          <w:right w:w="108" w:type="dxa"/>
        </w:tblCellMar>
      </w:tblPr>
      <w:tblGrid>
        <w:gridCol w:w="4209"/>
        <w:gridCol w:w="739"/>
        <w:gridCol w:w="1854"/>
        <w:gridCol w:w="3961"/>
        <w:gridCol w:w="739"/>
        <w:gridCol w:w="1854"/>
      </w:tblGrid>
      <w:tr>
        <w:tblPrEx>
          <w:tblCellMar>
            <w:top w:w="0" w:type="dxa"/>
            <w:left w:w="108" w:type="dxa"/>
            <w:bottom w:w="0" w:type="dxa"/>
            <w:right w:w="108" w:type="dxa"/>
          </w:tblCellMar>
        </w:tblPrEx>
        <w:trPr>
          <w:trHeight w:val="700" w:hRule="atLeast"/>
        </w:trPr>
        <w:tc>
          <w:tcPr>
            <w:tcW w:w="12015" w:type="dxa"/>
            <w:gridSpan w:val="6"/>
            <w:tcBorders>
              <w:top w:val="nil"/>
              <w:left w:val="nil"/>
              <w:bottom w:val="nil"/>
              <w:right w:val="nil"/>
            </w:tcBorders>
            <w:noWrap/>
            <w:vAlign w:val="center"/>
          </w:tcPr>
          <w:p>
            <w:pPr>
              <w:widowControl/>
              <w:jc w:val="center"/>
              <w:textAlignment w:val="center"/>
              <w:rPr>
                <w:rFonts w:hint="eastAsia" w:ascii="宋体" w:hAnsi="宋体" w:cs="宋体"/>
                <w:b/>
                <w:bCs/>
                <w:color w:val="000000"/>
                <w:sz w:val="36"/>
                <w:szCs w:val="36"/>
              </w:rPr>
            </w:pPr>
            <w:r>
              <w:rPr>
                <w:rFonts w:hint="eastAsia" w:ascii="宋体" w:hAnsi="宋体" w:cs="宋体"/>
                <w:b/>
                <w:bCs/>
                <w:color w:val="000000"/>
                <w:kern w:val="0"/>
                <w:sz w:val="36"/>
                <w:szCs w:val="36"/>
                <w:lang w:bidi="ar"/>
              </w:rPr>
              <w:t>收入支出决算总表</w:t>
            </w:r>
          </w:p>
        </w:tc>
      </w:tr>
      <w:tr>
        <w:tblPrEx>
          <w:tblCellMar>
            <w:top w:w="0" w:type="dxa"/>
            <w:left w:w="108" w:type="dxa"/>
            <w:bottom w:w="0" w:type="dxa"/>
            <w:right w:w="108" w:type="dxa"/>
          </w:tblCellMar>
        </w:tblPrEx>
        <w:trPr>
          <w:trHeight w:val="380" w:hRule="atLeast"/>
        </w:trPr>
        <w:tc>
          <w:tcPr>
            <w:tcW w:w="0" w:type="auto"/>
            <w:gridSpan w:val="6"/>
            <w:tcBorders>
              <w:top w:val="nil"/>
              <w:left w:val="nil"/>
              <w:bottom w:val="nil"/>
              <w:right w:val="nil"/>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单位：信阳市第六高级中学                                2024年度                                       公开01表</w:t>
            </w:r>
          </w:p>
        </w:tc>
      </w:tr>
      <w:tr>
        <w:tblPrEx>
          <w:tblCellMar>
            <w:top w:w="0" w:type="dxa"/>
            <w:left w:w="108" w:type="dxa"/>
            <w:bottom w:w="0" w:type="dxa"/>
            <w:right w:w="108" w:type="dxa"/>
          </w:tblCellMar>
        </w:tblPrEx>
        <w:trPr>
          <w:trHeight w:val="380" w:hRule="atLeast"/>
        </w:trPr>
        <w:tc>
          <w:tcPr>
            <w:tcW w:w="0" w:type="auto"/>
            <w:gridSpan w:val="6"/>
            <w:tcBorders>
              <w:top w:val="nil"/>
              <w:left w:val="nil"/>
              <w:bottom w:val="nil"/>
              <w:right w:val="nil"/>
            </w:tcBorders>
            <w:noWrap/>
            <w:vAlign w:val="bottom"/>
          </w:tcPr>
          <w:p>
            <w:pPr>
              <w:widowControl/>
              <w:jc w:val="left"/>
              <w:textAlignment w:val="bottom"/>
              <w:rPr>
                <w:rFonts w:hint="eastAsia" w:ascii="宋体" w:hAnsi="宋体" w:cs="宋体"/>
                <w:color w:val="000000"/>
                <w:sz w:val="18"/>
                <w:szCs w:val="18"/>
              </w:rPr>
            </w:pPr>
            <w:r>
              <w:rPr>
                <w:rFonts w:hint="eastAsia" w:ascii="宋体" w:hAnsi="宋体" w:cs="宋体"/>
                <w:color w:val="000000"/>
                <w:kern w:val="0"/>
                <w:sz w:val="18"/>
                <w:szCs w:val="18"/>
                <w:lang w:bidi="ar"/>
              </w:rPr>
              <w:t xml:space="preserve">                                                                                                                                      金额单位：元</w:t>
            </w:r>
          </w:p>
        </w:tc>
      </w:tr>
      <w:tr>
        <w:tblPrEx>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收入</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支出</w:t>
            </w: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项目</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行次</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金额</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项目</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行次</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金额</w:t>
            </w: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栏次</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栏次</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w:t>
            </w: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一、一般公共预算财政拨款收入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41,188,147.21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一、一般公共服务支出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二、政府性基金预算财政拨款收入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二、外交支出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三、国有资本经营预算财政拨款收入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三、国防支出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四、上级补助收入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四、公共安全支出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五、事业收入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5,306,270.00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五、教育支出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40,325,813.99</w:t>
            </w: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六、经营收入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六、科学技术支出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七、附属单位上缴收入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七、文化旅游体育与传媒支出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八、其他收入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7,869.74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八、社会保障和就业支出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3,529,413.12</w:t>
            </w: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九、卫生健康支出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十、节能环保支出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40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十一、城乡社区支出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41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十二、农林水支出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42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十三、交通运输支出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43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十四、资源勘探工业信息等支出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44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十五、商业服务业等支出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45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十六、金融支出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46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十七、援助其他地区支出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47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十八、自然资源海洋气象等支出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48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十九、住房保障支出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49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2,647,059.84</w:t>
            </w: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二十、粮油物资储备支出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50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二十一、国有资本经营预算支出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51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二十二、灾害防治及应急管理支出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52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二十三、其他支出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53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b/>
                <w:bCs/>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二十四、债务还本支出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54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二十五、债务付息支出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55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二十六、抗疫特别国债安排的支出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56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b/>
                <w:bCs/>
                <w:color w:val="000000"/>
                <w:sz w:val="22"/>
              </w:rPr>
            </w:pPr>
            <w:r>
              <w:rPr>
                <w:rFonts w:hint="eastAsia" w:ascii="宋体" w:hAnsi="宋体" w:cs="宋体"/>
                <w:b/>
                <w:bCs/>
                <w:color w:val="000000"/>
                <w:kern w:val="0"/>
                <w:sz w:val="22"/>
                <w:lang w:bidi="ar"/>
              </w:rPr>
              <w:t>本年收入合计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46,502,286.95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b/>
                <w:bCs/>
                <w:color w:val="000000"/>
                <w:sz w:val="22"/>
              </w:rPr>
            </w:pPr>
            <w:r>
              <w:rPr>
                <w:rFonts w:hint="eastAsia" w:ascii="宋体" w:hAnsi="宋体" w:cs="宋体"/>
                <w:b/>
                <w:bCs/>
                <w:color w:val="000000"/>
                <w:kern w:val="0"/>
                <w:sz w:val="22"/>
                <w:lang w:bidi="ar"/>
              </w:rPr>
              <w:t>本年支出合计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57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46,502,286.95</w:t>
            </w:r>
          </w:p>
        </w:tc>
      </w:tr>
      <w:tr>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auto"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使用非财政拨款结余（含专用结余）</w:t>
            </w:r>
          </w:p>
        </w:tc>
        <w:tc>
          <w:tcPr>
            <w:tcW w:w="0" w:type="auto"/>
            <w:tcBorders>
              <w:top w:val="single" w:color="000000" w:sz="4" w:space="0"/>
              <w:left w:val="single" w:color="000000" w:sz="4" w:space="0"/>
              <w:bottom w:val="single" w:color="auto"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28</w:t>
            </w:r>
          </w:p>
        </w:tc>
        <w:tc>
          <w:tcPr>
            <w:tcW w:w="0" w:type="auto"/>
            <w:tcBorders>
              <w:top w:val="single" w:color="000000" w:sz="4" w:space="0"/>
              <w:left w:val="single" w:color="000000" w:sz="4" w:space="0"/>
              <w:bottom w:val="single" w:color="auto" w:sz="4" w:space="0"/>
              <w:right w:val="single" w:color="000000" w:sz="4" w:space="0"/>
            </w:tcBorders>
            <w:noWrap/>
            <w:vAlign w:val="center"/>
          </w:tcPr>
          <w:p>
            <w:pPr>
              <w:jc w:val="right"/>
              <w:rPr>
                <w:rFonts w:hint="eastAsia" w:ascii="宋体" w:hAnsi="宋体" w:cs="宋体"/>
                <w:color w:val="000000"/>
                <w:sz w:val="22"/>
              </w:rPr>
            </w:pPr>
          </w:p>
        </w:tc>
        <w:tc>
          <w:tcPr>
            <w:tcW w:w="0" w:type="auto"/>
            <w:tcBorders>
              <w:top w:val="single" w:color="000000" w:sz="4" w:space="0"/>
              <w:left w:val="single" w:color="000000" w:sz="4" w:space="0"/>
              <w:bottom w:val="single" w:color="auto"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结余分配</w:t>
            </w:r>
          </w:p>
        </w:tc>
        <w:tc>
          <w:tcPr>
            <w:tcW w:w="0" w:type="auto"/>
            <w:tcBorders>
              <w:top w:val="single" w:color="000000" w:sz="4" w:space="0"/>
              <w:left w:val="single" w:color="000000" w:sz="4" w:space="0"/>
              <w:bottom w:val="single" w:color="auto"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58</w:t>
            </w:r>
          </w:p>
        </w:tc>
        <w:tc>
          <w:tcPr>
            <w:tcW w:w="0" w:type="auto"/>
            <w:tcBorders>
              <w:top w:val="single" w:color="000000" w:sz="4" w:space="0"/>
              <w:left w:val="single" w:color="000000" w:sz="4" w:space="0"/>
              <w:bottom w:val="single" w:color="auto"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0" w:type="auto"/>
            <w:tcBorders>
              <w:top w:val="single" w:color="auto" w:sz="4" w:space="0"/>
              <w:left w:val="single" w:color="auto" w:sz="4" w:space="0"/>
              <w:bottom w:val="single" w:color="auto" w:sz="4" w:space="0"/>
              <w:right w:val="single" w:color="auto"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年初结转和结余</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29</w:t>
            </w:r>
          </w:p>
        </w:tc>
        <w:tc>
          <w:tcPr>
            <w:tcW w:w="0" w:type="auto"/>
            <w:tcBorders>
              <w:top w:val="single" w:color="auto" w:sz="4" w:space="0"/>
              <w:left w:val="single" w:color="auto" w:sz="4" w:space="0"/>
              <w:bottom w:val="single" w:color="auto" w:sz="4" w:space="0"/>
              <w:right w:val="single" w:color="auto" w:sz="4" w:space="0"/>
            </w:tcBorders>
            <w:noWrap/>
            <w:vAlign w:val="center"/>
          </w:tcPr>
          <w:p>
            <w:pPr>
              <w:jc w:val="right"/>
              <w:rPr>
                <w:rFonts w:hint="eastAsia" w:ascii="宋体" w:hAnsi="宋体" w:cs="宋体"/>
                <w:color w:val="000000"/>
                <w:sz w:val="22"/>
              </w:rPr>
            </w:pP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年末结转和结余</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59</w:t>
            </w:r>
          </w:p>
        </w:tc>
        <w:tc>
          <w:tcPr>
            <w:tcW w:w="0" w:type="auto"/>
            <w:tcBorders>
              <w:top w:val="single" w:color="auto" w:sz="4" w:space="0"/>
              <w:left w:val="single" w:color="auto" w:sz="4" w:space="0"/>
              <w:bottom w:val="single" w:color="auto" w:sz="4" w:space="0"/>
              <w:right w:val="single" w:color="auto"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0" w:type="auto"/>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宋体" w:hAnsi="宋体" w:cs="宋体"/>
                <w:b/>
                <w:bCs/>
                <w:color w:val="000000"/>
                <w:sz w:val="22"/>
              </w:rPr>
            </w:pPr>
            <w:r>
              <w:rPr>
                <w:rFonts w:hint="eastAsia" w:ascii="宋体" w:hAnsi="宋体" w:cs="宋体"/>
                <w:b/>
                <w:bCs/>
                <w:color w:val="000000"/>
                <w:kern w:val="0"/>
                <w:sz w:val="22"/>
                <w:lang w:bidi="ar"/>
              </w:rPr>
              <w:t>总计</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46,502,286.95</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宋体" w:hAnsi="宋体" w:cs="宋体"/>
                <w:b/>
                <w:bCs/>
                <w:color w:val="000000"/>
                <w:sz w:val="22"/>
              </w:rPr>
            </w:pPr>
            <w:r>
              <w:rPr>
                <w:rFonts w:hint="eastAsia" w:ascii="宋体" w:hAnsi="宋体" w:cs="宋体"/>
                <w:b/>
                <w:bCs/>
                <w:color w:val="000000"/>
                <w:kern w:val="0"/>
                <w:sz w:val="22"/>
                <w:lang w:bidi="ar"/>
              </w:rPr>
              <w:t>总计</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60</w:t>
            </w:r>
          </w:p>
        </w:tc>
        <w:tc>
          <w:tcPr>
            <w:tcW w:w="0" w:type="auto"/>
            <w:tcBorders>
              <w:top w:val="single" w:color="auto" w:sz="4" w:space="0"/>
              <w:left w:val="single" w:color="auto" w:sz="4" w:space="0"/>
              <w:bottom w:val="single" w:color="auto" w:sz="4" w:space="0"/>
              <w:right w:val="single" w:color="auto" w:sz="4" w:space="0"/>
            </w:tcBorders>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46,502,286.95</w:t>
            </w:r>
          </w:p>
        </w:tc>
      </w:tr>
      <w:tr>
        <w:tblPrEx>
          <w:tblCellMar>
            <w:top w:w="0" w:type="dxa"/>
            <w:left w:w="108" w:type="dxa"/>
            <w:bottom w:w="0" w:type="dxa"/>
            <w:right w:w="108" w:type="dxa"/>
          </w:tblCellMar>
        </w:tblPrEx>
        <w:trPr>
          <w:trHeight w:val="300" w:hRule="atLeast"/>
        </w:trPr>
        <w:tc>
          <w:tcPr>
            <w:tcW w:w="0" w:type="auto"/>
            <w:gridSpan w:val="6"/>
            <w:tcBorders>
              <w:top w:val="single" w:color="auto" w:sz="4" w:space="0"/>
              <w:left w:val="nil"/>
              <w:bottom w:val="nil"/>
              <w:right w:val="nil"/>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注：1.本表反映部门本年度的总收支和年末结转结余情况。</w:t>
            </w:r>
          </w:p>
        </w:tc>
      </w:tr>
      <w:tr>
        <w:tblPrEx>
          <w:tblCellMar>
            <w:top w:w="0" w:type="dxa"/>
            <w:left w:w="108" w:type="dxa"/>
            <w:bottom w:w="0" w:type="dxa"/>
            <w:right w:w="108" w:type="dxa"/>
          </w:tblCellMar>
        </w:tblPrEx>
        <w:trPr>
          <w:trHeight w:val="300" w:hRule="atLeast"/>
        </w:trPr>
        <w:tc>
          <w:tcPr>
            <w:tcW w:w="0" w:type="auto"/>
            <w:gridSpan w:val="6"/>
            <w:tcBorders>
              <w:top w:val="nil"/>
              <w:left w:val="nil"/>
              <w:bottom w:val="nil"/>
              <w:right w:val="nil"/>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2.本套报表金额单位转换时可能存在尾数误差。</w:t>
            </w:r>
          </w:p>
        </w:tc>
      </w:tr>
    </w:tbl>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tbl>
      <w:tblPr>
        <w:tblStyle w:val="16"/>
        <w:tblpPr w:leftFromText="180" w:rightFromText="180" w:vertAnchor="text" w:horzAnchor="page" w:tblpX="1493" w:tblpY="213"/>
        <w:tblOverlap w:val="never"/>
        <w:tblW w:w="14043" w:type="dxa"/>
        <w:tblInd w:w="0" w:type="dxa"/>
        <w:tblLayout w:type="fixed"/>
        <w:tblCellMar>
          <w:top w:w="0" w:type="dxa"/>
          <w:left w:w="108" w:type="dxa"/>
          <w:bottom w:w="0" w:type="dxa"/>
          <w:right w:w="108" w:type="dxa"/>
        </w:tblCellMar>
      </w:tblPr>
      <w:tblGrid>
        <w:gridCol w:w="1260"/>
        <w:gridCol w:w="2985"/>
        <w:gridCol w:w="1995"/>
        <w:gridCol w:w="2040"/>
        <w:gridCol w:w="945"/>
        <w:gridCol w:w="1680"/>
        <w:gridCol w:w="728"/>
        <w:gridCol w:w="978"/>
        <w:gridCol w:w="1432"/>
      </w:tblGrid>
      <w:tr>
        <w:tblPrEx>
          <w:tblCellMar>
            <w:top w:w="0" w:type="dxa"/>
            <w:left w:w="108" w:type="dxa"/>
            <w:bottom w:w="0" w:type="dxa"/>
            <w:right w:w="108" w:type="dxa"/>
          </w:tblCellMar>
        </w:tblPrEx>
        <w:trPr>
          <w:trHeight w:val="700" w:hRule="atLeast"/>
        </w:trPr>
        <w:tc>
          <w:tcPr>
            <w:tcW w:w="14043" w:type="dxa"/>
            <w:gridSpan w:val="9"/>
            <w:tcBorders>
              <w:top w:val="nil"/>
              <w:left w:val="nil"/>
              <w:bottom w:val="nil"/>
              <w:right w:val="nil"/>
            </w:tcBorders>
            <w:noWrap/>
            <w:vAlign w:val="center"/>
          </w:tcPr>
          <w:p>
            <w:pPr>
              <w:widowControl/>
              <w:jc w:val="center"/>
              <w:textAlignment w:val="center"/>
              <w:rPr>
                <w:rFonts w:hint="eastAsia" w:ascii="宋体" w:hAnsi="宋体" w:cs="宋体"/>
                <w:b/>
                <w:bCs/>
                <w:color w:val="000000"/>
                <w:sz w:val="36"/>
                <w:szCs w:val="36"/>
              </w:rPr>
            </w:pPr>
            <w:r>
              <w:rPr>
                <w:rFonts w:hint="eastAsia" w:ascii="宋体" w:hAnsi="宋体" w:cs="宋体"/>
                <w:b/>
                <w:bCs/>
                <w:color w:val="000000"/>
                <w:kern w:val="0"/>
                <w:sz w:val="36"/>
                <w:szCs w:val="36"/>
                <w:lang w:bidi="ar"/>
              </w:rPr>
              <w:t>收入决算表</w:t>
            </w:r>
          </w:p>
        </w:tc>
      </w:tr>
      <w:tr>
        <w:tblPrEx>
          <w:tblCellMar>
            <w:top w:w="0" w:type="dxa"/>
            <w:left w:w="108" w:type="dxa"/>
            <w:bottom w:w="0" w:type="dxa"/>
            <w:right w:w="108" w:type="dxa"/>
          </w:tblCellMar>
        </w:tblPrEx>
        <w:trPr>
          <w:trHeight w:val="280" w:hRule="atLeast"/>
        </w:trPr>
        <w:tc>
          <w:tcPr>
            <w:tcW w:w="14043" w:type="dxa"/>
            <w:gridSpan w:val="9"/>
            <w:tcBorders>
              <w:top w:val="nil"/>
              <w:left w:val="nil"/>
              <w:bottom w:val="nil"/>
              <w:right w:val="nil"/>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单位：信阳市第六高级中学                                2024年度                                       公开02表</w:t>
            </w:r>
          </w:p>
        </w:tc>
      </w:tr>
      <w:tr>
        <w:tblPrEx>
          <w:tblCellMar>
            <w:top w:w="0" w:type="dxa"/>
            <w:left w:w="108" w:type="dxa"/>
            <w:bottom w:w="0" w:type="dxa"/>
            <w:right w:w="108" w:type="dxa"/>
          </w:tblCellMar>
        </w:tblPrEx>
        <w:trPr>
          <w:trHeight w:val="280" w:hRule="atLeast"/>
        </w:trPr>
        <w:tc>
          <w:tcPr>
            <w:tcW w:w="14043" w:type="dxa"/>
            <w:gridSpan w:val="9"/>
            <w:tcBorders>
              <w:top w:val="nil"/>
              <w:left w:val="nil"/>
              <w:bottom w:val="nil"/>
              <w:right w:val="nil"/>
            </w:tcBorders>
            <w:noWrap/>
            <w:vAlign w:val="bottom"/>
          </w:tcPr>
          <w:p>
            <w:pPr>
              <w:widowControl/>
              <w:jc w:val="right"/>
              <w:textAlignment w:val="bottom"/>
              <w:rPr>
                <w:rFonts w:hint="eastAsia" w:ascii="宋体" w:hAnsi="宋体" w:cs="宋体"/>
                <w:color w:val="000000"/>
                <w:sz w:val="18"/>
                <w:szCs w:val="18"/>
              </w:rPr>
            </w:pPr>
            <w:r>
              <w:rPr>
                <w:rFonts w:hint="eastAsia" w:ascii="宋体" w:hAnsi="宋体" w:cs="宋体"/>
                <w:color w:val="000000"/>
                <w:kern w:val="0"/>
                <w:sz w:val="18"/>
                <w:szCs w:val="18"/>
                <w:lang w:bidi="ar"/>
              </w:rPr>
              <w:t xml:space="preserve">                                                                 金额单位：元</w:t>
            </w:r>
          </w:p>
        </w:tc>
      </w:tr>
      <w:tr>
        <w:tblPrEx>
          <w:tblCellMar>
            <w:top w:w="0" w:type="dxa"/>
            <w:left w:w="108" w:type="dxa"/>
            <w:bottom w:w="0" w:type="dxa"/>
            <w:right w:w="108" w:type="dxa"/>
          </w:tblCellMar>
        </w:tblPrEx>
        <w:trPr>
          <w:trHeight w:val="300" w:hRule="atLeast"/>
        </w:trPr>
        <w:tc>
          <w:tcPr>
            <w:tcW w:w="4245"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项目</w:t>
            </w:r>
          </w:p>
        </w:tc>
        <w:tc>
          <w:tcPr>
            <w:tcW w:w="199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本年收入合计</w:t>
            </w:r>
          </w:p>
        </w:tc>
        <w:tc>
          <w:tcPr>
            <w:tcW w:w="204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财政拨款收入</w:t>
            </w:r>
          </w:p>
        </w:tc>
        <w:tc>
          <w:tcPr>
            <w:tcW w:w="94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上级补助收入</w:t>
            </w: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事业收入</w:t>
            </w:r>
          </w:p>
        </w:tc>
        <w:tc>
          <w:tcPr>
            <w:tcW w:w="728"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经营收入</w:t>
            </w:r>
          </w:p>
        </w:tc>
        <w:tc>
          <w:tcPr>
            <w:tcW w:w="978"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16"/>
                <w:szCs w:val="16"/>
                <w:lang w:bidi="ar"/>
              </w:rPr>
              <w:t>附属单位上缴收入</w:t>
            </w:r>
          </w:p>
        </w:tc>
        <w:tc>
          <w:tcPr>
            <w:tcW w:w="143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其他收入</w:t>
            </w:r>
          </w:p>
        </w:tc>
      </w:tr>
      <w:tr>
        <w:tblPrEx>
          <w:tblCellMar>
            <w:top w:w="0" w:type="dxa"/>
            <w:left w:w="108" w:type="dxa"/>
            <w:bottom w:w="0" w:type="dxa"/>
            <w:right w:w="108" w:type="dxa"/>
          </w:tblCellMar>
        </w:tblPrEx>
        <w:trPr>
          <w:trHeight w:val="521" w:hRule="atLeast"/>
        </w:trPr>
        <w:tc>
          <w:tcPr>
            <w:tcW w:w="12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科目代码</w:t>
            </w:r>
          </w:p>
        </w:tc>
        <w:tc>
          <w:tcPr>
            <w:tcW w:w="2985"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科目名称</w:t>
            </w:r>
          </w:p>
        </w:tc>
        <w:tc>
          <w:tcPr>
            <w:tcW w:w="199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204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94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72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97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43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r>
      <w:tr>
        <w:tblPrEx>
          <w:tblCellMar>
            <w:top w:w="0" w:type="dxa"/>
            <w:left w:w="108" w:type="dxa"/>
            <w:bottom w:w="0" w:type="dxa"/>
            <w:right w:w="108" w:type="dxa"/>
          </w:tblCellMar>
        </w:tblPrEx>
        <w:trPr>
          <w:trHeight w:val="521" w:hRule="atLeast"/>
        </w:trPr>
        <w:tc>
          <w:tcPr>
            <w:tcW w:w="12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298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2"/>
              </w:rPr>
            </w:pPr>
          </w:p>
        </w:tc>
        <w:tc>
          <w:tcPr>
            <w:tcW w:w="199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204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94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72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97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43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r>
      <w:tr>
        <w:tblPrEx>
          <w:tblCellMar>
            <w:top w:w="0" w:type="dxa"/>
            <w:left w:w="108" w:type="dxa"/>
            <w:bottom w:w="0" w:type="dxa"/>
            <w:right w:w="108" w:type="dxa"/>
          </w:tblCellMar>
        </w:tblPrEx>
        <w:trPr>
          <w:trHeight w:val="312" w:hRule="atLeast"/>
        </w:trPr>
        <w:tc>
          <w:tcPr>
            <w:tcW w:w="12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298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2"/>
              </w:rPr>
            </w:pPr>
          </w:p>
        </w:tc>
        <w:tc>
          <w:tcPr>
            <w:tcW w:w="199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204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94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72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97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43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r>
      <w:tr>
        <w:tblPrEx>
          <w:tblCellMar>
            <w:top w:w="0" w:type="dxa"/>
            <w:left w:w="108" w:type="dxa"/>
            <w:bottom w:w="0" w:type="dxa"/>
            <w:right w:w="108" w:type="dxa"/>
          </w:tblCellMar>
        </w:tblPrEx>
        <w:trPr>
          <w:trHeight w:val="454" w:hRule="exact"/>
        </w:trPr>
        <w:tc>
          <w:tcPr>
            <w:tcW w:w="4245"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栏次</w:t>
            </w:r>
          </w:p>
        </w:tc>
        <w:tc>
          <w:tcPr>
            <w:tcW w:w="19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w:t>
            </w:r>
          </w:p>
        </w:tc>
        <w:tc>
          <w:tcPr>
            <w:tcW w:w="20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w:t>
            </w: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w:t>
            </w:r>
          </w:p>
        </w:tc>
        <w:tc>
          <w:tcPr>
            <w:tcW w:w="16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4</w:t>
            </w:r>
          </w:p>
        </w:tc>
        <w:tc>
          <w:tcPr>
            <w:tcW w:w="72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5</w:t>
            </w:r>
          </w:p>
        </w:tc>
        <w:tc>
          <w:tcPr>
            <w:tcW w:w="97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6</w:t>
            </w:r>
          </w:p>
        </w:tc>
        <w:tc>
          <w:tcPr>
            <w:tcW w:w="143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7</w:t>
            </w:r>
          </w:p>
        </w:tc>
      </w:tr>
      <w:tr>
        <w:tblPrEx>
          <w:tblCellMar>
            <w:top w:w="0" w:type="dxa"/>
            <w:left w:w="108" w:type="dxa"/>
            <w:bottom w:w="0" w:type="dxa"/>
            <w:right w:w="108" w:type="dxa"/>
          </w:tblCellMar>
        </w:tblPrEx>
        <w:trPr>
          <w:trHeight w:val="454" w:hRule="exact"/>
        </w:trPr>
        <w:tc>
          <w:tcPr>
            <w:tcW w:w="4245"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合计</w:t>
            </w:r>
          </w:p>
        </w:tc>
        <w:tc>
          <w:tcPr>
            <w:tcW w:w="1995"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b/>
                <w:bCs/>
                <w:color w:val="000000"/>
                <w:sz w:val="22"/>
              </w:rPr>
            </w:pPr>
            <w:r>
              <w:rPr>
                <w:rFonts w:hint="eastAsia" w:ascii="宋体" w:hAnsi="宋体" w:cs="宋体"/>
                <w:b/>
                <w:bCs/>
                <w:color w:val="000000"/>
                <w:kern w:val="0"/>
                <w:sz w:val="22"/>
                <w:lang w:bidi="ar"/>
              </w:rPr>
              <w:t>46,502,286.95</w:t>
            </w:r>
          </w:p>
        </w:tc>
        <w:tc>
          <w:tcPr>
            <w:tcW w:w="2040"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b/>
                <w:bCs/>
                <w:color w:val="000000"/>
                <w:sz w:val="22"/>
              </w:rPr>
            </w:pPr>
            <w:r>
              <w:rPr>
                <w:rFonts w:hint="eastAsia" w:ascii="宋体" w:hAnsi="宋体" w:cs="宋体"/>
                <w:b/>
                <w:bCs/>
                <w:color w:val="000000"/>
                <w:kern w:val="0"/>
                <w:sz w:val="22"/>
                <w:lang w:bidi="ar"/>
              </w:rPr>
              <w:t>41,188,147.21</w:t>
            </w:r>
          </w:p>
        </w:tc>
        <w:tc>
          <w:tcPr>
            <w:tcW w:w="94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b/>
                <w:bCs/>
                <w:color w:val="000000"/>
                <w:sz w:val="22"/>
              </w:rPr>
            </w:pPr>
          </w:p>
        </w:tc>
        <w:tc>
          <w:tcPr>
            <w:tcW w:w="1680"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b/>
                <w:bCs/>
                <w:color w:val="000000"/>
                <w:sz w:val="22"/>
              </w:rPr>
            </w:pPr>
            <w:r>
              <w:rPr>
                <w:rFonts w:hint="eastAsia" w:ascii="宋体" w:hAnsi="宋体" w:cs="宋体"/>
                <w:b/>
                <w:bCs/>
                <w:color w:val="000000"/>
                <w:kern w:val="0"/>
                <w:sz w:val="22"/>
                <w:lang w:bidi="ar"/>
              </w:rPr>
              <w:t>5,306,270.00</w:t>
            </w:r>
          </w:p>
        </w:tc>
        <w:tc>
          <w:tcPr>
            <w:tcW w:w="728"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b/>
                <w:bCs/>
                <w:color w:val="000000"/>
                <w:sz w:val="22"/>
              </w:rPr>
            </w:pPr>
          </w:p>
        </w:tc>
        <w:tc>
          <w:tcPr>
            <w:tcW w:w="978"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b/>
                <w:bCs/>
                <w:color w:val="000000"/>
                <w:sz w:val="22"/>
              </w:rPr>
            </w:pPr>
          </w:p>
        </w:tc>
        <w:tc>
          <w:tcPr>
            <w:tcW w:w="1432"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b/>
                <w:bCs/>
                <w:color w:val="000000"/>
                <w:sz w:val="22"/>
              </w:rPr>
            </w:pPr>
            <w:r>
              <w:rPr>
                <w:rFonts w:hint="eastAsia" w:ascii="宋体" w:hAnsi="宋体" w:cs="宋体"/>
                <w:b/>
                <w:bCs/>
                <w:color w:val="000000"/>
                <w:kern w:val="0"/>
                <w:sz w:val="22"/>
                <w:lang w:bidi="ar"/>
              </w:rPr>
              <w:t>7,869.74</w:t>
            </w:r>
          </w:p>
        </w:tc>
      </w:tr>
      <w:tr>
        <w:tblPrEx>
          <w:tblCellMar>
            <w:top w:w="0" w:type="dxa"/>
            <w:left w:w="108" w:type="dxa"/>
            <w:bottom w:w="0" w:type="dxa"/>
            <w:right w:w="108" w:type="dxa"/>
          </w:tblCellMar>
        </w:tblPrEx>
        <w:trPr>
          <w:trHeight w:val="454" w:hRule="exact"/>
        </w:trPr>
        <w:tc>
          <w:tcPr>
            <w:tcW w:w="12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2050203</w:t>
            </w:r>
          </w:p>
        </w:tc>
        <w:tc>
          <w:tcPr>
            <w:tcW w:w="29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初中教育</w:t>
            </w:r>
          </w:p>
        </w:tc>
        <w:tc>
          <w:tcPr>
            <w:tcW w:w="1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598,007.00</w:t>
            </w:r>
          </w:p>
        </w:tc>
        <w:tc>
          <w:tcPr>
            <w:tcW w:w="20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598,007.00</w:t>
            </w:r>
          </w:p>
        </w:tc>
        <w:tc>
          <w:tcPr>
            <w:tcW w:w="9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7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9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454" w:hRule="exact"/>
        </w:trPr>
        <w:tc>
          <w:tcPr>
            <w:tcW w:w="12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2050204</w:t>
            </w:r>
          </w:p>
        </w:tc>
        <w:tc>
          <w:tcPr>
            <w:tcW w:w="29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高中教育</w:t>
            </w:r>
          </w:p>
        </w:tc>
        <w:tc>
          <w:tcPr>
            <w:tcW w:w="1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34,105,637.11</w:t>
            </w:r>
          </w:p>
        </w:tc>
        <w:tc>
          <w:tcPr>
            <w:tcW w:w="20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28,791,497.37</w:t>
            </w:r>
          </w:p>
        </w:tc>
        <w:tc>
          <w:tcPr>
            <w:tcW w:w="9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5,306,270.00</w:t>
            </w:r>
          </w:p>
        </w:tc>
        <w:tc>
          <w:tcPr>
            <w:tcW w:w="7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9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7,869.74</w:t>
            </w:r>
          </w:p>
        </w:tc>
      </w:tr>
      <w:tr>
        <w:tblPrEx>
          <w:tblCellMar>
            <w:top w:w="0" w:type="dxa"/>
            <w:left w:w="108" w:type="dxa"/>
            <w:bottom w:w="0" w:type="dxa"/>
            <w:right w:w="108" w:type="dxa"/>
          </w:tblCellMar>
        </w:tblPrEx>
        <w:trPr>
          <w:trHeight w:val="454" w:hRule="exact"/>
        </w:trPr>
        <w:tc>
          <w:tcPr>
            <w:tcW w:w="12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2050299</w:t>
            </w:r>
          </w:p>
        </w:tc>
        <w:tc>
          <w:tcPr>
            <w:tcW w:w="298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其他普通教育支出</w:t>
            </w:r>
          </w:p>
        </w:tc>
        <w:tc>
          <w:tcPr>
            <w:tcW w:w="1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2,663,814.00</w:t>
            </w:r>
          </w:p>
        </w:tc>
        <w:tc>
          <w:tcPr>
            <w:tcW w:w="20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2,663,814.00</w:t>
            </w:r>
          </w:p>
        </w:tc>
        <w:tc>
          <w:tcPr>
            <w:tcW w:w="9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16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7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9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454" w:hRule="exact"/>
        </w:trPr>
        <w:tc>
          <w:tcPr>
            <w:tcW w:w="1260"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2050999</w:t>
            </w:r>
          </w:p>
        </w:tc>
        <w:tc>
          <w:tcPr>
            <w:tcW w:w="2985" w:type="dxa"/>
            <w:tcBorders>
              <w:top w:val="single" w:color="000000" w:sz="4" w:space="0"/>
              <w:left w:val="single" w:color="000000" w:sz="4" w:space="0"/>
              <w:bottom w:val="single" w:color="auto" w:sz="4" w:space="0"/>
              <w:right w:val="single" w:color="000000" w:sz="4" w:space="0"/>
            </w:tcBorders>
            <w:shd w:val="clear" w:color="auto" w:fill="FFFFFF"/>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其他教育费附加安排的支出</w:t>
            </w:r>
          </w:p>
        </w:tc>
        <w:tc>
          <w:tcPr>
            <w:tcW w:w="1995"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2,958,355.88</w:t>
            </w:r>
          </w:p>
        </w:tc>
        <w:tc>
          <w:tcPr>
            <w:tcW w:w="2040"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2,958,355.88</w:t>
            </w:r>
          </w:p>
        </w:tc>
        <w:tc>
          <w:tcPr>
            <w:tcW w:w="945"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1680"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728"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978"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1432"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454" w:hRule="exact"/>
        </w:trPr>
        <w:tc>
          <w:tcPr>
            <w:tcW w:w="1260" w:type="dxa"/>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2080505</w:t>
            </w:r>
          </w:p>
        </w:tc>
        <w:tc>
          <w:tcPr>
            <w:tcW w:w="298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16"/>
                <w:szCs w:val="16"/>
                <w:lang w:bidi="ar"/>
              </w:rPr>
              <w:t>机关事业单位基本养老保险缴费支出</w:t>
            </w:r>
          </w:p>
        </w:tc>
        <w:tc>
          <w:tcPr>
            <w:tcW w:w="1995" w:type="dxa"/>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3,529,413.12</w:t>
            </w:r>
          </w:p>
        </w:tc>
        <w:tc>
          <w:tcPr>
            <w:tcW w:w="2040" w:type="dxa"/>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3,529,413.12</w:t>
            </w:r>
          </w:p>
        </w:tc>
        <w:tc>
          <w:tcPr>
            <w:tcW w:w="945"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cs="宋体"/>
                <w:color w:val="000000"/>
                <w:sz w:val="22"/>
              </w:rPr>
            </w:pPr>
          </w:p>
        </w:tc>
        <w:tc>
          <w:tcPr>
            <w:tcW w:w="1680"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cs="宋体"/>
                <w:color w:val="000000"/>
                <w:sz w:val="22"/>
              </w:rPr>
            </w:pPr>
          </w:p>
        </w:tc>
        <w:tc>
          <w:tcPr>
            <w:tcW w:w="728"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cs="宋体"/>
                <w:color w:val="000000"/>
                <w:sz w:val="22"/>
              </w:rPr>
            </w:pPr>
          </w:p>
        </w:tc>
        <w:tc>
          <w:tcPr>
            <w:tcW w:w="978"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cs="宋体"/>
                <w:color w:val="000000"/>
                <w:sz w:val="22"/>
              </w:rPr>
            </w:pPr>
          </w:p>
        </w:tc>
        <w:tc>
          <w:tcPr>
            <w:tcW w:w="1432"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454" w:hRule="exact"/>
        </w:trPr>
        <w:tc>
          <w:tcPr>
            <w:tcW w:w="1260" w:type="dxa"/>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2210302</w:t>
            </w:r>
          </w:p>
        </w:tc>
        <w:tc>
          <w:tcPr>
            <w:tcW w:w="298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住房公积金管理</w:t>
            </w:r>
          </w:p>
        </w:tc>
        <w:tc>
          <w:tcPr>
            <w:tcW w:w="1995" w:type="dxa"/>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2,647,059.84</w:t>
            </w:r>
          </w:p>
        </w:tc>
        <w:tc>
          <w:tcPr>
            <w:tcW w:w="2040" w:type="dxa"/>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2,647,059.84</w:t>
            </w:r>
          </w:p>
        </w:tc>
        <w:tc>
          <w:tcPr>
            <w:tcW w:w="945"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cs="宋体"/>
                <w:color w:val="000000"/>
                <w:sz w:val="22"/>
              </w:rPr>
            </w:pPr>
          </w:p>
        </w:tc>
        <w:tc>
          <w:tcPr>
            <w:tcW w:w="1680"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cs="宋体"/>
                <w:color w:val="000000"/>
                <w:sz w:val="22"/>
              </w:rPr>
            </w:pPr>
          </w:p>
        </w:tc>
        <w:tc>
          <w:tcPr>
            <w:tcW w:w="728"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cs="宋体"/>
                <w:color w:val="000000"/>
                <w:sz w:val="22"/>
              </w:rPr>
            </w:pPr>
          </w:p>
        </w:tc>
        <w:tc>
          <w:tcPr>
            <w:tcW w:w="978"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cs="宋体"/>
                <w:color w:val="000000"/>
                <w:sz w:val="22"/>
              </w:rPr>
            </w:pPr>
          </w:p>
        </w:tc>
        <w:tc>
          <w:tcPr>
            <w:tcW w:w="1432"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86" w:hRule="atLeast"/>
        </w:trPr>
        <w:tc>
          <w:tcPr>
            <w:tcW w:w="14043" w:type="dxa"/>
            <w:gridSpan w:val="9"/>
            <w:tcBorders>
              <w:top w:val="single" w:color="auto" w:sz="4" w:space="0"/>
              <w:left w:val="nil"/>
              <w:bottom w:val="nil"/>
              <w:right w:val="nil"/>
            </w:tcBorders>
            <w:shd w:val="clear" w:color="auto" w:fill="FFFFFF"/>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注：本表反映部门本年度取得的各项收入情况。</w:t>
            </w:r>
          </w:p>
        </w:tc>
      </w:tr>
    </w:tbl>
    <w:p>
      <w:pPr>
        <w:rPr>
          <w:rFonts w:hint="eastAsia"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tbl>
      <w:tblPr>
        <w:tblStyle w:val="16"/>
        <w:tblW w:w="14081" w:type="dxa"/>
        <w:tblInd w:w="91" w:type="dxa"/>
        <w:tblLayout w:type="fixed"/>
        <w:tblCellMar>
          <w:top w:w="0" w:type="dxa"/>
          <w:left w:w="108" w:type="dxa"/>
          <w:bottom w:w="0" w:type="dxa"/>
          <w:right w:w="108" w:type="dxa"/>
        </w:tblCellMar>
      </w:tblPr>
      <w:tblGrid>
        <w:gridCol w:w="1265"/>
        <w:gridCol w:w="3883"/>
        <w:gridCol w:w="1780"/>
        <w:gridCol w:w="2121"/>
        <w:gridCol w:w="1291"/>
        <w:gridCol w:w="1158"/>
        <w:gridCol w:w="1188"/>
        <w:gridCol w:w="1395"/>
      </w:tblGrid>
      <w:tr>
        <w:tblPrEx>
          <w:tblCellMar>
            <w:top w:w="0" w:type="dxa"/>
            <w:left w:w="108" w:type="dxa"/>
            <w:bottom w:w="0" w:type="dxa"/>
            <w:right w:w="108" w:type="dxa"/>
          </w:tblCellMar>
        </w:tblPrEx>
        <w:trPr>
          <w:trHeight w:val="514" w:hRule="atLeast"/>
        </w:trPr>
        <w:tc>
          <w:tcPr>
            <w:tcW w:w="14081" w:type="dxa"/>
            <w:gridSpan w:val="8"/>
            <w:tcBorders>
              <w:top w:val="nil"/>
              <w:left w:val="nil"/>
              <w:bottom w:val="nil"/>
              <w:right w:val="nil"/>
            </w:tcBorders>
            <w:noWrap/>
            <w:vAlign w:val="center"/>
          </w:tcPr>
          <w:p>
            <w:pPr>
              <w:widowControl/>
              <w:jc w:val="center"/>
              <w:textAlignment w:val="center"/>
              <w:rPr>
                <w:rFonts w:hint="eastAsia" w:ascii="宋体" w:hAnsi="宋体" w:cs="宋体"/>
                <w:b/>
                <w:bCs/>
                <w:color w:val="000000"/>
                <w:sz w:val="36"/>
                <w:szCs w:val="36"/>
              </w:rPr>
            </w:pPr>
            <w:r>
              <w:rPr>
                <w:rFonts w:hint="eastAsia" w:ascii="宋体" w:hAnsi="宋体" w:cs="宋体"/>
                <w:b/>
                <w:bCs/>
                <w:color w:val="000000"/>
                <w:kern w:val="0"/>
                <w:sz w:val="36"/>
                <w:szCs w:val="36"/>
                <w:lang w:bidi="ar"/>
              </w:rPr>
              <w:t>支出决算表</w:t>
            </w:r>
          </w:p>
        </w:tc>
      </w:tr>
      <w:tr>
        <w:tblPrEx>
          <w:tblCellMar>
            <w:top w:w="0" w:type="dxa"/>
            <w:left w:w="108" w:type="dxa"/>
            <w:bottom w:w="0" w:type="dxa"/>
            <w:right w:w="108" w:type="dxa"/>
          </w:tblCellMar>
        </w:tblPrEx>
        <w:trPr>
          <w:trHeight w:val="380" w:hRule="atLeast"/>
        </w:trPr>
        <w:tc>
          <w:tcPr>
            <w:tcW w:w="14081" w:type="dxa"/>
            <w:gridSpan w:val="8"/>
            <w:tcBorders>
              <w:top w:val="nil"/>
              <w:left w:val="nil"/>
              <w:bottom w:val="nil"/>
              <w:right w:val="nil"/>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单位：信阳市第六高级中学                                2024年度                                       公开03表</w:t>
            </w:r>
          </w:p>
        </w:tc>
      </w:tr>
      <w:tr>
        <w:tblPrEx>
          <w:tblCellMar>
            <w:top w:w="0" w:type="dxa"/>
            <w:left w:w="108" w:type="dxa"/>
            <w:bottom w:w="0" w:type="dxa"/>
            <w:right w:w="108" w:type="dxa"/>
          </w:tblCellMar>
        </w:tblPrEx>
        <w:trPr>
          <w:trHeight w:val="296" w:hRule="atLeast"/>
        </w:trPr>
        <w:tc>
          <w:tcPr>
            <w:tcW w:w="14081" w:type="dxa"/>
            <w:gridSpan w:val="8"/>
            <w:tcBorders>
              <w:top w:val="nil"/>
              <w:left w:val="nil"/>
              <w:bottom w:val="nil"/>
              <w:right w:val="nil"/>
            </w:tcBorders>
            <w:noWrap/>
            <w:vAlign w:val="bottom"/>
          </w:tcPr>
          <w:p>
            <w:pPr>
              <w:widowControl/>
              <w:jc w:val="center"/>
              <w:textAlignment w:val="bottom"/>
              <w:rPr>
                <w:rFonts w:hint="eastAsia" w:ascii="宋体" w:hAnsi="宋体" w:cs="宋体"/>
                <w:color w:val="000000"/>
                <w:sz w:val="18"/>
                <w:szCs w:val="18"/>
              </w:rPr>
            </w:pPr>
            <w:r>
              <w:rPr>
                <w:rFonts w:hint="eastAsia" w:ascii="宋体" w:hAnsi="宋体" w:cs="宋体"/>
                <w:color w:val="000000"/>
                <w:kern w:val="0"/>
                <w:sz w:val="18"/>
                <w:szCs w:val="18"/>
                <w:lang w:bidi="ar"/>
              </w:rPr>
              <w:t xml:space="preserve">                                                                                                                                      金额单位：元</w:t>
            </w:r>
          </w:p>
        </w:tc>
      </w:tr>
      <w:tr>
        <w:tblPrEx>
          <w:tblCellMar>
            <w:top w:w="0" w:type="dxa"/>
            <w:left w:w="108" w:type="dxa"/>
            <w:bottom w:w="0" w:type="dxa"/>
            <w:right w:w="108" w:type="dxa"/>
          </w:tblCellMar>
        </w:tblPrEx>
        <w:trPr>
          <w:trHeight w:val="331" w:hRule="atLeast"/>
        </w:trPr>
        <w:tc>
          <w:tcPr>
            <w:tcW w:w="5148"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项目</w:t>
            </w:r>
          </w:p>
        </w:tc>
        <w:tc>
          <w:tcPr>
            <w:tcW w:w="178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本年支出合计</w:t>
            </w:r>
          </w:p>
        </w:tc>
        <w:tc>
          <w:tcPr>
            <w:tcW w:w="212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基本支出</w:t>
            </w:r>
          </w:p>
        </w:tc>
        <w:tc>
          <w:tcPr>
            <w:tcW w:w="129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项目支出</w:t>
            </w:r>
          </w:p>
        </w:tc>
        <w:tc>
          <w:tcPr>
            <w:tcW w:w="1158"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上缴上级支出</w:t>
            </w:r>
          </w:p>
        </w:tc>
        <w:tc>
          <w:tcPr>
            <w:tcW w:w="1188"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经营支出</w:t>
            </w:r>
          </w:p>
        </w:tc>
        <w:tc>
          <w:tcPr>
            <w:tcW w:w="139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对附属单位补助支出</w:t>
            </w:r>
          </w:p>
        </w:tc>
      </w:tr>
      <w:tr>
        <w:tblPrEx>
          <w:tblCellMar>
            <w:top w:w="0" w:type="dxa"/>
            <w:left w:w="108" w:type="dxa"/>
            <w:bottom w:w="0" w:type="dxa"/>
            <w:right w:w="108" w:type="dxa"/>
          </w:tblCellMar>
        </w:tblPrEx>
        <w:trPr>
          <w:trHeight w:val="521" w:hRule="atLeast"/>
        </w:trPr>
        <w:tc>
          <w:tcPr>
            <w:tcW w:w="12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科目代码</w:t>
            </w:r>
          </w:p>
        </w:tc>
        <w:tc>
          <w:tcPr>
            <w:tcW w:w="3883"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科目名称</w:t>
            </w:r>
          </w:p>
        </w:tc>
        <w:tc>
          <w:tcPr>
            <w:tcW w:w="178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212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29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15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18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r>
      <w:tr>
        <w:trPr>
          <w:trHeight w:val="521" w:hRule="atLeast"/>
        </w:trPr>
        <w:tc>
          <w:tcPr>
            <w:tcW w:w="12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3883"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2"/>
              </w:rPr>
            </w:pPr>
          </w:p>
        </w:tc>
        <w:tc>
          <w:tcPr>
            <w:tcW w:w="178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212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29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15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18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r>
      <w:tr>
        <w:tblPrEx>
          <w:tblCellMar>
            <w:top w:w="0" w:type="dxa"/>
            <w:left w:w="108" w:type="dxa"/>
            <w:bottom w:w="0" w:type="dxa"/>
            <w:right w:w="108" w:type="dxa"/>
          </w:tblCellMar>
        </w:tblPrEx>
        <w:trPr>
          <w:trHeight w:val="312" w:hRule="atLeast"/>
        </w:trPr>
        <w:tc>
          <w:tcPr>
            <w:tcW w:w="12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3883"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2"/>
              </w:rPr>
            </w:pPr>
          </w:p>
        </w:tc>
        <w:tc>
          <w:tcPr>
            <w:tcW w:w="178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212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29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15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18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39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r>
      <w:tr>
        <w:tblPrEx>
          <w:tblCellMar>
            <w:top w:w="0" w:type="dxa"/>
            <w:left w:w="108" w:type="dxa"/>
            <w:bottom w:w="0" w:type="dxa"/>
            <w:right w:w="108" w:type="dxa"/>
          </w:tblCellMar>
        </w:tblPrEx>
        <w:trPr>
          <w:trHeight w:val="454" w:hRule="exact"/>
        </w:trPr>
        <w:tc>
          <w:tcPr>
            <w:tcW w:w="5148"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栏次</w:t>
            </w:r>
          </w:p>
        </w:tc>
        <w:tc>
          <w:tcPr>
            <w:tcW w:w="17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w:t>
            </w:r>
          </w:p>
        </w:tc>
        <w:tc>
          <w:tcPr>
            <w:tcW w:w="212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w:t>
            </w:r>
          </w:p>
        </w:tc>
        <w:tc>
          <w:tcPr>
            <w:tcW w:w="12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w:t>
            </w:r>
          </w:p>
        </w:tc>
        <w:tc>
          <w:tcPr>
            <w:tcW w:w="115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4</w:t>
            </w:r>
          </w:p>
        </w:tc>
        <w:tc>
          <w:tcPr>
            <w:tcW w:w="118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5</w:t>
            </w:r>
          </w:p>
        </w:tc>
        <w:tc>
          <w:tcPr>
            <w:tcW w:w="13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6</w:t>
            </w:r>
          </w:p>
        </w:tc>
      </w:tr>
      <w:tr>
        <w:tblPrEx>
          <w:tblCellMar>
            <w:top w:w="0" w:type="dxa"/>
            <w:left w:w="108" w:type="dxa"/>
            <w:bottom w:w="0" w:type="dxa"/>
            <w:right w:w="108" w:type="dxa"/>
          </w:tblCellMar>
        </w:tblPrEx>
        <w:trPr>
          <w:trHeight w:val="454" w:hRule="exact"/>
        </w:trPr>
        <w:tc>
          <w:tcPr>
            <w:tcW w:w="5148"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合计</w:t>
            </w:r>
          </w:p>
        </w:tc>
        <w:tc>
          <w:tcPr>
            <w:tcW w:w="1780"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b/>
                <w:bCs/>
                <w:color w:val="000000"/>
                <w:sz w:val="22"/>
              </w:rPr>
            </w:pPr>
            <w:r>
              <w:rPr>
                <w:rFonts w:hint="eastAsia" w:ascii="宋体" w:hAnsi="宋体" w:cs="宋体"/>
                <w:b/>
                <w:bCs/>
                <w:color w:val="000000"/>
                <w:kern w:val="0"/>
                <w:sz w:val="22"/>
                <w:lang w:bidi="ar"/>
              </w:rPr>
              <w:t>46,502,286.95</w:t>
            </w:r>
          </w:p>
        </w:tc>
        <w:tc>
          <w:tcPr>
            <w:tcW w:w="2121"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b/>
                <w:bCs/>
                <w:color w:val="000000"/>
                <w:sz w:val="22"/>
              </w:rPr>
            </w:pPr>
            <w:r>
              <w:rPr>
                <w:rFonts w:hint="eastAsia" w:ascii="宋体" w:hAnsi="宋体" w:cs="宋体"/>
                <w:b/>
                <w:bCs/>
                <w:color w:val="000000"/>
                <w:kern w:val="0"/>
                <w:sz w:val="22"/>
                <w:lang w:bidi="ar"/>
              </w:rPr>
              <w:t>46,502,286.95</w:t>
            </w:r>
          </w:p>
        </w:tc>
        <w:tc>
          <w:tcPr>
            <w:tcW w:w="1291"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b/>
                <w:bCs/>
                <w:color w:val="000000"/>
                <w:sz w:val="22"/>
              </w:rPr>
            </w:pPr>
          </w:p>
        </w:tc>
        <w:tc>
          <w:tcPr>
            <w:tcW w:w="1158"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b/>
                <w:bCs/>
                <w:color w:val="000000"/>
                <w:sz w:val="22"/>
              </w:rPr>
            </w:pPr>
          </w:p>
        </w:tc>
        <w:tc>
          <w:tcPr>
            <w:tcW w:w="1188"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b/>
                <w:bCs/>
                <w:color w:val="000000"/>
                <w:sz w:val="22"/>
              </w:rPr>
            </w:pPr>
          </w:p>
        </w:tc>
        <w:tc>
          <w:tcPr>
            <w:tcW w:w="139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b/>
                <w:bCs/>
                <w:color w:val="000000"/>
                <w:sz w:val="22"/>
              </w:rPr>
            </w:pPr>
          </w:p>
        </w:tc>
      </w:tr>
      <w:tr>
        <w:trPr>
          <w:trHeight w:val="454" w:hRule="exact"/>
        </w:trPr>
        <w:tc>
          <w:tcPr>
            <w:tcW w:w="12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2050203</w:t>
            </w:r>
          </w:p>
        </w:tc>
        <w:tc>
          <w:tcPr>
            <w:tcW w:w="38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初中教育</w:t>
            </w:r>
          </w:p>
        </w:tc>
        <w:tc>
          <w:tcPr>
            <w:tcW w:w="17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598,007.00</w:t>
            </w:r>
          </w:p>
        </w:tc>
        <w:tc>
          <w:tcPr>
            <w:tcW w:w="21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598,007.00</w:t>
            </w:r>
          </w:p>
        </w:tc>
        <w:tc>
          <w:tcPr>
            <w:tcW w:w="12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11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1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454" w:hRule="exact"/>
        </w:trPr>
        <w:tc>
          <w:tcPr>
            <w:tcW w:w="12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2050204</w:t>
            </w:r>
          </w:p>
        </w:tc>
        <w:tc>
          <w:tcPr>
            <w:tcW w:w="38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高中教育</w:t>
            </w:r>
          </w:p>
        </w:tc>
        <w:tc>
          <w:tcPr>
            <w:tcW w:w="17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34,105,637.11</w:t>
            </w:r>
          </w:p>
        </w:tc>
        <w:tc>
          <w:tcPr>
            <w:tcW w:w="21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34,105,637.11</w:t>
            </w:r>
          </w:p>
        </w:tc>
        <w:tc>
          <w:tcPr>
            <w:tcW w:w="12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11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1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454" w:hRule="exact"/>
        </w:trPr>
        <w:tc>
          <w:tcPr>
            <w:tcW w:w="12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2050299</w:t>
            </w:r>
          </w:p>
        </w:tc>
        <w:tc>
          <w:tcPr>
            <w:tcW w:w="38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其他普通教育支出</w:t>
            </w:r>
          </w:p>
        </w:tc>
        <w:tc>
          <w:tcPr>
            <w:tcW w:w="17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2,663,814.00</w:t>
            </w:r>
          </w:p>
        </w:tc>
        <w:tc>
          <w:tcPr>
            <w:tcW w:w="21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2,663,814.00</w:t>
            </w:r>
          </w:p>
        </w:tc>
        <w:tc>
          <w:tcPr>
            <w:tcW w:w="12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11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1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454" w:hRule="exact"/>
        </w:trPr>
        <w:tc>
          <w:tcPr>
            <w:tcW w:w="12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2050999</w:t>
            </w:r>
          </w:p>
        </w:tc>
        <w:tc>
          <w:tcPr>
            <w:tcW w:w="38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其他教育费附加安排的支出</w:t>
            </w:r>
          </w:p>
        </w:tc>
        <w:tc>
          <w:tcPr>
            <w:tcW w:w="17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2,958,355.88</w:t>
            </w:r>
          </w:p>
        </w:tc>
        <w:tc>
          <w:tcPr>
            <w:tcW w:w="212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2,958,355.88</w:t>
            </w:r>
          </w:p>
        </w:tc>
        <w:tc>
          <w:tcPr>
            <w:tcW w:w="12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11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118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454" w:hRule="exact"/>
        </w:trPr>
        <w:tc>
          <w:tcPr>
            <w:tcW w:w="1265"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2080505</w:t>
            </w:r>
          </w:p>
        </w:tc>
        <w:tc>
          <w:tcPr>
            <w:tcW w:w="3883" w:type="dxa"/>
            <w:tcBorders>
              <w:top w:val="single" w:color="000000" w:sz="4" w:space="0"/>
              <w:left w:val="single" w:color="000000" w:sz="4" w:space="0"/>
              <w:bottom w:val="single" w:color="auto" w:sz="4" w:space="0"/>
              <w:right w:val="single" w:color="000000" w:sz="4" w:space="0"/>
            </w:tcBorders>
            <w:shd w:val="clear" w:color="auto" w:fill="FFFFFF"/>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机关事业单位基本养老保险缴费支出</w:t>
            </w:r>
          </w:p>
        </w:tc>
        <w:tc>
          <w:tcPr>
            <w:tcW w:w="1780"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3,529,413.12</w:t>
            </w:r>
          </w:p>
        </w:tc>
        <w:tc>
          <w:tcPr>
            <w:tcW w:w="2121"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3,529,413.12</w:t>
            </w:r>
          </w:p>
        </w:tc>
        <w:tc>
          <w:tcPr>
            <w:tcW w:w="1291"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1158"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1188"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jc w:val="right"/>
              <w:rPr>
                <w:rFonts w:hint="eastAsia" w:ascii="宋体" w:hAnsi="宋体" w:cs="宋体"/>
                <w:color w:val="000000"/>
                <w:sz w:val="22"/>
              </w:rPr>
            </w:pPr>
          </w:p>
        </w:tc>
        <w:tc>
          <w:tcPr>
            <w:tcW w:w="1395"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454" w:hRule="exact"/>
        </w:trPr>
        <w:tc>
          <w:tcPr>
            <w:tcW w:w="1265" w:type="dxa"/>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2210302</w:t>
            </w:r>
          </w:p>
        </w:tc>
        <w:tc>
          <w:tcPr>
            <w:tcW w:w="388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住房公积金管理</w:t>
            </w:r>
          </w:p>
        </w:tc>
        <w:tc>
          <w:tcPr>
            <w:tcW w:w="1780" w:type="dxa"/>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2,647,059.84</w:t>
            </w:r>
          </w:p>
        </w:tc>
        <w:tc>
          <w:tcPr>
            <w:tcW w:w="2121" w:type="dxa"/>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2,647,059.84</w:t>
            </w:r>
          </w:p>
        </w:tc>
        <w:tc>
          <w:tcPr>
            <w:tcW w:w="1291"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cs="宋体"/>
                <w:color w:val="000000"/>
                <w:sz w:val="22"/>
              </w:rPr>
            </w:pPr>
          </w:p>
        </w:tc>
        <w:tc>
          <w:tcPr>
            <w:tcW w:w="1158"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cs="宋体"/>
                <w:color w:val="000000"/>
                <w:sz w:val="22"/>
              </w:rPr>
            </w:pPr>
          </w:p>
        </w:tc>
        <w:tc>
          <w:tcPr>
            <w:tcW w:w="1188"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cs="宋体"/>
                <w:color w:val="000000"/>
                <w:sz w:val="22"/>
              </w:rPr>
            </w:pPr>
          </w:p>
        </w:tc>
        <w:tc>
          <w:tcPr>
            <w:tcW w:w="1395"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540" w:hRule="atLeast"/>
        </w:trPr>
        <w:tc>
          <w:tcPr>
            <w:tcW w:w="14081" w:type="dxa"/>
            <w:gridSpan w:val="8"/>
            <w:tcBorders>
              <w:top w:val="single" w:color="auto" w:sz="4" w:space="0"/>
              <w:left w:val="nil"/>
              <w:bottom w:val="nil"/>
              <w:right w:val="nil"/>
            </w:tcBorders>
            <w:shd w:val="clear" w:color="auto" w:fill="FFFFFF"/>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注：本表反映部门本年度各项支出情况。</w:t>
            </w:r>
          </w:p>
        </w:tc>
      </w:tr>
    </w:tbl>
    <w:p>
      <w:pPr>
        <w:rPr>
          <w:rFonts w:hint="eastAsia"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tbl>
      <w:tblPr>
        <w:tblStyle w:val="16"/>
        <w:tblW w:w="14209" w:type="dxa"/>
        <w:tblInd w:w="93" w:type="dxa"/>
        <w:tblLayout w:type="fixed"/>
        <w:tblCellMar>
          <w:top w:w="0" w:type="dxa"/>
          <w:left w:w="108" w:type="dxa"/>
          <w:bottom w:w="0" w:type="dxa"/>
          <w:right w:w="108" w:type="dxa"/>
        </w:tblCellMar>
      </w:tblPr>
      <w:tblGrid>
        <w:gridCol w:w="3379"/>
        <w:gridCol w:w="510"/>
        <w:gridCol w:w="1800"/>
        <w:gridCol w:w="2685"/>
        <w:gridCol w:w="660"/>
        <w:gridCol w:w="1680"/>
        <w:gridCol w:w="1665"/>
        <w:gridCol w:w="930"/>
        <w:gridCol w:w="900"/>
      </w:tblGrid>
      <w:tr>
        <w:tblPrEx>
          <w:tblCellMar>
            <w:top w:w="0" w:type="dxa"/>
            <w:left w:w="108" w:type="dxa"/>
            <w:bottom w:w="0" w:type="dxa"/>
            <w:right w:w="108" w:type="dxa"/>
          </w:tblCellMar>
        </w:tblPrEx>
        <w:trPr>
          <w:trHeight w:val="700" w:hRule="atLeast"/>
        </w:trPr>
        <w:tc>
          <w:tcPr>
            <w:tcW w:w="14209" w:type="dxa"/>
            <w:gridSpan w:val="9"/>
            <w:tcBorders>
              <w:top w:val="nil"/>
              <w:left w:val="nil"/>
              <w:bottom w:val="nil"/>
              <w:right w:val="nil"/>
            </w:tcBorders>
            <w:vAlign w:val="center"/>
          </w:tcPr>
          <w:p>
            <w:pPr>
              <w:widowControl/>
              <w:jc w:val="center"/>
              <w:textAlignment w:val="center"/>
              <w:rPr>
                <w:rFonts w:hint="eastAsia" w:ascii="宋体" w:hAnsi="宋体" w:cs="宋体"/>
                <w:b/>
                <w:bCs/>
                <w:color w:val="000000"/>
                <w:sz w:val="36"/>
                <w:szCs w:val="36"/>
              </w:rPr>
            </w:pPr>
            <w:r>
              <w:rPr>
                <w:rFonts w:hint="eastAsia" w:ascii="宋体" w:hAnsi="宋体" w:cs="宋体"/>
                <w:b/>
                <w:bCs/>
                <w:color w:val="000000"/>
                <w:kern w:val="0"/>
                <w:sz w:val="36"/>
                <w:szCs w:val="36"/>
                <w:lang w:bidi="ar"/>
              </w:rPr>
              <w:t>财政拨款收入支出决算总表</w:t>
            </w:r>
          </w:p>
        </w:tc>
      </w:tr>
      <w:tr>
        <w:tblPrEx>
          <w:tblCellMar>
            <w:top w:w="0" w:type="dxa"/>
            <w:left w:w="108" w:type="dxa"/>
            <w:bottom w:w="0" w:type="dxa"/>
            <w:right w:w="108" w:type="dxa"/>
          </w:tblCellMar>
        </w:tblPrEx>
        <w:trPr>
          <w:trHeight w:val="380" w:hRule="atLeast"/>
        </w:trPr>
        <w:tc>
          <w:tcPr>
            <w:tcW w:w="14209" w:type="dxa"/>
            <w:gridSpan w:val="9"/>
            <w:tcBorders>
              <w:top w:val="nil"/>
              <w:left w:val="nil"/>
              <w:bottom w:val="nil"/>
              <w:right w:val="nil"/>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单位：信阳市第六高级中学                 2024年度                          公开04表</w:t>
            </w:r>
          </w:p>
        </w:tc>
      </w:tr>
      <w:tr>
        <w:tblPrEx>
          <w:tblCellMar>
            <w:top w:w="0" w:type="dxa"/>
            <w:left w:w="108" w:type="dxa"/>
            <w:bottom w:w="0" w:type="dxa"/>
            <w:right w:w="108" w:type="dxa"/>
          </w:tblCellMar>
        </w:tblPrEx>
        <w:trPr>
          <w:trHeight w:val="380" w:hRule="atLeast"/>
        </w:trPr>
        <w:tc>
          <w:tcPr>
            <w:tcW w:w="14209" w:type="dxa"/>
            <w:gridSpan w:val="9"/>
            <w:tcBorders>
              <w:top w:val="nil"/>
              <w:left w:val="nil"/>
              <w:bottom w:val="nil"/>
              <w:right w:val="nil"/>
            </w:tcBorders>
            <w:vAlign w:val="bottom"/>
          </w:tcPr>
          <w:p>
            <w:pPr>
              <w:widowControl/>
              <w:jc w:val="center"/>
              <w:textAlignment w:val="bottom"/>
              <w:rPr>
                <w:rFonts w:hint="eastAsia" w:ascii="宋体" w:hAnsi="宋体" w:cs="宋体"/>
                <w:color w:val="000000"/>
                <w:sz w:val="18"/>
                <w:szCs w:val="18"/>
              </w:rPr>
            </w:pPr>
            <w:r>
              <w:rPr>
                <w:rFonts w:hint="eastAsia" w:ascii="宋体" w:hAnsi="宋体" w:cs="宋体"/>
                <w:color w:val="000000"/>
                <w:kern w:val="0"/>
                <w:sz w:val="18"/>
                <w:szCs w:val="18"/>
                <w:lang w:bidi="ar"/>
              </w:rPr>
              <w:t xml:space="preserve">                                                                                                          金额单位：元</w:t>
            </w:r>
          </w:p>
        </w:tc>
      </w:tr>
      <w:tr>
        <w:tblPrEx>
          <w:tblCellMar>
            <w:top w:w="0" w:type="dxa"/>
            <w:left w:w="108" w:type="dxa"/>
            <w:bottom w:w="0" w:type="dxa"/>
            <w:right w:w="108" w:type="dxa"/>
          </w:tblCellMar>
        </w:tblPrEx>
        <w:trPr>
          <w:trHeight w:val="300" w:hRule="atLeast"/>
        </w:trPr>
        <w:tc>
          <w:tcPr>
            <w:tcW w:w="5689"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收     入</w:t>
            </w:r>
          </w:p>
        </w:tc>
        <w:tc>
          <w:tcPr>
            <w:tcW w:w="8520" w:type="dxa"/>
            <w:gridSpan w:val="6"/>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支     出</w:t>
            </w:r>
          </w:p>
        </w:tc>
      </w:tr>
      <w:tr>
        <w:tblPrEx>
          <w:tblCellMar>
            <w:top w:w="0" w:type="dxa"/>
            <w:left w:w="108" w:type="dxa"/>
            <w:bottom w:w="0" w:type="dxa"/>
            <w:right w:w="108" w:type="dxa"/>
          </w:tblCellMar>
        </w:tblPrEx>
        <w:trPr>
          <w:trHeight w:val="521" w:hRule="atLeast"/>
        </w:trPr>
        <w:tc>
          <w:tcPr>
            <w:tcW w:w="337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项目</w:t>
            </w:r>
          </w:p>
        </w:tc>
        <w:tc>
          <w:tcPr>
            <w:tcW w:w="51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行次</w:t>
            </w:r>
          </w:p>
        </w:tc>
        <w:tc>
          <w:tcPr>
            <w:tcW w:w="180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金额</w:t>
            </w:r>
          </w:p>
        </w:tc>
        <w:tc>
          <w:tcPr>
            <w:tcW w:w="268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项目</w:t>
            </w:r>
          </w:p>
        </w:tc>
        <w:tc>
          <w:tcPr>
            <w:tcW w:w="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行次</w:t>
            </w:r>
          </w:p>
        </w:tc>
        <w:tc>
          <w:tcPr>
            <w:tcW w:w="1680"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合计</w:t>
            </w:r>
          </w:p>
        </w:tc>
        <w:tc>
          <w:tcPr>
            <w:tcW w:w="16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一般公共预算财政拨款</w:t>
            </w:r>
          </w:p>
        </w:tc>
        <w:tc>
          <w:tcPr>
            <w:tcW w:w="93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政府性基金预算财政拨款</w:t>
            </w:r>
          </w:p>
        </w:tc>
        <w:tc>
          <w:tcPr>
            <w:tcW w:w="90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国有资本经营预算财政拨款</w:t>
            </w:r>
          </w:p>
        </w:tc>
      </w:tr>
      <w:tr>
        <w:tblPrEx>
          <w:tblCellMar>
            <w:top w:w="0" w:type="dxa"/>
            <w:left w:w="108" w:type="dxa"/>
            <w:bottom w:w="0" w:type="dxa"/>
            <w:right w:w="108" w:type="dxa"/>
          </w:tblCellMar>
        </w:tblPrEx>
        <w:trPr>
          <w:trHeight w:val="920" w:hRule="atLeast"/>
        </w:trPr>
        <w:tc>
          <w:tcPr>
            <w:tcW w:w="33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51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80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268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6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68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2"/>
              </w:rPr>
            </w:pPr>
          </w:p>
        </w:tc>
        <w:tc>
          <w:tcPr>
            <w:tcW w:w="16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93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90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栏次</w:t>
            </w:r>
          </w:p>
        </w:tc>
        <w:tc>
          <w:tcPr>
            <w:tcW w:w="51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2"/>
              </w:rPr>
            </w:pPr>
          </w:p>
        </w:tc>
        <w:tc>
          <w:tcPr>
            <w:tcW w:w="180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w:t>
            </w: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栏次</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2"/>
              </w:rPr>
            </w:pPr>
          </w:p>
        </w:tc>
        <w:tc>
          <w:tcPr>
            <w:tcW w:w="168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w:t>
            </w:r>
          </w:p>
        </w:tc>
        <w:tc>
          <w:tcPr>
            <w:tcW w:w="166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4</w:t>
            </w:r>
          </w:p>
        </w:tc>
        <w:tc>
          <w:tcPr>
            <w:tcW w:w="90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5</w:t>
            </w:r>
          </w:p>
        </w:tc>
      </w:tr>
      <w:tr>
        <w:tblPrEx>
          <w:tblCellMar>
            <w:top w:w="0" w:type="dxa"/>
            <w:left w:w="108" w:type="dxa"/>
            <w:bottom w:w="0" w:type="dxa"/>
            <w:right w:w="108" w:type="dxa"/>
          </w:tblCellMar>
        </w:tblPrEx>
        <w:trPr>
          <w:trHeight w:val="60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一、一般公共预算财政拨款</w:t>
            </w: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41,188,147.21</w:t>
            </w: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一、一般公共服务支出</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33</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166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60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二、政府性基金预算财政拨款</w:t>
            </w: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二、外交支出</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34</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166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60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三、国有资本经营预算财政拨款</w:t>
            </w: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三、国防支出</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35</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166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 w:val="22"/>
              </w:rPr>
            </w:pP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4</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四、公共安全支出</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36</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166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 w:val="22"/>
              </w:rPr>
            </w:pP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5</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五、教育支出</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37</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35,011,674.25</w:t>
            </w:r>
          </w:p>
        </w:tc>
        <w:tc>
          <w:tcPr>
            <w:tcW w:w="1665"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35,011,674.25</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 w:val="22"/>
              </w:rPr>
            </w:pP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6</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六、科学技术支出</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38</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166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 w:val="22"/>
              </w:rPr>
            </w:pP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7</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18"/>
                <w:szCs w:val="18"/>
                <w:lang w:bidi="ar"/>
              </w:rPr>
              <w:t>七、文化旅游体育与传媒支出</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39</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166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 w:val="22"/>
              </w:rPr>
            </w:pP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8</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八、社会保障和就业支出</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40</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3,529,413.12</w:t>
            </w:r>
          </w:p>
        </w:tc>
        <w:tc>
          <w:tcPr>
            <w:tcW w:w="1665"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3,529,413.12</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 w:val="22"/>
              </w:rPr>
            </w:pP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9</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九、卫生健康支出</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41</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166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 w:val="22"/>
              </w:rPr>
            </w:pP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10</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十、节能环保支出</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42</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166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 w:val="22"/>
              </w:rPr>
            </w:pP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11</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十一、城乡社区支出</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43</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166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 w:val="22"/>
              </w:rPr>
            </w:pP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12</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十二、农林水支出</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44</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166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 w:val="22"/>
              </w:rPr>
            </w:pP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13</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十三、交通运输支出</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45</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166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 w:val="22"/>
              </w:rPr>
            </w:pP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14</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十四、资源勘探工业信息等支出</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46</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166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 w:val="22"/>
              </w:rPr>
            </w:pP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15</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十五、商业服务业等支出</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47</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166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 w:val="22"/>
              </w:rPr>
            </w:pP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16</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十六、金融支出</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48</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166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 w:val="22"/>
              </w:rPr>
            </w:pP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17</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十七、援助其他地区支出</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49</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166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 w:val="22"/>
              </w:rPr>
            </w:pP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18</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18"/>
                <w:szCs w:val="18"/>
                <w:lang w:bidi="ar"/>
              </w:rPr>
              <w:t>十八、自然资源海洋气象等支出</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50</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166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 w:val="22"/>
              </w:rPr>
            </w:pP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19</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十九、住房保障支出</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51</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2,647,059.84</w:t>
            </w:r>
          </w:p>
        </w:tc>
        <w:tc>
          <w:tcPr>
            <w:tcW w:w="1665"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2,647,059.84</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 w:val="22"/>
              </w:rPr>
            </w:pP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20</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二十、粮油物资储备支出</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52</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166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 w:val="22"/>
              </w:rPr>
            </w:pP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21</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18"/>
                <w:szCs w:val="18"/>
                <w:lang w:bidi="ar"/>
              </w:rPr>
              <w:t>二十一、国有资本经营预算支出</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53</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166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 w:val="22"/>
              </w:rPr>
            </w:pP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22</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二十二、灾害防治及应急管理支出</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54</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166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 w:val="22"/>
              </w:rPr>
            </w:pP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23</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二十三、其他支出</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55</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166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b/>
                <w:bCs/>
                <w:color w:val="000000"/>
                <w:sz w:val="20"/>
                <w:szCs w:val="20"/>
              </w:rPr>
            </w:pP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24</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二十四、债务还本支出</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56</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166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 w:val="20"/>
                <w:szCs w:val="20"/>
              </w:rPr>
            </w:pP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25</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二十五、债务付息支出</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57</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166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 w:val="20"/>
                <w:szCs w:val="20"/>
              </w:rPr>
            </w:pP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26</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二十六、抗疫特别国债安排的支出</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58</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166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 w:val="22"/>
              </w:rPr>
            </w:pPr>
            <w:r>
              <w:rPr>
                <w:rFonts w:hint="eastAsia" w:ascii="宋体" w:hAnsi="宋体" w:cs="宋体"/>
                <w:b/>
                <w:bCs/>
                <w:color w:val="000000"/>
                <w:kern w:val="0"/>
                <w:sz w:val="22"/>
                <w:lang w:bidi="ar"/>
              </w:rPr>
              <w:t>本年收入合计</w:t>
            </w: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27</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41,188,147.21</w:t>
            </w: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 w:val="22"/>
              </w:rPr>
            </w:pPr>
            <w:r>
              <w:rPr>
                <w:rFonts w:hint="eastAsia" w:ascii="宋体" w:hAnsi="宋体" w:cs="宋体"/>
                <w:b/>
                <w:bCs/>
                <w:color w:val="000000"/>
                <w:kern w:val="0"/>
                <w:sz w:val="22"/>
                <w:lang w:bidi="ar"/>
              </w:rPr>
              <w:t>本年支出合计</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59</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41,188,147.21</w:t>
            </w:r>
          </w:p>
        </w:tc>
        <w:tc>
          <w:tcPr>
            <w:tcW w:w="1665"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41,188,147.21</w:t>
            </w: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48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年初财政拨款结转和结余</w:t>
            </w: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28</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26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年末财政拨款结转和结余</w:t>
            </w: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60</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166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480" w:hRule="atLeast"/>
        </w:trPr>
        <w:tc>
          <w:tcPr>
            <w:tcW w:w="337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一般公共预算财政拨款</w:t>
            </w:r>
          </w:p>
        </w:tc>
        <w:tc>
          <w:tcPr>
            <w:tcW w:w="5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29</w:t>
            </w:r>
          </w:p>
        </w:tc>
        <w:tc>
          <w:tcPr>
            <w:tcW w:w="18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2685"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 w:val="22"/>
              </w:rPr>
            </w:pPr>
          </w:p>
        </w:tc>
        <w:tc>
          <w:tcPr>
            <w:tcW w:w="66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61</w:t>
            </w:r>
          </w:p>
        </w:tc>
        <w:tc>
          <w:tcPr>
            <w:tcW w:w="168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166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0"/>
                <w:szCs w:val="20"/>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480" w:hRule="atLeast"/>
        </w:trPr>
        <w:tc>
          <w:tcPr>
            <w:tcW w:w="3379" w:type="dxa"/>
            <w:tcBorders>
              <w:top w:val="single" w:color="000000" w:sz="4" w:space="0"/>
              <w:left w:val="single" w:color="000000" w:sz="4" w:space="0"/>
              <w:bottom w:val="single" w:color="auto"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政府性基金预算财政拨款</w:t>
            </w:r>
          </w:p>
        </w:tc>
        <w:tc>
          <w:tcPr>
            <w:tcW w:w="510" w:type="dxa"/>
            <w:tcBorders>
              <w:top w:val="single" w:color="000000" w:sz="4" w:space="0"/>
              <w:left w:val="single" w:color="000000" w:sz="4" w:space="0"/>
              <w:bottom w:val="single" w:color="auto"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30</w:t>
            </w:r>
          </w:p>
        </w:tc>
        <w:tc>
          <w:tcPr>
            <w:tcW w:w="1800" w:type="dxa"/>
            <w:tcBorders>
              <w:top w:val="single" w:color="000000" w:sz="4" w:space="0"/>
              <w:left w:val="single" w:color="000000" w:sz="4" w:space="0"/>
              <w:bottom w:val="single" w:color="auto" w:sz="4" w:space="0"/>
              <w:right w:val="single" w:color="000000" w:sz="4" w:space="0"/>
            </w:tcBorders>
            <w:noWrap/>
            <w:vAlign w:val="center"/>
          </w:tcPr>
          <w:p>
            <w:pPr>
              <w:jc w:val="right"/>
              <w:rPr>
                <w:rFonts w:hint="eastAsia" w:ascii="宋体" w:hAnsi="宋体" w:cs="宋体"/>
                <w:color w:val="000000"/>
                <w:sz w:val="20"/>
                <w:szCs w:val="20"/>
              </w:rPr>
            </w:pPr>
          </w:p>
        </w:tc>
        <w:tc>
          <w:tcPr>
            <w:tcW w:w="2685" w:type="dxa"/>
            <w:tcBorders>
              <w:top w:val="single" w:color="000000" w:sz="4" w:space="0"/>
              <w:left w:val="single" w:color="000000" w:sz="4" w:space="0"/>
              <w:bottom w:val="single" w:color="auto" w:sz="4" w:space="0"/>
              <w:right w:val="single" w:color="000000" w:sz="4" w:space="0"/>
            </w:tcBorders>
            <w:vAlign w:val="center"/>
          </w:tcPr>
          <w:p>
            <w:pPr>
              <w:jc w:val="left"/>
              <w:rPr>
                <w:rFonts w:hint="eastAsia" w:ascii="宋体" w:hAnsi="宋体" w:cs="宋体"/>
                <w:color w:val="000000"/>
                <w:sz w:val="22"/>
              </w:rPr>
            </w:pPr>
          </w:p>
        </w:tc>
        <w:tc>
          <w:tcPr>
            <w:tcW w:w="660" w:type="dxa"/>
            <w:tcBorders>
              <w:top w:val="single" w:color="000000" w:sz="4" w:space="0"/>
              <w:left w:val="single" w:color="000000" w:sz="4" w:space="0"/>
              <w:bottom w:val="single" w:color="auto"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62</w:t>
            </w:r>
          </w:p>
        </w:tc>
        <w:tc>
          <w:tcPr>
            <w:tcW w:w="1680" w:type="dxa"/>
            <w:tcBorders>
              <w:top w:val="single" w:color="000000" w:sz="4" w:space="0"/>
              <w:left w:val="single" w:color="000000" w:sz="4" w:space="0"/>
              <w:bottom w:val="single" w:color="auto" w:sz="4" w:space="0"/>
              <w:right w:val="single" w:color="000000" w:sz="4" w:space="0"/>
            </w:tcBorders>
            <w:noWrap/>
            <w:vAlign w:val="center"/>
          </w:tcPr>
          <w:p>
            <w:pPr>
              <w:jc w:val="right"/>
              <w:rPr>
                <w:rFonts w:hint="eastAsia" w:ascii="宋体" w:hAnsi="宋体" w:cs="宋体"/>
                <w:color w:val="000000"/>
                <w:sz w:val="20"/>
                <w:szCs w:val="20"/>
              </w:rPr>
            </w:pPr>
          </w:p>
        </w:tc>
        <w:tc>
          <w:tcPr>
            <w:tcW w:w="1665" w:type="dxa"/>
            <w:tcBorders>
              <w:top w:val="single" w:color="000000" w:sz="4" w:space="0"/>
              <w:left w:val="single" w:color="000000" w:sz="4" w:space="0"/>
              <w:bottom w:val="single" w:color="auto" w:sz="4" w:space="0"/>
              <w:right w:val="single" w:color="000000" w:sz="4" w:space="0"/>
            </w:tcBorders>
            <w:noWrap/>
            <w:vAlign w:val="center"/>
          </w:tcPr>
          <w:p>
            <w:pPr>
              <w:jc w:val="right"/>
              <w:rPr>
                <w:rFonts w:hint="eastAsia" w:ascii="宋体" w:hAnsi="宋体" w:cs="宋体"/>
                <w:color w:val="000000"/>
                <w:sz w:val="20"/>
                <w:szCs w:val="20"/>
              </w:rPr>
            </w:pPr>
          </w:p>
        </w:tc>
        <w:tc>
          <w:tcPr>
            <w:tcW w:w="930" w:type="dxa"/>
            <w:tcBorders>
              <w:top w:val="single" w:color="000000" w:sz="4" w:space="0"/>
              <w:left w:val="single" w:color="000000" w:sz="4" w:space="0"/>
              <w:bottom w:val="single" w:color="auto" w:sz="4" w:space="0"/>
              <w:right w:val="single" w:color="000000" w:sz="4" w:space="0"/>
            </w:tcBorders>
            <w:noWrap/>
            <w:vAlign w:val="center"/>
          </w:tcPr>
          <w:p>
            <w:pPr>
              <w:jc w:val="right"/>
              <w:rPr>
                <w:rFonts w:hint="eastAsia" w:ascii="宋体" w:hAnsi="宋体" w:cs="宋体"/>
                <w:color w:val="000000"/>
                <w:sz w:val="22"/>
              </w:rPr>
            </w:pPr>
          </w:p>
        </w:tc>
        <w:tc>
          <w:tcPr>
            <w:tcW w:w="900" w:type="dxa"/>
            <w:tcBorders>
              <w:top w:val="single" w:color="000000" w:sz="4" w:space="0"/>
              <w:left w:val="single" w:color="000000" w:sz="4" w:space="0"/>
              <w:bottom w:val="single" w:color="auto" w:sz="4" w:space="0"/>
              <w:right w:val="single" w:color="000000"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406" w:hRule="atLeast"/>
        </w:trPr>
        <w:tc>
          <w:tcPr>
            <w:tcW w:w="3379"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国有资本经营预算财政拨款</w:t>
            </w:r>
          </w:p>
        </w:tc>
        <w:tc>
          <w:tcPr>
            <w:tcW w:w="510"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31</w:t>
            </w:r>
          </w:p>
        </w:tc>
        <w:tc>
          <w:tcPr>
            <w:tcW w:w="1800" w:type="dxa"/>
            <w:tcBorders>
              <w:top w:val="single" w:color="auto" w:sz="4" w:space="0"/>
              <w:left w:val="single" w:color="auto" w:sz="4" w:space="0"/>
              <w:bottom w:val="single" w:color="auto" w:sz="4" w:space="0"/>
              <w:right w:val="single" w:color="auto" w:sz="4" w:space="0"/>
            </w:tcBorders>
            <w:noWrap/>
            <w:vAlign w:val="center"/>
          </w:tcPr>
          <w:p>
            <w:pPr>
              <w:jc w:val="right"/>
              <w:rPr>
                <w:rFonts w:hint="eastAsia" w:ascii="宋体" w:hAnsi="宋体" w:cs="宋体"/>
                <w:color w:val="000000"/>
                <w:sz w:val="20"/>
                <w:szCs w:val="20"/>
              </w:rPr>
            </w:pPr>
          </w:p>
        </w:tc>
        <w:tc>
          <w:tcPr>
            <w:tcW w:w="2685"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cs="宋体"/>
                <w:color w:val="000000"/>
                <w:sz w:val="22"/>
              </w:rPr>
            </w:pPr>
          </w:p>
        </w:tc>
        <w:tc>
          <w:tcPr>
            <w:tcW w:w="660"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63</w:t>
            </w:r>
          </w:p>
        </w:tc>
        <w:tc>
          <w:tcPr>
            <w:tcW w:w="1680" w:type="dxa"/>
            <w:tcBorders>
              <w:top w:val="single" w:color="auto" w:sz="4" w:space="0"/>
              <w:left w:val="single" w:color="auto" w:sz="4" w:space="0"/>
              <w:bottom w:val="single" w:color="auto" w:sz="4" w:space="0"/>
              <w:right w:val="single" w:color="auto" w:sz="4" w:space="0"/>
            </w:tcBorders>
            <w:noWrap/>
            <w:vAlign w:val="center"/>
          </w:tcPr>
          <w:p>
            <w:pPr>
              <w:jc w:val="right"/>
              <w:rPr>
                <w:rFonts w:hint="eastAsia" w:ascii="宋体" w:hAnsi="宋体" w:cs="宋体"/>
                <w:color w:val="000000"/>
                <w:sz w:val="20"/>
                <w:szCs w:val="20"/>
              </w:rPr>
            </w:pPr>
          </w:p>
        </w:tc>
        <w:tc>
          <w:tcPr>
            <w:tcW w:w="1665" w:type="dxa"/>
            <w:tcBorders>
              <w:top w:val="single" w:color="auto" w:sz="4" w:space="0"/>
              <w:left w:val="single" w:color="auto" w:sz="4" w:space="0"/>
              <w:bottom w:val="single" w:color="auto" w:sz="4" w:space="0"/>
              <w:right w:val="single" w:color="auto" w:sz="4" w:space="0"/>
            </w:tcBorders>
            <w:noWrap/>
            <w:vAlign w:val="center"/>
          </w:tcPr>
          <w:p>
            <w:pPr>
              <w:jc w:val="right"/>
              <w:rPr>
                <w:rFonts w:hint="eastAsia" w:ascii="宋体" w:hAnsi="宋体" w:cs="宋体"/>
                <w:color w:val="000000"/>
                <w:sz w:val="20"/>
                <w:szCs w:val="20"/>
              </w:rPr>
            </w:pPr>
          </w:p>
        </w:tc>
        <w:tc>
          <w:tcPr>
            <w:tcW w:w="930" w:type="dxa"/>
            <w:tcBorders>
              <w:top w:val="single" w:color="auto" w:sz="4" w:space="0"/>
              <w:left w:val="single" w:color="auto" w:sz="4" w:space="0"/>
              <w:bottom w:val="single" w:color="auto" w:sz="4" w:space="0"/>
              <w:right w:val="single" w:color="auto" w:sz="4" w:space="0"/>
            </w:tcBorders>
            <w:noWrap/>
            <w:vAlign w:val="center"/>
          </w:tcPr>
          <w:p>
            <w:pPr>
              <w:jc w:val="right"/>
              <w:rPr>
                <w:rFonts w:hint="eastAsia" w:ascii="宋体" w:hAnsi="宋体" w:cs="宋体"/>
                <w:color w:val="000000"/>
                <w:sz w:val="22"/>
              </w:rPr>
            </w:pPr>
          </w:p>
        </w:tc>
        <w:tc>
          <w:tcPr>
            <w:tcW w:w="900" w:type="dxa"/>
            <w:tcBorders>
              <w:top w:val="single" w:color="auto" w:sz="4" w:space="0"/>
              <w:left w:val="single" w:color="auto" w:sz="4" w:space="0"/>
              <w:bottom w:val="single" w:color="auto" w:sz="4" w:space="0"/>
              <w:right w:val="single" w:color="auto"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337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b/>
                <w:bCs/>
                <w:color w:val="000000"/>
                <w:sz w:val="22"/>
              </w:rPr>
            </w:pPr>
            <w:r>
              <w:rPr>
                <w:rFonts w:hint="eastAsia" w:ascii="宋体" w:hAnsi="宋体" w:cs="宋体"/>
                <w:b/>
                <w:bCs/>
                <w:color w:val="000000"/>
                <w:kern w:val="0"/>
                <w:sz w:val="22"/>
                <w:lang w:bidi="ar"/>
              </w:rPr>
              <w:t>总计</w:t>
            </w:r>
          </w:p>
        </w:tc>
        <w:tc>
          <w:tcPr>
            <w:tcW w:w="510"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32</w:t>
            </w:r>
          </w:p>
        </w:tc>
        <w:tc>
          <w:tcPr>
            <w:tcW w:w="1800" w:type="dxa"/>
            <w:tcBorders>
              <w:top w:val="single" w:color="auto" w:sz="4" w:space="0"/>
              <w:left w:val="single" w:color="auto" w:sz="4" w:space="0"/>
              <w:bottom w:val="single" w:color="auto" w:sz="4" w:space="0"/>
              <w:right w:val="single" w:color="auto" w:sz="4" w:space="0"/>
            </w:tcBorders>
            <w:noWrap/>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41,188,147.21</w:t>
            </w:r>
          </w:p>
        </w:tc>
        <w:tc>
          <w:tcPr>
            <w:tcW w:w="268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b/>
                <w:bCs/>
                <w:color w:val="000000"/>
                <w:sz w:val="22"/>
              </w:rPr>
            </w:pPr>
            <w:r>
              <w:rPr>
                <w:rFonts w:hint="eastAsia" w:ascii="宋体" w:hAnsi="宋体" w:cs="宋体"/>
                <w:b/>
                <w:bCs/>
                <w:color w:val="000000"/>
                <w:kern w:val="0"/>
                <w:sz w:val="22"/>
                <w:lang w:bidi="ar"/>
              </w:rPr>
              <w:t>总计</w:t>
            </w:r>
          </w:p>
        </w:tc>
        <w:tc>
          <w:tcPr>
            <w:tcW w:w="660"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64</w:t>
            </w:r>
          </w:p>
        </w:tc>
        <w:tc>
          <w:tcPr>
            <w:tcW w:w="1680" w:type="dxa"/>
            <w:tcBorders>
              <w:top w:val="single" w:color="auto" w:sz="4" w:space="0"/>
              <w:left w:val="single" w:color="auto" w:sz="4" w:space="0"/>
              <w:bottom w:val="single" w:color="auto" w:sz="4" w:space="0"/>
              <w:right w:val="single" w:color="auto" w:sz="4" w:space="0"/>
            </w:tcBorders>
            <w:noWrap/>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41,188,147.21</w:t>
            </w:r>
          </w:p>
        </w:tc>
        <w:tc>
          <w:tcPr>
            <w:tcW w:w="1665" w:type="dxa"/>
            <w:tcBorders>
              <w:top w:val="single" w:color="auto" w:sz="4" w:space="0"/>
              <w:left w:val="single" w:color="auto" w:sz="4" w:space="0"/>
              <w:bottom w:val="single" w:color="auto" w:sz="4" w:space="0"/>
              <w:right w:val="single" w:color="auto" w:sz="4" w:space="0"/>
            </w:tcBorders>
            <w:noWrap/>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41,188,147.21</w:t>
            </w:r>
          </w:p>
        </w:tc>
        <w:tc>
          <w:tcPr>
            <w:tcW w:w="930" w:type="dxa"/>
            <w:tcBorders>
              <w:top w:val="single" w:color="auto" w:sz="4" w:space="0"/>
              <w:left w:val="single" w:color="auto" w:sz="4" w:space="0"/>
              <w:bottom w:val="single" w:color="auto" w:sz="4" w:space="0"/>
              <w:right w:val="single" w:color="auto" w:sz="4" w:space="0"/>
            </w:tcBorders>
            <w:noWrap/>
            <w:vAlign w:val="center"/>
          </w:tcPr>
          <w:p>
            <w:pPr>
              <w:jc w:val="right"/>
              <w:rPr>
                <w:rFonts w:hint="eastAsia" w:ascii="宋体" w:hAnsi="宋体" w:cs="宋体"/>
                <w:color w:val="000000"/>
                <w:sz w:val="22"/>
              </w:rPr>
            </w:pPr>
          </w:p>
        </w:tc>
        <w:tc>
          <w:tcPr>
            <w:tcW w:w="900" w:type="dxa"/>
            <w:tcBorders>
              <w:top w:val="single" w:color="auto" w:sz="4" w:space="0"/>
              <w:left w:val="single" w:color="auto" w:sz="4" w:space="0"/>
              <w:bottom w:val="single" w:color="auto" w:sz="4" w:space="0"/>
              <w:right w:val="single" w:color="auto"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13309" w:type="dxa"/>
            <w:gridSpan w:val="8"/>
            <w:tcBorders>
              <w:top w:val="single" w:color="auto" w:sz="4" w:space="0"/>
              <w:left w:val="nil"/>
              <w:bottom w:val="nil"/>
              <w:right w:val="nil"/>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注：本表反映部门本年度一般公共预算财政拨款、政府性基金预算财政拨款和国有资本经营预算财政拨款的总收支和年末结转结余情况。</w:t>
            </w:r>
          </w:p>
        </w:tc>
        <w:tc>
          <w:tcPr>
            <w:tcW w:w="900" w:type="dxa"/>
            <w:tcBorders>
              <w:top w:val="single" w:color="auto" w:sz="4" w:space="0"/>
              <w:left w:val="nil"/>
              <w:bottom w:val="nil"/>
              <w:right w:val="nil"/>
            </w:tcBorders>
            <w:noWrap/>
            <w:vAlign w:val="center"/>
          </w:tcPr>
          <w:p>
            <w:pPr>
              <w:jc w:val="left"/>
              <w:rPr>
                <w:rFonts w:hint="eastAsia" w:ascii="宋体" w:hAnsi="宋体" w:cs="宋体"/>
                <w:color w:val="000000"/>
                <w:sz w:val="20"/>
                <w:szCs w:val="20"/>
              </w:rPr>
            </w:pPr>
          </w:p>
        </w:tc>
      </w:tr>
    </w:tbl>
    <w:p>
      <w:pPr>
        <w:rPr>
          <w:rFonts w:hint="eastAsia"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tbl>
      <w:tblPr>
        <w:tblStyle w:val="16"/>
        <w:tblW w:w="13236" w:type="dxa"/>
        <w:tblInd w:w="91" w:type="dxa"/>
        <w:tblLayout w:type="fixed"/>
        <w:tblCellMar>
          <w:top w:w="0" w:type="dxa"/>
          <w:left w:w="108" w:type="dxa"/>
          <w:bottom w:w="0" w:type="dxa"/>
          <w:right w:w="108" w:type="dxa"/>
        </w:tblCellMar>
      </w:tblPr>
      <w:tblGrid>
        <w:gridCol w:w="1425"/>
        <w:gridCol w:w="4281"/>
        <w:gridCol w:w="2610"/>
        <w:gridCol w:w="2685"/>
        <w:gridCol w:w="2235"/>
      </w:tblGrid>
      <w:tr>
        <w:tblPrEx>
          <w:tblCellMar>
            <w:top w:w="0" w:type="dxa"/>
            <w:left w:w="108" w:type="dxa"/>
            <w:bottom w:w="0" w:type="dxa"/>
            <w:right w:w="108" w:type="dxa"/>
          </w:tblCellMar>
        </w:tblPrEx>
        <w:trPr>
          <w:trHeight w:val="540" w:hRule="atLeast"/>
        </w:trPr>
        <w:tc>
          <w:tcPr>
            <w:tcW w:w="13236" w:type="dxa"/>
            <w:gridSpan w:val="5"/>
            <w:tcBorders>
              <w:top w:val="nil"/>
              <w:left w:val="nil"/>
              <w:bottom w:val="nil"/>
              <w:right w:val="nil"/>
            </w:tcBorders>
            <w:noWrap/>
            <w:vAlign w:val="center"/>
          </w:tcPr>
          <w:p>
            <w:pPr>
              <w:widowControl/>
              <w:jc w:val="center"/>
              <w:textAlignment w:val="center"/>
              <w:rPr>
                <w:rFonts w:hint="eastAsia" w:ascii="宋体" w:hAnsi="宋体" w:cs="宋体"/>
                <w:b/>
                <w:bCs/>
                <w:color w:val="000000"/>
                <w:sz w:val="36"/>
                <w:szCs w:val="36"/>
              </w:rPr>
            </w:pPr>
            <w:r>
              <w:rPr>
                <w:rFonts w:hint="eastAsia" w:ascii="宋体" w:hAnsi="宋体" w:cs="宋体"/>
                <w:b/>
                <w:bCs/>
                <w:color w:val="000000"/>
                <w:kern w:val="0"/>
                <w:sz w:val="36"/>
                <w:szCs w:val="36"/>
                <w:lang w:bidi="ar"/>
              </w:rPr>
              <w:t>一般公共预算财政拨款收入支出决算表</w:t>
            </w:r>
          </w:p>
        </w:tc>
      </w:tr>
      <w:tr>
        <w:tblPrEx>
          <w:tblCellMar>
            <w:top w:w="0" w:type="dxa"/>
            <w:left w:w="108" w:type="dxa"/>
            <w:bottom w:w="0" w:type="dxa"/>
            <w:right w:w="108" w:type="dxa"/>
          </w:tblCellMar>
        </w:tblPrEx>
        <w:trPr>
          <w:trHeight w:val="380" w:hRule="atLeast"/>
        </w:trPr>
        <w:tc>
          <w:tcPr>
            <w:tcW w:w="13236" w:type="dxa"/>
            <w:gridSpan w:val="5"/>
            <w:tcBorders>
              <w:top w:val="nil"/>
              <w:left w:val="nil"/>
              <w:bottom w:val="nil"/>
              <w:right w:val="nil"/>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单位：信阳市第六高级中学               2024年度          公开05表</w:t>
            </w:r>
          </w:p>
        </w:tc>
      </w:tr>
      <w:tr>
        <w:tblPrEx>
          <w:tblCellMar>
            <w:top w:w="0" w:type="dxa"/>
            <w:left w:w="108" w:type="dxa"/>
            <w:bottom w:w="0" w:type="dxa"/>
            <w:right w:w="108" w:type="dxa"/>
          </w:tblCellMar>
        </w:tblPrEx>
        <w:trPr>
          <w:trHeight w:val="380" w:hRule="atLeast"/>
        </w:trPr>
        <w:tc>
          <w:tcPr>
            <w:tcW w:w="13236" w:type="dxa"/>
            <w:gridSpan w:val="5"/>
            <w:tcBorders>
              <w:top w:val="nil"/>
              <w:left w:val="nil"/>
              <w:bottom w:val="nil"/>
              <w:right w:val="nil"/>
            </w:tcBorders>
            <w:noWrap/>
            <w:vAlign w:val="bottom"/>
          </w:tcPr>
          <w:p>
            <w:pPr>
              <w:widowControl/>
              <w:jc w:val="center"/>
              <w:textAlignment w:val="bottom"/>
              <w:rPr>
                <w:rFonts w:hint="eastAsia" w:ascii="宋体" w:hAnsi="宋体" w:cs="宋体"/>
                <w:color w:val="000000"/>
                <w:sz w:val="18"/>
                <w:szCs w:val="18"/>
              </w:rPr>
            </w:pPr>
            <w:r>
              <w:rPr>
                <w:rFonts w:hint="eastAsia" w:ascii="宋体" w:hAnsi="宋体" w:cs="宋体"/>
                <w:color w:val="000000"/>
                <w:kern w:val="0"/>
                <w:sz w:val="18"/>
                <w:szCs w:val="18"/>
                <w:lang w:bidi="ar"/>
              </w:rPr>
              <w:t xml:space="preserve">                                       金额单位：元</w:t>
            </w:r>
          </w:p>
        </w:tc>
      </w:tr>
      <w:tr>
        <w:tblPrEx>
          <w:tblCellMar>
            <w:top w:w="0" w:type="dxa"/>
            <w:left w:w="108" w:type="dxa"/>
            <w:bottom w:w="0" w:type="dxa"/>
            <w:right w:w="108" w:type="dxa"/>
          </w:tblCellMar>
        </w:tblPrEx>
        <w:trPr>
          <w:trHeight w:val="300" w:hRule="atLeast"/>
        </w:trPr>
        <w:tc>
          <w:tcPr>
            <w:tcW w:w="5706"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项目</w:t>
            </w:r>
          </w:p>
        </w:tc>
        <w:tc>
          <w:tcPr>
            <w:tcW w:w="75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本年支出</w:t>
            </w:r>
          </w:p>
        </w:tc>
      </w:tr>
      <w:tr>
        <w:tblPrEx>
          <w:tblCellMar>
            <w:top w:w="0" w:type="dxa"/>
            <w:left w:w="108" w:type="dxa"/>
            <w:bottom w:w="0" w:type="dxa"/>
            <w:right w:w="108" w:type="dxa"/>
          </w:tblCellMar>
        </w:tblPrEx>
        <w:trPr>
          <w:trHeight w:val="521" w:hRule="atLeast"/>
        </w:trPr>
        <w:tc>
          <w:tcPr>
            <w:tcW w:w="142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科目代码</w:t>
            </w:r>
          </w:p>
        </w:tc>
        <w:tc>
          <w:tcPr>
            <w:tcW w:w="4281"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科目名称</w:t>
            </w:r>
          </w:p>
        </w:tc>
        <w:tc>
          <w:tcPr>
            <w:tcW w:w="261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小计</w:t>
            </w:r>
          </w:p>
        </w:tc>
        <w:tc>
          <w:tcPr>
            <w:tcW w:w="268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基本支出</w:t>
            </w:r>
          </w:p>
        </w:tc>
        <w:tc>
          <w:tcPr>
            <w:tcW w:w="223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项目支出</w:t>
            </w:r>
          </w:p>
        </w:tc>
      </w:tr>
      <w:tr>
        <w:tblPrEx>
          <w:tblCellMar>
            <w:top w:w="0" w:type="dxa"/>
            <w:left w:w="108" w:type="dxa"/>
            <w:bottom w:w="0" w:type="dxa"/>
            <w:right w:w="108" w:type="dxa"/>
          </w:tblCellMar>
        </w:tblPrEx>
        <w:trPr>
          <w:trHeight w:val="521" w:hRule="atLeast"/>
        </w:trPr>
        <w:tc>
          <w:tcPr>
            <w:tcW w:w="142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4281"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2"/>
              </w:rPr>
            </w:pPr>
          </w:p>
        </w:tc>
        <w:tc>
          <w:tcPr>
            <w:tcW w:w="261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268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223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r>
      <w:tr>
        <w:tblPrEx>
          <w:tblCellMar>
            <w:top w:w="0" w:type="dxa"/>
            <w:left w:w="108" w:type="dxa"/>
            <w:bottom w:w="0" w:type="dxa"/>
            <w:right w:w="108" w:type="dxa"/>
          </w:tblCellMar>
        </w:tblPrEx>
        <w:trPr>
          <w:trHeight w:val="521" w:hRule="atLeast"/>
        </w:trPr>
        <w:tc>
          <w:tcPr>
            <w:tcW w:w="142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4281"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2"/>
              </w:rPr>
            </w:pPr>
          </w:p>
        </w:tc>
        <w:tc>
          <w:tcPr>
            <w:tcW w:w="261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268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223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r>
      <w:tr>
        <w:tblPrEx>
          <w:tblCellMar>
            <w:top w:w="0" w:type="dxa"/>
            <w:left w:w="108" w:type="dxa"/>
            <w:bottom w:w="0" w:type="dxa"/>
            <w:right w:w="108" w:type="dxa"/>
          </w:tblCellMar>
        </w:tblPrEx>
        <w:trPr>
          <w:trHeight w:val="454" w:hRule="exact"/>
        </w:trPr>
        <w:tc>
          <w:tcPr>
            <w:tcW w:w="5706"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栏次</w:t>
            </w:r>
          </w:p>
        </w:tc>
        <w:tc>
          <w:tcPr>
            <w:tcW w:w="26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w:t>
            </w:r>
          </w:p>
        </w:tc>
        <w:tc>
          <w:tcPr>
            <w:tcW w:w="268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w:t>
            </w:r>
          </w:p>
        </w:tc>
        <w:tc>
          <w:tcPr>
            <w:tcW w:w="223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w:t>
            </w:r>
          </w:p>
        </w:tc>
      </w:tr>
      <w:tr>
        <w:tblPrEx>
          <w:tblCellMar>
            <w:top w:w="0" w:type="dxa"/>
            <w:left w:w="108" w:type="dxa"/>
            <w:bottom w:w="0" w:type="dxa"/>
            <w:right w:w="108" w:type="dxa"/>
          </w:tblCellMar>
        </w:tblPrEx>
        <w:trPr>
          <w:trHeight w:val="454" w:hRule="exact"/>
        </w:trPr>
        <w:tc>
          <w:tcPr>
            <w:tcW w:w="5706"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合计</w:t>
            </w:r>
          </w:p>
        </w:tc>
        <w:tc>
          <w:tcPr>
            <w:tcW w:w="2610"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b/>
                <w:bCs/>
                <w:color w:val="000000"/>
                <w:sz w:val="22"/>
              </w:rPr>
            </w:pPr>
            <w:r>
              <w:rPr>
                <w:rFonts w:hint="eastAsia" w:ascii="宋体" w:hAnsi="宋体" w:cs="宋体"/>
                <w:b/>
                <w:bCs/>
                <w:color w:val="000000"/>
                <w:kern w:val="0"/>
                <w:sz w:val="22"/>
                <w:lang w:bidi="ar"/>
              </w:rPr>
              <w:t>41,188,147.21</w:t>
            </w:r>
          </w:p>
        </w:tc>
        <w:tc>
          <w:tcPr>
            <w:tcW w:w="2685" w:type="dxa"/>
            <w:tcBorders>
              <w:top w:val="single" w:color="000000" w:sz="4" w:space="0"/>
              <w:left w:val="single" w:color="000000" w:sz="4" w:space="0"/>
              <w:bottom w:val="single" w:color="000000" w:sz="4" w:space="0"/>
              <w:right w:val="single" w:color="000000" w:sz="4" w:space="0"/>
            </w:tcBorders>
            <w:noWrap/>
            <w:vAlign w:val="center"/>
          </w:tcPr>
          <w:p>
            <w:pPr>
              <w:widowControl/>
              <w:jc w:val="right"/>
              <w:textAlignment w:val="center"/>
              <w:rPr>
                <w:rFonts w:hint="eastAsia" w:ascii="宋体" w:hAnsi="宋体" w:cs="宋体"/>
                <w:b/>
                <w:bCs/>
                <w:color w:val="000000"/>
                <w:sz w:val="22"/>
              </w:rPr>
            </w:pPr>
            <w:r>
              <w:rPr>
                <w:rFonts w:hint="eastAsia" w:ascii="宋体" w:hAnsi="宋体" w:cs="宋体"/>
                <w:b/>
                <w:bCs/>
                <w:color w:val="000000"/>
                <w:kern w:val="0"/>
                <w:sz w:val="22"/>
                <w:lang w:bidi="ar"/>
              </w:rPr>
              <w:t>41,188,147.21</w:t>
            </w:r>
          </w:p>
        </w:tc>
        <w:tc>
          <w:tcPr>
            <w:tcW w:w="2235" w:type="dxa"/>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宋体" w:hAnsi="宋体" w:cs="宋体"/>
                <w:b/>
                <w:bCs/>
                <w:color w:val="000000"/>
                <w:sz w:val="22"/>
              </w:rPr>
            </w:pPr>
          </w:p>
        </w:tc>
      </w:tr>
      <w:tr>
        <w:tblPrEx>
          <w:tblCellMar>
            <w:top w:w="0" w:type="dxa"/>
            <w:left w:w="108" w:type="dxa"/>
            <w:bottom w:w="0" w:type="dxa"/>
            <w:right w:w="108" w:type="dxa"/>
          </w:tblCellMar>
        </w:tblPrEx>
        <w:trPr>
          <w:trHeight w:val="454" w:hRule="exact"/>
        </w:trPr>
        <w:tc>
          <w:tcPr>
            <w:tcW w:w="14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2050203</w:t>
            </w:r>
          </w:p>
        </w:tc>
        <w:tc>
          <w:tcPr>
            <w:tcW w:w="42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初中教育</w:t>
            </w:r>
          </w:p>
        </w:tc>
        <w:tc>
          <w:tcPr>
            <w:tcW w:w="2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598,007.00</w:t>
            </w:r>
          </w:p>
        </w:tc>
        <w:tc>
          <w:tcPr>
            <w:tcW w:w="26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598,007.00</w:t>
            </w:r>
          </w:p>
        </w:tc>
        <w:tc>
          <w:tcPr>
            <w:tcW w:w="22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454" w:hRule="exact"/>
        </w:trPr>
        <w:tc>
          <w:tcPr>
            <w:tcW w:w="14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2050204</w:t>
            </w:r>
          </w:p>
        </w:tc>
        <w:tc>
          <w:tcPr>
            <w:tcW w:w="42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高中教育</w:t>
            </w:r>
          </w:p>
        </w:tc>
        <w:tc>
          <w:tcPr>
            <w:tcW w:w="2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28,791,497.37</w:t>
            </w:r>
          </w:p>
        </w:tc>
        <w:tc>
          <w:tcPr>
            <w:tcW w:w="26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28,791,497.37</w:t>
            </w:r>
          </w:p>
        </w:tc>
        <w:tc>
          <w:tcPr>
            <w:tcW w:w="22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454" w:hRule="exact"/>
        </w:trPr>
        <w:tc>
          <w:tcPr>
            <w:tcW w:w="14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2050299</w:t>
            </w:r>
          </w:p>
        </w:tc>
        <w:tc>
          <w:tcPr>
            <w:tcW w:w="42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其他普通教育支出</w:t>
            </w:r>
          </w:p>
        </w:tc>
        <w:tc>
          <w:tcPr>
            <w:tcW w:w="26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2,663,814.00</w:t>
            </w:r>
          </w:p>
        </w:tc>
        <w:tc>
          <w:tcPr>
            <w:tcW w:w="26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2,663,814.00</w:t>
            </w:r>
          </w:p>
        </w:tc>
        <w:tc>
          <w:tcPr>
            <w:tcW w:w="22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454" w:hRule="exact"/>
        </w:trPr>
        <w:tc>
          <w:tcPr>
            <w:tcW w:w="1425"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2050999</w:t>
            </w:r>
          </w:p>
        </w:tc>
        <w:tc>
          <w:tcPr>
            <w:tcW w:w="4281"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其他教育费附加安排的支出</w:t>
            </w:r>
          </w:p>
        </w:tc>
        <w:tc>
          <w:tcPr>
            <w:tcW w:w="2610"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2,958,355.88</w:t>
            </w:r>
          </w:p>
        </w:tc>
        <w:tc>
          <w:tcPr>
            <w:tcW w:w="2685"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2,958,355.88</w:t>
            </w:r>
          </w:p>
        </w:tc>
        <w:tc>
          <w:tcPr>
            <w:tcW w:w="2235" w:type="dxa"/>
            <w:tcBorders>
              <w:top w:val="single" w:color="000000" w:sz="4" w:space="0"/>
              <w:left w:val="single" w:color="000000" w:sz="4" w:space="0"/>
              <w:bottom w:val="single" w:color="auto" w:sz="4" w:space="0"/>
              <w:right w:val="single" w:color="000000" w:sz="4" w:space="0"/>
            </w:tcBorders>
            <w:shd w:val="clear" w:color="auto" w:fill="FFFFFF"/>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454" w:hRule="exact"/>
        </w:trPr>
        <w:tc>
          <w:tcPr>
            <w:tcW w:w="1425" w:type="dxa"/>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2080505</w:t>
            </w:r>
          </w:p>
        </w:tc>
        <w:tc>
          <w:tcPr>
            <w:tcW w:w="4281"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机关事业单位基本养老保险缴费支出</w:t>
            </w:r>
          </w:p>
        </w:tc>
        <w:tc>
          <w:tcPr>
            <w:tcW w:w="2610" w:type="dxa"/>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3,529,413.12</w:t>
            </w:r>
          </w:p>
        </w:tc>
        <w:tc>
          <w:tcPr>
            <w:tcW w:w="2685" w:type="dxa"/>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3,529,413.12</w:t>
            </w:r>
          </w:p>
        </w:tc>
        <w:tc>
          <w:tcPr>
            <w:tcW w:w="2235"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454" w:hRule="exact"/>
        </w:trPr>
        <w:tc>
          <w:tcPr>
            <w:tcW w:w="1425" w:type="dxa"/>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2210302</w:t>
            </w:r>
          </w:p>
        </w:tc>
        <w:tc>
          <w:tcPr>
            <w:tcW w:w="4281" w:type="dxa"/>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住房公积金管理</w:t>
            </w:r>
          </w:p>
        </w:tc>
        <w:tc>
          <w:tcPr>
            <w:tcW w:w="2610" w:type="dxa"/>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2,647,059.84</w:t>
            </w:r>
          </w:p>
        </w:tc>
        <w:tc>
          <w:tcPr>
            <w:tcW w:w="2685" w:type="dxa"/>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2,647,059.84</w:t>
            </w:r>
          </w:p>
        </w:tc>
        <w:tc>
          <w:tcPr>
            <w:tcW w:w="2235" w:type="dxa"/>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13236" w:type="dxa"/>
            <w:gridSpan w:val="5"/>
            <w:tcBorders>
              <w:top w:val="single" w:color="auto" w:sz="4" w:space="0"/>
              <w:left w:val="nil"/>
              <w:bottom w:val="nil"/>
              <w:right w:val="nil"/>
            </w:tcBorders>
            <w:shd w:val="clear" w:color="auto" w:fill="FFFFFF"/>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注：本表反映部门本年度一般公共预算财政拨款支出情况。</w:t>
            </w:r>
          </w:p>
        </w:tc>
      </w:tr>
    </w:tbl>
    <w:p>
      <w:pPr>
        <w:rPr>
          <w:rFonts w:hint="eastAsia"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tbl>
      <w:tblPr>
        <w:tblStyle w:val="16"/>
        <w:tblW w:w="14479" w:type="dxa"/>
        <w:tblInd w:w="93" w:type="dxa"/>
        <w:tblLayout w:type="fixed"/>
        <w:tblCellMar>
          <w:top w:w="0" w:type="dxa"/>
          <w:left w:w="108" w:type="dxa"/>
          <w:bottom w:w="0" w:type="dxa"/>
          <w:right w:w="108" w:type="dxa"/>
        </w:tblCellMar>
      </w:tblPr>
      <w:tblGrid>
        <w:gridCol w:w="766"/>
        <w:gridCol w:w="603"/>
        <w:gridCol w:w="1125"/>
        <w:gridCol w:w="285"/>
        <w:gridCol w:w="1035"/>
        <w:gridCol w:w="672"/>
        <w:gridCol w:w="708"/>
        <w:gridCol w:w="58"/>
        <w:gridCol w:w="1187"/>
        <w:gridCol w:w="1875"/>
        <w:gridCol w:w="1710"/>
        <w:gridCol w:w="870"/>
        <w:gridCol w:w="315"/>
        <w:gridCol w:w="1665"/>
        <w:gridCol w:w="1605"/>
      </w:tblGrid>
      <w:tr>
        <w:tblPrEx>
          <w:tblCellMar>
            <w:top w:w="0" w:type="dxa"/>
            <w:left w:w="108" w:type="dxa"/>
            <w:bottom w:w="0" w:type="dxa"/>
            <w:right w:w="108" w:type="dxa"/>
          </w:tblCellMar>
        </w:tblPrEx>
        <w:trPr>
          <w:trHeight w:val="800" w:hRule="atLeast"/>
        </w:trPr>
        <w:tc>
          <w:tcPr>
            <w:tcW w:w="14479" w:type="dxa"/>
            <w:gridSpan w:val="15"/>
            <w:tcBorders>
              <w:top w:val="nil"/>
              <w:left w:val="nil"/>
              <w:bottom w:val="nil"/>
              <w:right w:val="nil"/>
            </w:tcBorders>
            <w:noWrap/>
            <w:vAlign w:val="center"/>
          </w:tcPr>
          <w:p>
            <w:pPr>
              <w:widowControl/>
              <w:jc w:val="center"/>
              <w:textAlignment w:val="center"/>
              <w:rPr>
                <w:rFonts w:hint="eastAsia" w:ascii="宋体" w:hAnsi="宋体" w:cs="宋体"/>
                <w:b/>
                <w:bCs/>
                <w:color w:val="000000"/>
                <w:sz w:val="40"/>
                <w:szCs w:val="40"/>
              </w:rPr>
            </w:pPr>
            <w:r>
              <w:rPr>
                <w:rFonts w:hint="eastAsia" w:ascii="宋体" w:hAnsi="宋体" w:cs="宋体"/>
                <w:b/>
                <w:bCs/>
                <w:color w:val="000000"/>
                <w:kern w:val="0"/>
                <w:sz w:val="40"/>
                <w:szCs w:val="40"/>
                <w:lang w:bidi="ar"/>
              </w:rPr>
              <w:t>一般公共预算财政拨款收入支出决算表</w:t>
            </w:r>
          </w:p>
        </w:tc>
      </w:tr>
      <w:tr>
        <w:tblPrEx>
          <w:tblCellMar>
            <w:top w:w="0" w:type="dxa"/>
            <w:left w:w="108" w:type="dxa"/>
            <w:bottom w:w="0" w:type="dxa"/>
            <w:right w:w="108" w:type="dxa"/>
          </w:tblCellMar>
        </w:tblPrEx>
        <w:trPr>
          <w:trHeight w:val="460" w:hRule="atLeast"/>
        </w:trPr>
        <w:tc>
          <w:tcPr>
            <w:tcW w:w="14479" w:type="dxa"/>
            <w:gridSpan w:val="15"/>
            <w:tcBorders>
              <w:top w:val="nil"/>
              <w:left w:val="nil"/>
              <w:bottom w:val="nil"/>
              <w:right w:val="nil"/>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单位：信阳市第六高级中学              2024年度                                       公开06表</w:t>
            </w:r>
          </w:p>
        </w:tc>
      </w:tr>
      <w:tr>
        <w:tblPrEx>
          <w:tblCellMar>
            <w:top w:w="0" w:type="dxa"/>
            <w:left w:w="108" w:type="dxa"/>
            <w:bottom w:w="0" w:type="dxa"/>
            <w:right w:w="108" w:type="dxa"/>
          </w:tblCellMar>
        </w:tblPrEx>
        <w:trPr>
          <w:trHeight w:val="460" w:hRule="atLeast"/>
        </w:trPr>
        <w:tc>
          <w:tcPr>
            <w:tcW w:w="14479" w:type="dxa"/>
            <w:gridSpan w:val="15"/>
            <w:tcBorders>
              <w:top w:val="nil"/>
              <w:left w:val="nil"/>
              <w:bottom w:val="nil"/>
              <w:right w:val="nil"/>
            </w:tcBorders>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 xml:space="preserve"> 金额单位：元</w:t>
            </w:r>
          </w:p>
        </w:tc>
      </w:tr>
      <w:tr>
        <w:tblPrEx>
          <w:tblCellMar>
            <w:top w:w="0" w:type="dxa"/>
            <w:left w:w="108" w:type="dxa"/>
            <w:bottom w:w="0" w:type="dxa"/>
            <w:right w:w="108" w:type="dxa"/>
          </w:tblCellMar>
        </w:tblPrEx>
        <w:trPr>
          <w:trHeight w:val="300" w:hRule="atLeast"/>
        </w:trPr>
        <w:tc>
          <w:tcPr>
            <w:tcW w:w="4486" w:type="dxa"/>
            <w:gridSpan w:val="6"/>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人员经费</w:t>
            </w:r>
          </w:p>
        </w:tc>
        <w:tc>
          <w:tcPr>
            <w:tcW w:w="9993" w:type="dxa"/>
            <w:gridSpan w:val="9"/>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公用经费</w:t>
            </w:r>
          </w:p>
        </w:tc>
      </w:tr>
      <w:tr>
        <w:tblPrEx>
          <w:tblCellMar>
            <w:top w:w="0" w:type="dxa"/>
            <w:left w:w="108" w:type="dxa"/>
            <w:bottom w:w="0" w:type="dxa"/>
            <w:right w:w="108" w:type="dxa"/>
          </w:tblCellMar>
        </w:tblPrEx>
        <w:trPr>
          <w:trHeight w:val="521" w:hRule="atLeast"/>
        </w:trPr>
        <w:tc>
          <w:tcPr>
            <w:tcW w:w="76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科目代码</w:t>
            </w:r>
          </w:p>
        </w:tc>
        <w:tc>
          <w:tcPr>
            <w:tcW w:w="2013"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科目名称</w:t>
            </w:r>
          </w:p>
        </w:tc>
        <w:tc>
          <w:tcPr>
            <w:tcW w:w="1707"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决算数</w:t>
            </w:r>
          </w:p>
        </w:tc>
        <w:tc>
          <w:tcPr>
            <w:tcW w:w="766"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科目代码</w:t>
            </w:r>
          </w:p>
        </w:tc>
        <w:tc>
          <w:tcPr>
            <w:tcW w:w="306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科目名称</w:t>
            </w:r>
          </w:p>
        </w:tc>
        <w:tc>
          <w:tcPr>
            <w:tcW w:w="171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决算数</w:t>
            </w:r>
          </w:p>
        </w:tc>
        <w:tc>
          <w:tcPr>
            <w:tcW w:w="87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科目代码</w:t>
            </w:r>
          </w:p>
        </w:tc>
        <w:tc>
          <w:tcPr>
            <w:tcW w:w="1980"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科目名称</w:t>
            </w:r>
          </w:p>
        </w:tc>
        <w:tc>
          <w:tcPr>
            <w:tcW w:w="160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决算数</w:t>
            </w:r>
          </w:p>
        </w:tc>
      </w:tr>
      <w:tr>
        <w:tblPrEx>
          <w:tblCellMar>
            <w:top w:w="0" w:type="dxa"/>
            <w:left w:w="108" w:type="dxa"/>
            <w:bottom w:w="0" w:type="dxa"/>
            <w:right w:w="108" w:type="dxa"/>
          </w:tblCellMar>
        </w:tblPrEx>
        <w:trPr>
          <w:trHeight w:val="521" w:hRule="atLeast"/>
        </w:trPr>
        <w:tc>
          <w:tcPr>
            <w:tcW w:w="76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2013"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766"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306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71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87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980"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60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r>
      <w:tr>
        <w:tblPrEx>
          <w:tblCellMar>
            <w:top w:w="0" w:type="dxa"/>
            <w:left w:w="108" w:type="dxa"/>
            <w:bottom w:w="0" w:type="dxa"/>
            <w:right w:w="108" w:type="dxa"/>
          </w:tblCellMar>
        </w:tblPrEx>
        <w:trPr>
          <w:trHeight w:val="540" w:hRule="atLeast"/>
        </w:trPr>
        <w:tc>
          <w:tcPr>
            <w:tcW w:w="76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301</w:t>
            </w:r>
          </w:p>
        </w:tc>
        <w:tc>
          <w:tcPr>
            <w:tcW w:w="201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工资福利支出</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36,495,429.27</w:t>
            </w:r>
          </w:p>
        </w:tc>
        <w:tc>
          <w:tcPr>
            <w:tcW w:w="766"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302</w:t>
            </w:r>
          </w:p>
        </w:tc>
        <w:tc>
          <w:tcPr>
            <w:tcW w:w="306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商品和服务支出</w:t>
            </w: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3,712,406.10</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307</w:t>
            </w:r>
          </w:p>
        </w:tc>
        <w:tc>
          <w:tcPr>
            <w:tcW w:w="198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18"/>
                <w:szCs w:val="18"/>
                <w:lang w:bidi="ar"/>
              </w:rPr>
              <w:t>债务利息及费用支出</w:t>
            </w: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540" w:hRule="atLeast"/>
        </w:trPr>
        <w:tc>
          <w:tcPr>
            <w:tcW w:w="76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30101</w:t>
            </w:r>
          </w:p>
        </w:tc>
        <w:tc>
          <w:tcPr>
            <w:tcW w:w="201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基本工资</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23,843,523.63</w:t>
            </w:r>
          </w:p>
        </w:tc>
        <w:tc>
          <w:tcPr>
            <w:tcW w:w="766"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30201</w:t>
            </w:r>
          </w:p>
        </w:tc>
        <w:tc>
          <w:tcPr>
            <w:tcW w:w="306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办公费</w:t>
            </w: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1,156,932.90</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30701</w:t>
            </w:r>
          </w:p>
        </w:tc>
        <w:tc>
          <w:tcPr>
            <w:tcW w:w="198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国内债务付息</w:t>
            </w: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540" w:hRule="atLeast"/>
        </w:trPr>
        <w:tc>
          <w:tcPr>
            <w:tcW w:w="76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30102</w:t>
            </w:r>
          </w:p>
        </w:tc>
        <w:tc>
          <w:tcPr>
            <w:tcW w:w="201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津贴补贴</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3,236,701.60</w:t>
            </w:r>
          </w:p>
        </w:tc>
        <w:tc>
          <w:tcPr>
            <w:tcW w:w="766"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30202</w:t>
            </w:r>
          </w:p>
        </w:tc>
        <w:tc>
          <w:tcPr>
            <w:tcW w:w="306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印刷费</w:t>
            </w: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26,292.00</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30702</w:t>
            </w:r>
          </w:p>
        </w:tc>
        <w:tc>
          <w:tcPr>
            <w:tcW w:w="198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国外债务付息</w:t>
            </w: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540" w:hRule="atLeast"/>
        </w:trPr>
        <w:tc>
          <w:tcPr>
            <w:tcW w:w="76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30103</w:t>
            </w:r>
          </w:p>
        </w:tc>
        <w:tc>
          <w:tcPr>
            <w:tcW w:w="201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奖金</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715,589.86</w:t>
            </w:r>
          </w:p>
        </w:tc>
        <w:tc>
          <w:tcPr>
            <w:tcW w:w="766"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30203</w:t>
            </w:r>
          </w:p>
        </w:tc>
        <w:tc>
          <w:tcPr>
            <w:tcW w:w="306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咨询费</w:t>
            </w:r>
          </w:p>
        </w:tc>
        <w:tc>
          <w:tcPr>
            <w:tcW w:w="171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310</w:t>
            </w:r>
          </w:p>
        </w:tc>
        <w:tc>
          <w:tcPr>
            <w:tcW w:w="198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资本性支出</w:t>
            </w:r>
          </w:p>
        </w:tc>
        <w:tc>
          <w:tcPr>
            <w:tcW w:w="160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880,768.00</w:t>
            </w:r>
          </w:p>
        </w:tc>
      </w:tr>
      <w:tr>
        <w:tblPrEx>
          <w:tblCellMar>
            <w:top w:w="0" w:type="dxa"/>
            <w:left w:w="108" w:type="dxa"/>
            <w:bottom w:w="0" w:type="dxa"/>
            <w:right w:w="108" w:type="dxa"/>
          </w:tblCellMar>
        </w:tblPrEx>
        <w:trPr>
          <w:trHeight w:val="540" w:hRule="atLeast"/>
        </w:trPr>
        <w:tc>
          <w:tcPr>
            <w:tcW w:w="76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30106</w:t>
            </w:r>
          </w:p>
        </w:tc>
        <w:tc>
          <w:tcPr>
            <w:tcW w:w="201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伙食补助费</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c>
          <w:tcPr>
            <w:tcW w:w="766"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30204</w:t>
            </w:r>
          </w:p>
        </w:tc>
        <w:tc>
          <w:tcPr>
            <w:tcW w:w="306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手续费</w:t>
            </w:r>
          </w:p>
        </w:tc>
        <w:tc>
          <w:tcPr>
            <w:tcW w:w="171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31001</w:t>
            </w:r>
          </w:p>
        </w:tc>
        <w:tc>
          <w:tcPr>
            <w:tcW w:w="198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房屋建筑物购建</w:t>
            </w: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540" w:hRule="atLeast"/>
        </w:trPr>
        <w:tc>
          <w:tcPr>
            <w:tcW w:w="76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30107</w:t>
            </w:r>
          </w:p>
        </w:tc>
        <w:tc>
          <w:tcPr>
            <w:tcW w:w="201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绩效工资</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c>
          <w:tcPr>
            <w:tcW w:w="766"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30205</w:t>
            </w:r>
          </w:p>
        </w:tc>
        <w:tc>
          <w:tcPr>
            <w:tcW w:w="306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水费</w:t>
            </w: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335,686.80</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31002</w:t>
            </w:r>
          </w:p>
        </w:tc>
        <w:tc>
          <w:tcPr>
            <w:tcW w:w="198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办公设备购置</w:t>
            </w:r>
          </w:p>
        </w:tc>
        <w:tc>
          <w:tcPr>
            <w:tcW w:w="160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880,768.00</w:t>
            </w:r>
          </w:p>
        </w:tc>
      </w:tr>
      <w:tr>
        <w:tblPrEx>
          <w:tblCellMar>
            <w:top w:w="0" w:type="dxa"/>
            <w:left w:w="108" w:type="dxa"/>
            <w:bottom w:w="0" w:type="dxa"/>
            <w:right w:w="108" w:type="dxa"/>
          </w:tblCellMar>
        </w:tblPrEx>
        <w:trPr>
          <w:trHeight w:val="540" w:hRule="atLeast"/>
        </w:trPr>
        <w:tc>
          <w:tcPr>
            <w:tcW w:w="76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30108</w:t>
            </w:r>
          </w:p>
        </w:tc>
        <w:tc>
          <w:tcPr>
            <w:tcW w:w="201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机关事业单位基本养老保险缴费</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3,216,725.93</w:t>
            </w:r>
          </w:p>
        </w:tc>
        <w:tc>
          <w:tcPr>
            <w:tcW w:w="766"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30206</w:t>
            </w:r>
          </w:p>
        </w:tc>
        <w:tc>
          <w:tcPr>
            <w:tcW w:w="306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电费</w:t>
            </w: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689,818.62</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31003</w:t>
            </w:r>
          </w:p>
        </w:tc>
        <w:tc>
          <w:tcPr>
            <w:tcW w:w="198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专用设备购置</w:t>
            </w: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540" w:hRule="atLeast"/>
        </w:trPr>
        <w:tc>
          <w:tcPr>
            <w:tcW w:w="76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30109</w:t>
            </w:r>
          </w:p>
        </w:tc>
        <w:tc>
          <w:tcPr>
            <w:tcW w:w="201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职业年金缴费</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380,392.16</w:t>
            </w:r>
          </w:p>
        </w:tc>
        <w:tc>
          <w:tcPr>
            <w:tcW w:w="766"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30207</w:t>
            </w:r>
          </w:p>
        </w:tc>
        <w:tc>
          <w:tcPr>
            <w:tcW w:w="306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邮电费</w:t>
            </w:r>
          </w:p>
        </w:tc>
        <w:tc>
          <w:tcPr>
            <w:tcW w:w="171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31005</w:t>
            </w:r>
          </w:p>
        </w:tc>
        <w:tc>
          <w:tcPr>
            <w:tcW w:w="198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基础设施建设</w:t>
            </w: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540" w:hRule="atLeast"/>
        </w:trPr>
        <w:tc>
          <w:tcPr>
            <w:tcW w:w="76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30110</w:t>
            </w:r>
          </w:p>
        </w:tc>
        <w:tc>
          <w:tcPr>
            <w:tcW w:w="201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16"/>
                <w:szCs w:val="16"/>
                <w:lang w:bidi="ar"/>
              </w:rPr>
              <w:t>职工基本医疗保险缴费</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1,554,505.98</w:t>
            </w:r>
          </w:p>
        </w:tc>
        <w:tc>
          <w:tcPr>
            <w:tcW w:w="766"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30208</w:t>
            </w:r>
          </w:p>
        </w:tc>
        <w:tc>
          <w:tcPr>
            <w:tcW w:w="306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取暖费</w:t>
            </w:r>
          </w:p>
        </w:tc>
        <w:tc>
          <w:tcPr>
            <w:tcW w:w="171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31006</w:t>
            </w:r>
          </w:p>
        </w:tc>
        <w:tc>
          <w:tcPr>
            <w:tcW w:w="198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大型修缮</w:t>
            </w: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540" w:hRule="atLeast"/>
        </w:trPr>
        <w:tc>
          <w:tcPr>
            <w:tcW w:w="76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30111</w:t>
            </w:r>
          </w:p>
        </w:tc>
        <w:tc>
          <w:tcPr>
            <w:tcW w:w="201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18"/>
                <w:szCs w:val="18"/>
                <w:lang w:bidi="ar"/>
              </w:rPr>
              <w:t>公务员医疗补助缴费</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c>
          <w:tcPr>
            <w:tcW w:w="766"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30209</w:t>
            </w:r>
          </w:p>
        </w:tc>
        <w:tc>
          <w:tcPr>
            <w:tcW w:w="306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物业管理费</w:t>
            </w: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306,692.00</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31007</w:t>
            </w:r>
          </w:p>
        </w:tc>
        <w:tc>
          <w:tcPr>
            <w:tcW w:w="198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信息网络及软件购置更新</w:t>
            </w: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540" w:hRule="atLeast"/>
        </w:trPr>
        <w:tc>
          <w:tcPr>
            <w:tcW w:w="76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30112</w:t>
            </w:r>
          </w:p>
        </w:tc>
        <w:tc>
          <w:tcPr>
            <w:tcW w:w="201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其他社会保障缴费</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185,077.11</w:t>
            </w:r>
          </w:p>
        </w:tc>
        <w:tc>
          <w:tcPr>
            <w:tcW w:w="766"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30211</w:t>
            </w:r>
          </w:p>
        </w:tc>
        <w:tc>
          <w:tcPr>
            <w:tcW w:w="306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差旅费</w:t>
            </w: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203,107.50</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31008</w:t>
            </w:r>
          </w:p>
        </w:tc>
        <w:tc>
          <w:tcPr>
            <w:tcW w:w="198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物资储备</w:t>
            </w: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540" w:hRule="atLeast"/>
        </w:trPr>
        <w:tc>
          <w:tcPr>
            <w:tcW w:w="76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30113</w:t>
            </w:r>
          </w:p>
        </w:tc>
        <w:tc>
          <w:tcPr>
            <w:tcW w:w="201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住房公积金</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3,362,913.00</w:t>
            </w:r>
          </w:p>
        </w:tc>
        <w:tc>
          <w:tcPr>
            <w:tcW w:w="766"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30212</w:t>
            </w:r>
          </w:p>
        </w:tc>
        <w:tc>
          <w:tcPr>
            <w:tcW w:w="306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因公出国（境）费用</w:t>
            </w:r>
          </w:p>
        </w:tc>
        <w:tc>
          <w:tcPr>
            <w:tcW w:w="171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31009</w:t>
            </w:r>
          </w:p>
        </w:tc>
        <w:tc>
          <w:tcPr>
            <w:tcW w:w="198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土地补偿</w:t>
            </w: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540" w:hRule="atLeast"/>
        </w:trPr>
        <w:tc>
          <w:tcPr>
            <w:tcW w:w="76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30114</w:t>
            </w:r>
          </w:p>
        </w:tc>
        <w:tc>
          <w:tcPr>
            <w:tcW w:w="201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医疗费</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c>
          <w:tcPr>
            <w:tcW w:w="766"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30213</w:t>
            </w:r>
          </w:p>
        </w:tc>
        <w:tc>
          <w:tcPr>
            <w:tcW w:w="306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维修（护）费</w:t>
            </w: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275,295.57</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31010</w:t>
            </w:r>
          </w:p>
        </w:tc>
        <w:tc>
          <w:tcPr>
            <w:tcW w:w="198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安置补助</w:t>
            </w: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540" w:hRule="atLeast"/>
        </w:trPr>
        <w:tc>
          <w:tcPr>
            <w:tcW w:w="76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30199</w:t>
            </w:r>
          </w:p>
        </w:tc>
        <w:tc>
          <w:tcPr>
            <w:tcW w:w="201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其他工资福利支出</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c>
          <w:tcPr>
            <w:tcW w:w="766"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30214</w:t>
            </w:r>
          </w:p>
        </w:tc>
        <w:tc>
          <w:tcPr>
            <w:tcW w:w="306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租赁费</w:t>
            </w:r>
          </w:p>
        </w:tc>
        <w:tc>
          <w:tcPr>
            <w:tcW w:w="171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31011</w:t>
            </w:r>
          </w:p>
        </w:tc>
        <w:tc>
          <w:tcPr>
            <w:tcW w:w="198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0"/>
                <w:szCs w:val="20"/>
                <w:lang w:bidi="ar"/>
              </w:rPr>
              <w:t>地上附着物和青苗补偿</w:t>
            </w: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540" w:hRule="atLeast"/>
        </w:trPr>
        <w:tc>
          <w:tcPr>
            <w:tcW w:w="76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303</w:t>
            </w:r>
          </w:p>
        </w:tc>
        <w:tc>
          <w:tcPr>
            <w:tcW w:w="201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18"/>
                <w:szCs w:val="18"/>
                <w:lang w:bidi="ar"/>
              </w:rPr>
              <w:t>对个人和家庭的补助</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99,543.84</w:t>
            </w:r>
          </w:p>
        </w:tc>
        <w:tc>
          <w:tcPr>
            <w:tcW w:w="766"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30215</w:t>
            </w:r>
          </w:p>
        </w:tc>
        <w:tc>
          <w:tcPr>
            <w:tcW w:w="306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会议费</w:t>
            </w:r>
          </w:p>
        </w:tc>
        <w:tc>
          <w:tcPr>
            <w:tcW w:w="171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31012</w:t>
            </w:r>
          </w:p>
        </w:tc>
        <w:tc>
          <w:tcPr>
            <w:tcW w:w="198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拆迁补偿</w:t>
            </w: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540" w:hRule="atLeast"/>
        </w:trPr>
        <w:tc>
          <w:tcPr>
            <w:tcW w:w="76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30301</w:t>
            </w:r>
          </w:p>
        </w:tc>
        <w:tc>
          <w:tcPr>
            <w:tcW w:w="201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离休费</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c>
          <w:tcPr>
            <w:tcW w:w="766"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30216</w:t>
            </w:r>
          </w:p>
        </w:tc>
        <w:tc>
          <w:tcPr>
            <w:tcW w:w="306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培训费</w:t>
            </w: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160,200.00</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31013</w:t>
            </w:r>
          </w:p>
        </w:tc>
        <w:tc>
          <w:tcPr>
            <w:tcW w:w="198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公务用车购置</w:t>
            </w: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540" w:hRule="atLeast"/>
        </w:trPr>
        <w:tc>
          <w:tcPr>
            <w:tcW w:w="76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30302</w:t>
            </w:r>
          </w:p>
        </w:tc>
        <w:tc>
          <w:tcPr>
            <w:tcW w:w="201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退休费</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c>
          <w:tcPr>
            <w:tcW w:w="766"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30217</w:t>
            </w:r>
          </w:p>
        </w:tc>
        <w:tc>
          <w:tcPr>
            <w:tcW w:w="306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公务接待费</w:t>
            </w:r>
          </w:p>
        </w:tc>
        <w:tc>
          <w:tcPr>
            <w:tcW w:w="171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31019</w:t>
            </w:r>
          </w:p>
        </w:tc>
        <w:tc>
          <w:tcPr>
            <w:tcW w:w="198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其他交通工具购置</w:t>
            </w: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540" w:hRule="atLeast"/>
        </w:trPr>
        <w:tc>
          <w:tcPr>
            <w:tcW w:w="76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30303</w:t>
            </w:r>
          </w:p>
        </w:tc>
        <w:tc>
          <w:tcPr>
            <w:tcW w:w="201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退职（役）费</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c>
          <w:tcPr>
            <w:tcW w:w="766"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30218</w:t>
            </w:r>
          </w:p>
        </w:tc>
        <w:tc>
          <w:tcPr>
            <w:tcW w:w="306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专用材料费</w:t>
            </w:r>
          </w:p>
        </w:tc>
        <w:tc>
          <w:tcPr>
            <w:tcW w:w="171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31021</w:t>
            </w:r>
          </w:p>
        </w:tc>
        <w:tc>
          <w:tcPr>
            <w:tcW w:w="198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文物和陈列品购置</w:t>
            </w: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540" w:hRule="atLeast"/>
        </w:trPr>
        <w:tc>
          <w:tcPr>
            <w:tcW w:w="76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30304</w:t>
            </w:r>
          </w:p>
        </w:tc>
        <w:tc>
          <w:tcPr>
            <w:tcW w:w="201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抚恤金</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c>
          <w:tcPr>
            <w:tcW w:w="766"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30224</w:t>
            </w:r>
          </w:p>
        </w:tc>
        <w:tc>
          <w:tcPr>
            <w:tcW w:w="306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被装购置费</w:t>
            </w:r>
          </w:p>
        </w:tc>
        <w:tc>
          <w:tcPr>
            <w:tcW w:w="171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31022</w:t>
            </w:r>
          </w:p>
        </w:tc>
        <w:tc>
          <w:tcPr>
            <w:tcW w:w="198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无形资产购置</w:t>
            </w: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540" w:hRule="atLeast"/>
        </w:trPr>
        <w:tc>
          <w:tcPr>
            <w:tcW w:w="76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30305</w:t>
            </w:r>
          </w:p>
        </w:tc>
        <w:tc>
          <w:tcPr>
            <w:tcW w:w="201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生活补助</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89,643.84</w:t>
            </w:r>
          </w:p>
        </w:tc>
        <w:tc>
          <w:tcPr>
            <w:tcW w:w="766"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30225</w:t>
            </w:r>
          </w:p>
        </w:tc>
        <w:tc>
          <w:tcPr>
            <w:tcW w:w="306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专用燃料费</w:t>
            </w:r>
          </w:p>
        </w:tc>
        <w:tc>
          <w:tcPr>
            <w:tcW w:w="171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31099</w:t>
            </w:r>
          </w:p>
        </w:tc>
        <w:tc>
          <w:tcPr>
            <w:tcW w:w="198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其他资本性支出</w:t>
            </w: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540" w:hRule="atLeast"/>
        </w:trPr>
        <w:tc>
          <w:tcPr>
            <w:tcW w:w="76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30306</w:t>
            </w:r>
          </w:p>
        </w:tc>
        <w:tc>
          <w:tcPr>
            <w:tcW w:w="201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救济费</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c>
          <w:tcPr>
            <w:tcW w:w="766"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30226</w:t>
            </w:r>
          </w:p>
        </w:tc>
        <w:tc>
          <w:tcPr>
            <w:tcW w:w="306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劳务费</w:t>
            </w: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266,610.00</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399</w:t>
            </w:r>
          </w:p>
        </w:tc>
        <w:tc>
          <w:tcPr>
            <w:tcW w:w="198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其他支出</w:t>
            </w: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540" w:hRule="atLeast"/>
        </w:trPr>
        <w:tc>
          <w:tcPr>
            <w:tcW w:w="76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30307</w:t>
            </w:r>
          </w:p>
        </w:tc>
        <w:tc>
          <w:tcPr>
            <w:tcW w:w="201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医疗费补助</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c>
          <w:tcPr>
            <w:tcW w:w="766"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30227</w:t>
            </w:r>
          </w:p>
        </w:tc>
        <w:tc>
          <w:tcPr>
            <w:tcW w:w="306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委托业务费</w:t>
            </w:r>
          </w:p>
        </w:tc>
        <w:tc>
          <w:tcPr>
            <w:tcW w:w="171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39907</w:t>
            </w:r>
          </w:p>
        </w:tc>
        <w:tc>
          <w:tcPr>
            <w:tcW w:w="198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国家赔偿费用支出</w:t>
            </w: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540" w:hRule="atLeast"/>
        </w:trPr>
        <w:tc>
          <w:tcPr>
            <w:tcW w:w="76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30308</w:t>
            </w:r>
          </w:p>
        </w:tc>
        <w:tc>
          <w:tcPr>
            <w:tcW w:w="201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助学金</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9,900.00</w:t>
            </w:r>
          </w:p>
        </w:tc>
        <w:tc>
          <w:tcPr>
            <w:tcW w:w="766"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30228</w:t>
            </w:r>
          </w:p>
        </w:tc>
        <w:tc>
          <w:tcPr>
            <w:tcW w:w="306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工会经费</w:t>
            </w: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3,800.00</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39908</w:t>
            </w:r>
          </w:p>
        </w:tc>
        <w:tc>
          <w:tcPr>
            <w:tcW w:w="198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对民间非营利组织和群众性自治组织补贴</w:t>
            </w: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540" w:hRule="atLeast"/>
        </w:trPr>
        <w:tc>
          <w:tcPr>
            <w:tcW w:w="76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30309</w:t>
            </w:r>
          </w:p>
        </w:tc>
        <w:tc>
          <w:tcPr>
            <w:tcW w:w="201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奖励金</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c>
          <w:tcPr>
            <w:tcW w:w="766"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30229</w:t>
            </w:r>
          </w:p>
        </w:tc>
        <w:tc>
          <w:tcPr>
            <w:tcW w:w="306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福利费</w:t>
            </w:r>
          </w:p>
        </w:tc>
        <w:tc>
          <w:tcPr>
            <w:tcW w:w="171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287,970.71</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39909</w:t>
            </w:r>
          </w:p>
        </w:tc>
        <w:tc>
          <w:tcPr>
            <w:tcW w:w="198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经常性赠与</w:t>
            </w: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540" w:hRule="atLeast"/>
        </w:trPr>
        <w:tc>
          <w:tcPr>
            <w:tcW w:w="76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30310</w:t>
            </w:r>
          </w:p>
        </w:tc>
        <w:tc>
          <w:tcPr>
            <w:tcW w:w="201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个人农业生产补贴</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c>
          <w:tcPr>
            <w:tcW w:w="766"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30231</w:t>
            </w:r>
          </w:p>
        </w:tc>
        <w:tc>
          <w:tcPr>
            <w:tcW w:w="306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公务用车运行维护费</w:t>
            </w:r>
          </w:p>
        </w:tc>
        <w:tc>
          <w:tcPr>
            <w:tcW w:w="171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39910</w:t>
            </w:r>
          </w:p>
        </w:tc>
        <w:tc>
          <w:tcPr>
            <w:tcW w:w="198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资本性赠与</w:t>
            </w: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540" w:hRule="atLeast"/>
        </w:trPr>
        <w:tc>
          <w:tcPr>
            <w:tcW w:w="76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30311</w:t>
            </w:r>
          </w:p>
        </w:tc>
        <w:tc>
          <w:tcPr>
            <w:tcW w:w="201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代缴社会保险费</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c>
          <w:tcPr>
            <w:tcW w:w="766"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30239</w:t>
            </w:r>
          </w:p>
        </w:tc>
        <w:tc>
          <w:tcPr>
            <w:tcW w:w="306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其他交通费用</w:t>
            </w:r>
          </w:p>
        </w:tc>
        <w:tc>
          <w:tcPr>
            <w:tcW w:w="1710"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39999</w:t>
            </w:r>
          </w:p>
        </w:tc>
        <w:tc>
          <w:tcPr>
            <w:tcW w:w="198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其他支出</w:t>
            </w:r>
          </w:p>
        </w:tc>
        <w:tc>
          <w:tcPr>
            <w:tcW w:w="1605"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540" w:hRule="atLeast"/>
        </w:trPr>
        <w:tc>
          <w:tcPr>
            <w:tcW w:w="766" w:type="dxa"/>
            <w:tcBorders>
              <w:top w:val="single" w:color="000000" w:sz="4" w:space="0"/>
              <w:left w:val="single" w:color="000000" w:sz="4" w:space="0"/>
              <w:bottom w:val="single" w:color="auto" w:sz="4" w:space="0"/>
              <w:right w:val="single" w:color="000000" w:sz="4" w:space="0"/>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30399</w:t>
            </w:r>
          </w:p>
        </w:tc>
        <w:tc>
          <w:tcPr>
            <w:tcW w:w="2013" w:type="dxa"/>
            <w:gridSpan w:val="3"/>
            <w:tcBorders>
              <w:top w:val="single" w:color="000000" w:sz="4" w:space="0"/>
              <w:left w:val="single" w:color="000000" w:sz="4" w:space="0"/>
              <w:bottom w:val="single" w:color="auto"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其他对个人和家庭的补助</w:t>
            </w:r>
          </w:p>
        </w:tc>
        <w:tc>
          <w:tcPr>
            <w:tcW w:w="1707" w:type="dxa"/>
            <w:gridSpan w:val="2"/>
            <w:tcBorders>
              <w:top w:val="single" w:color="000000" w:sz="4" w:space="0"/>
              <w:left w:val="single" w:color="000000" w:sz="4" w:space="0"/>
              <w:bottom w:val="single" w:color="auto" w:sz="4" w:space="0"/>
              <w:right w:val="single" w:color="000000" w:sz="4" w:space="0"/>
            </w:tcBorders>
            <w:vAlign w:val="center"/>
          </w:tcPr>
          <w:p>
            <w:pPr>
              <w:jc w:val="right"/>
              <w:rPr>
                <w:rFonts w:hint="eastAsia" w:ascii="宋体" w:hAnsi="宋体" w:cs="宋体"/>
                <w:color w:val="000000"/>
                <w:sz w:val="22"/>
              </w:rPr>
            </w:pPr>
          </w:p>
        </w:tc>
        <w:tc>
          <w:tcPr>
            <w:tcW w:w="766" w:type="dxa"/>
            <w:gridSpan w:val="2"/>
            <w:tcBorders>
              <w:top w:val="single" w:color="000000" w:sz="4" w:space="0"/>
              <w:left w:val="single" w:color="000000" w:sz="4" w:space="0"/>
              <w:bottom w:val="single" w:color="auto"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30240</w:t>
            </w:r>
          </w:p>
        </w:tc>
        <w:tc>
          <w:tcPr>
            <w:tcW w:w="3062" w:type="dxa"/>
            <w:gridSpan w:val="2"/>
            <w:tcBorders>
              <w:top w:val="single" w:color="000000" w:sz="4" w:space="0"/>
              <w:left w:val="single" w:color="000000" w:sz="4" w:space="0"/>
              <w:bottom w:val="single" w:color="auto" w:sz="4" w:space="0"/>
              <w:right w:val="single" w:color="000000"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税金及附加费用</w:t>
            </w:r>
          </w:p>
        </w:tc>
        <w:tc>
          <w:tcPr>
            <w:tcW w:w="1710" w:type="dxa"/>
            <w:tcBorders>
              <w:top w:val="single" w:color="000000" w:sz="4" w:space="0"/>
              <w:left w:val="single" w:color="000000" w:sz="4" w:space="0"/>
              <w:bottom w:val="single" w:color="auto" w:sz="4" w:space="0"/>
              <w:right w:val="single" w:color="000000" w:sz="4" w:space="0"/>
            </w:tcBorders>
            <w:vAlign w:val="center"/>
          </w:tcPr>
          <w:p>
            <w:pPr>
              <w:jc w:val="right"/>
              <w:rPr>
                <w:rFonts w:hint="eastAsia" w:ascii="宋体" w:hAnsi="宋体" w:cs="宋体"/>
                <w:color w:val="000000"/>
                <w:sz w:val="22"/>
              </w:rPr>
            </w:pPr>
          </w:p>
        </w:tc>
        <w:tc>
          <w:tcPr>
            <w:tcW w:w="870" w:type="dxa"/>
            <w:tcBorders>
              <w:top w:val="single" w:color="000000" w:sz="4" w:space="0"/>
              <w:left w:val="single" w:color="000000" w:sz="4" w:space="0"/>
              <w:bottom w:val="single" w:color="auto" w:sz="4" w:space="0"/>
              <w:right w:val="single" w:color="000000" w:sz="4" w:space="0"/>
            </w:tcBorders>
            <w:vAlign w:val="center"/>
          </w:tcPr>
          <w:p>
            <w:pPr>
              <w:jc w:val="left"/>
              <w:rPr>
                <w:rFonts w:hint="eastAsia" w:ascii="宋体" w:hAnsi="宋体" w:cs="宋体"/>
                <w:color w:val="000000"/>
                <w:sz w:val="22"/>
              </w:rPr>
            </w:pPr>
          </w:p>
        </w:tc>
        <w:tc>
          <w:tcPr>
            <w:tcW w:w="1980" w:type="dxa"/>
            <w:gridSpan w:val="2"/>
            <w:tcBorders>
              <w:top w:val="single" w:color="000000" w:sz="4" w:space="0"/>
              <w:left w:val="single" w:color="000000" w:sz="4" w:space="0"/>
              <w:bottom w:val="single" w:color="auto" w:sz="4" w:space="0"/>
              <w:right w:val="single" w:color="000000" w:sz="4" w:space="0"/>
            </w:tcBorders>
            <w:vAlign w:val="center"/>
          </w:tcPr>
          <w:p>
            <w:pPr>
              <w:jc w:val="left"/>
              <w:rPr>
                <w:rFonts w:hint="eastAsia" w:ascii="宋体" w:hAnsi="宋体" w:cs="宋体"/>
                <w:color w:val="000000"/>
                <w:sz w:val="22"/>
              </w:rPr>
            </w:pPr>
          </w:p>
        </w:tc>
        <w:tc>
          <w:tcPr>
            <w:tcW w:w="1605" w:type="dxa"/>
            <w:tcBorders>
              <w:top w:val="single" w:color="000000" w:sz="4" w:space="0"/>
              <w:left w:val="single" w:color="000000" w:sz="4" w:space="0"/>
              <w:bottom w:val="single" w:color="auto" w:sz="4" w:space="0"/>
              <w:right w:val="single" w:color="000000" w:sz="4" w:space="0"/>
            </w:tcBorders>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540" w:hRule="atLeast"/>
        </w:trPr>
        <w:tc>
          <w:tcPr>
            <w:tcW w:w="766" w:type="dxa"/>
            <w:tcBorders>
              <w:top w:val="single" w:color="auto" w:sz="4" w:space="0"/>
              <w:left w:val="single" w:color="auto" w:sz="4" w:space="0"/>
              <w:bottom w:val="single" w:color="auto" w:sz="4" w:space="0"/>
              <w:right w:val="single" w:color="auto" w:sz="4" w:space="0"/>
            </w:tcBorders>
            <w:noWrap/>
            <w:vAlign w:val="center"/>
          </w:tcPr>
          <w:p>
            <w:pPr>
              <w:jc w:val="left"/>
              <w:rPr>
                <w:rFonts w:hint="eastAsia" w:ascii="宋体" w:hAnsi="宋体" w:cs="宋体"/>
                <w:color w:val="000000"/>
                <w:sz w:val="22"/>
              </w:rPr>
            </w:pPr>
          </w:p>
        </w:tc>
        <w:tc>
          <w:tcPr>
            <w:tcW w:w="20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cs="宋体"/>
                <w:color w:val="000000"/>
                <w:sz w:val="22"/>
              </w:rPr>
            </w:pPr>
          </w:p>
        </w:tc>
        <w:tc>
          <w:tcPr>
            <w:tcW w:w="1707"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cs="宋体"/>
                <w:color w:val="000000"/>
                <w:sz w:val="22"/>
              </w:rPr>
            </w:pPr>
          </w:p>
        </w:tc>
        <w:tc>
          <w:tcPr>
            <w:tcW w:w="766" w:type="dxa"/>
            <w:gridSpan w:val="2"/>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30299</w:t>
            </w:r>
          </w:p>
        </w:tc>
        <w:tc>
          <w:tcPr>
            <w:tcW w:w="3062" w:type="dxa"/>
            <w:gridSpan w:val="2"/>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 xml:space="preserve">  其他商品和服务支出</w:t>
            </w:r>
          </w:p>
        </w:tc>
        <w:tc>
          <w:tcPr>
            <w:tcW w:w="1710" w:type="dxa"/>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cs="宋体"/>
                <w:color w:val="000000"/>
                <w:sz w:val="22"/>
              </w:rPr>
            </w:pPr>
          </w:p>
        </w:tc>
        <w:tc>
          <w:tcPr>
            <w:tcW w:w="870"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cs="宋体"/>
                <w:color w:val="000000"/>
                <w:sz w:val="22"/>
              </w:rPr>
            </w:pPr>
          </w:p>
        </w:tc>
        <w:tc>
          <w:tcPr>
            <w:tcW w:w="1980"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cs="宋体"/>
                <w:color w:val="000000"/>
                <w:sz w:val="22"/>
              </w:rPr>
            </w:pPr>
          </w:p>
        </w:tc>
        <w:tc>
          <w:tcPr>
            <w:tcW w:w="1605" w:type="dxa"/>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540" w:hRule="atLeast"/>
        </w:trPr>
        <w:tc>
          <w:tcPr>
            <w:tcW w:w="2779" w:type="dxa"/>
            <w:gridSpan w:val="4"/>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人员经费合计</w:t>
            </w:r>
          </w:p>
        </w:tc>
        <w:tc>
          <w:tcPr>
            <w:tcW w:w="1707" w:type="dxa"/>
            <w:gridSpan w:val="2"/>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36,594,973.11</w:t>
            </w:r>
          </w:p>
        </w:tc>
        <w:tc>
          <w:tcPr>
            <w:tcW w:w="8388" w:type="dxa"/>
            <w:gridSpan w:val="8"/>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公用经费合计</w:t>
            </w:r>
          </w:p>
        </w:tc>
        <w:tc>
          <w:tcPr>
            <w:tcW w:w="1605" w:type="dxa"/>
            <w:tcBorders>
              <w:top w:val="single" w:color="auto" w:sz="4" w:space="0"/>
              <w:left w:val="single" w:color="auto" w:sz="4" w:space="0"/>
              <w:bottom w:val="single" w:color="auto" w:sz="4" w:space="0"/>
              <w:right w:val="single" w:color="auto" w:sz="4" w:space="0"/>
            </w:tcBorders>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4,593,174.10</w:t>
            </w:r>
          </w:p>
        </w:tc>
      </w:tr>
      <w:tr>
        <w:tblPrEx>
          <w:tblCellMar>
            <w:top w:w="0" w:type="dxa"/>
            <w:left w:w="108" w:type="dxa"/>
            <w:bottom w:w="0" w:type="dxa"/>
            <w:right w:w="108" w:type="dxa"/>
          </w:tblCellMar>
        </w:tblPrEx>
        <w:trPr>
          <w:trHeight w:val="300" w:hRule="atLeast"/>
        </w:trPr>
        <w:tc>
          <w:tcPr>
            <w:tcW w:w="14479" w:type="dxa"/>
            <w:gridSpan w:val="15"/>
            <w:tcBorders>
              <w:top w:val="single" w:color="auto" w:sz="4" w:space="0"/>
              <w:left w:val="nil"/>
              <w:bottom w:val="nil"/>
              <w:right w:val="nil"/>
            </w:tcBorders>
            <w:shd w:val="clear" w:color="auto" w:fill="FFFFFF"/>
            <w:noWrap/>
            <w:vAlign w:val="center"/>
          </w:tcPr>
          <w:p>
            <w:pPr>
              <w:widowControl/>
              <w:jc w:val="left"/>
              <w:textAlignment w:val="center"/>
              <w:rPr>
                <w:rFonts w:hint="eastAsia" w:ascii="宋体" w:hAnsi="宋体" w:cs="宋体"/>
                <w:color w:val="000000"/>
                <w:kern w:val="0"/>
                <w:sz w:val="22"/>
                <w:lang w:bidi="ar"/>
              </w:rPr>
            </w:pPr>
            <w:r>
              <w:rPr>
                <w:rFonts w:hint="eastAsia" w:ascii="宋体" w:hAnsi="宋体" w:cs="宋体"/>
                <w:color w:val="000000"/>
                <w:kern w:val="0"/>
                <w:sz w:val="22"/>
                <w:lang w:bidi="ar"/>
              </w:rPr>
              <w:t>注：本表反映部门本年度一般公共预算财政拨款基本支出明细情况。</w:t>
            </w:r>
          </w:p>
          <w:p>
            <w:pPr>
              <w:widowControl/>
              <w:jc w:val="left"/>
              <w:textAlignment w:val="center"/>
              <w:rPr>
                <w:rFonts w:hint="eastAsia" w:ascii="宋体" w:hAnsi="宋体" w:cs="宋体"/>
                <w:color w:val="000000"/>
                <w:kern w:val="0"/>
                <w:sz w:val="22"/>
                <w:lang w:bidi="ar"/>
              </w:rPr>
            </w:pPr>
          </w:p>
          <w:p>
            <w:pPr>
              <w:widowControl/>
              <w:jc w:val="left"/>
              <w:textAlignment w:val="center"/>
              <w:rPr>
                <w:rFonts w:hint="eastAsia" w:ascii="宋体" w:hAnsi="宋体" w:cs="宋体"/>
                <w:color w:val="000000"/>
                <w:kern w:val="0"/>
                <w:sz w:val="22"/>
                <w:lang w:bidi="ar"/>
              </w:rPr>
            </w:pPr>
          </w:p>
          <w:p>
            <w:pPr>
              <w:widowControl/>
              <w:jc w:val="left"/>
              <w:textAlignment w:val="center"/>
              <w:rPr>
                <w:rFonts w:hint="eastAsia" w:ascii="宋体" w:hAnsi="宋体" w:cs="宋体"/>
                <w:color w:val="000000"/>
                <w:kern w:val="0"/>
                <w:sz w:val="22"/>
                <w:lang w:bidi="ar"/>
              </w:rPr>
            </w:pPr>
          </w:p>
        </w:tc>
      </w:tr>
      <w:tr>
        <w:tblPrEx>
          <w:tblCellMar>
            <w:top w:w="0" w:type="dxa"/>
            <w:left w:w="108" w:type="dxa"/>
            <w:bottom w:w="0" w:type="dxa"/>
            <w:right w:w="108" w:type="dxa"/>
          </w:tblCellMar>
        </w:tblPrEx>
        <w:trPr>
          <w:trHeight w:val="840" w:hRule="atLeast"/>
        </w:trPr>
        <w:tc>
          <w:tcPr>
            <w:tcW w:w="14479" w:type="dxa"/>
            <w:gridSpan w:val="15"/>
            <w:tcBorders>
              <w:top w:val="nil"/>
              <w:left w:val="nil"/>
              <w:bottom w:val="nil"/>
              <w:right w:val="nil"/>
            </w:tcBorders>
            <w:noWrap/>
            <w:vAlign w:val="center"/>
          </w:tcPr>
          <w:p>
            <w:pPr>
              <w:widowControl/>
              <w:jc w:val="center"/>
              <w:textAlignment w:val="center"/>
              <w:rPr>
                <w:rFonts w:hint="eastAsia" w:ascii="宋体" w:hAnsi="宋体" w:cs="宋体"/>
                <w:b/>
                <w:bCs/>
                <w:color w:val="000000"/>
                <w:sz w:val="40"/>
                <w:szCs w:val="40"/>
              </w:rPr>
            </w:pPr>
            <w:r>
              <w:rPr>
                <w:rFonts w:hint="eastAsia" w:ascii="宋体" w:hAnsi="宋体" w:cs="宋体"/>
                <w:b/>
                <w:bCs/>
                <w:color w:val="000000"/>
                <w:kern w:val="0"/>
                <w:sz w:val="40"/>
                <w:szCs w:val="40"/>
                <w:lang w:bidi="ar"/>
              </w:rPr>
              <w:t>政府性基金财政拨款收入支出决算表</w:t>
            </w:r>
          </w:p>
        </w:tc>
      </w:tr>
      <w:tr>
        <w:tblPrEx>
          <w:tblCellMar>
            <w:top w:w="0" w:type="dxa"/>
            <w:left w:w="108" w:type="dxa"/>
            <w:bottom w:w="0" w:type="dxa"/>
            <w:right w:w="108" w:type="dxa"/>
          </w:tblCellMar>
        </w:tblPrEx>
        <w:trPr>
          <w:trHeight w:val="480" w:hRule="atLeast"/>
        </w:trPr>
        <w:tc>
          <w:tcPr>
            <w:tcW w:w="14479" w:type="dxa"/>
            <w:gridSpan w:val="15"/>
            <w:tcBorders>
              <w:top w:val="nil"/>
              <w:left w:val="nil"/>
              <w:bottom w:val="nil"/>
              <w:right w:val="nil"/>
            </w:tcBorders>
            <w:noWrap/>
            <w:vAlign w:val="center"/>
          </w:tcPr>
          <w:p>
            <w:pPr>
              <w:widowControl/>
              <w:textAlignment w:val="center"/>
              <w:rPr>
                <w:rFonts w:hint="eastAsia" w:ascii="宋体" w:hAnsi="宋体" w:cs="宋体"/>
                <w:color w:val="000000"/>
                <w:sz w:val="22"/>
              </w:rPr>
            </w:pPr>
            <w:r>
              <w:rPr>
                <w:rFonts w:hint="eastAsia" w:ascii="宋体" w:hAnsi="宋体" w:cs="宋体"/>
                <w:color w:val="000000"/>
                <w:kern w:val="0"/>
                <w:sz w:val="22"/>
                <w:lang w:bidi="ar"/>
              </w:rPr>
              <w:t>单位：信阳市第六高级中学              2024年度                            公开07表</w:t>
            </w:r>
          </w:p>
        </w:tc>
      </w:tr>
      <w:tr>
        <w:tblPrEx>
          <w:tblCellMar>
            <w:top w:w="0" w:type="dxa"/>
            <w:left w:w="108" w:type="dxa"/>
            <w:bottom w:w="0" w:type="dxa"/>
            <w:right w:w="108" w:type="dxa"/>
          </w:tblCellMar>
        </w:tblPrEx>
        <w:trPr>
          <w:trHeight w:val="480" w:hRule="atLeast"/>
        </w:trPr>
        <w:tc>
          <w:tcPr>
            <w:tcW w:w="14479" w:type="dxa"/>
            <w:gridSpan w:val="15"/>
            <w:tcBorders>
              <w:top w:val="nil"/>
              <w:left w:val="nil"/>
              <w:bottom w:val="nil"/>
              <w:right w:val="nil"/>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 xml:space="preserve">                            金额单位：元</w:t>
            </w:r>
          </w:p>
        </w:tc>
      </w:tr>
      <w:tr>
        <w:tblPrEx>
          <w:tblCellMar>
            <w:top w:w="0" w:type="dxa"/>
            <w:left w:w="108" w:type="dxa"/>
            <w:bottom w:w="0" w:type="dxa"/>
            <w:right w:w="108" w:type="dxa"/>
          </w:tblCellMar>
        </w:tblPrEx>
        <w:trPr>
          <w:trHeight w:val="300" w:hRule="atLeast"/>
        </w:trPr>
        <w:tc>
          <w:tcPr>
            <w:tcW w:w="2494"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项目</w:t>
            </w:r>
          </w:p>
        </w:tc>
        <w:tc>
          <w:tcPr>
            <w:tcW w:w="1320"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年初结转和结余</w:t>
            </w:r>
          </w:p>
        </w:tc>
        <w:tc>
          <w:tcPr>
            <w:tcW w:w="1380"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本年收入</w:t>
            </w:r>
          </w:p>
        </w:tc>
        <w:tc>
          <w:tcPr>
            <w:tcW w:w="6015" w:type="dxa"/>
            <w:gridSpan w:val="6"/>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本年支出</w:t>
            </w:r>
          </w:p>
        </w:tc>
        <w:tc>
          <w:tcPr>
            <w:tcW w:w="3270"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年末结转和结余</w:t>
            </w:r>
          </w:p>
        </w:tc>
      </w:tr>
      <w:tr>
        <w:tblPrEx>
          <w:tblCellMar>
            <w:top w:w="0" w:type="dxa"/>
            <w:left w:w="108" w:type="dxa"/>
            <w:bottom w:w="0" w:type="dxa"/>
            <w:right w:w="108" w:type="dxa"/>
          </w:tblCellMar>
        </w:tblPrEx>
        <w:trPr>
          <w:trHeight w:val="521" w:hRule="atLeast"/>
        </w:trPr>
        <w:tc>
          <w:tcPr>
            <w:tcW w:w="1369"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科目代码</w:t>
            </w:r>
          </w:p>
        </w:tc>
        <w:tc>
          <w:tcPr>
            <w:tcW w:w="1125"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科目名称</w:t>
            </w:r>
          </w:p>
        </w:tc>
        <w:tc>
          <w:tcPr>
            <w:tcW w:w="1320"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380"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245"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小计</w:t>
            </w:r>
          </w:p>
        </w:tc>
        <w:tc>
          <w:tcPr>
            <w:tcW w:w="187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基本支出</w:t>
            </w:r>
          </w:p>
        </w:tc>
        <w:tc>
          <w:tcPr>
            <w:tcW w:w="2895"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项目支出</w:t>
            </w:r>
          </w:p>
        </w:tc>
        <w:tc>
          <w:tcPr>
            <w:tcW w:w="3270"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r>
      <w:tr>
        <w:tblPrEx>
          <w:tblCellMar>
            <w:top w:w="0" w:type="dxa"/>
            <w:left w:w="108" w:type="dxa"/>
            <w:bottom w:w="0" w:type="dxa"/>
            <w:right w:w="108" w:type="dxa"/>
          </w:tblCellMar>
        </w:tblPrEx>
        <w:trPr>
          <w:trHeight w:val="521" w:hRule="atLeast"/>
        </w:trPr>
        <w:tc>
          <w:tcPr>
            <w:tcW w:w="136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12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2"/>
              </w:rPr>
            </w:pPr>
          </w:p>
        </w:tc>
        <w:tc>
          <w:tcPr>
            <w:tcW w:w="1320"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380"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24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187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2895"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3270"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r>
      <w:tr>
        <w:tblPrEx>
          <w:tblCellMar>
            <w:top w:w="0" w:type="dxa"/>
            <w:left w:w="108" w:type="dxa"/>
            <w:bottom w:w="0" w:type="dxa"/>
            <w:right w:w="108" w:type="dxa"/>
          </w:tblCellMar>
        </w:tblPrEx>
        <w:trPr>
          <w:trHeight w:val="521" w:hRule="atLeast"/>
        </w:trPr>
        <w:tc>
          <w:tcPr>
            <w:tcW w:w="1369" w:type="dxa"/>
            <w:gridSpan w:val="2"/>
            <w:vMerge w:val="continue"/>
            <w:tcBorders>
              <w:top w:val="single" w:color="000000" w:sz="4" w:space="0"/>
              <w:left w:val="single" w:color="000000" w:sz="4" w:space="0"/>
              <w:bottom w:val="single" w:color="auto" w:sz="4" w:space="0"/>
              <w:right w:val="single" w:color="000000" w:sz="4" w:space="0"/>
            </w:tcBorders>
            <w:vAlign w:val="center"/>
          </w:tcPr>
          <w:p>
            <w:pPr>
              <w:jc w:val="center"/>
              <w:rPr>
                <w:rFonts w:hint="eastAsia" w:ascii="宋体" w:hAnsi="宋体" w:cs="宋体"/>
                <w:color w:val="000000"/>
                <w:sz w:val="22"/>
              </w:rPr>
            </w:pPr>
          </w:p>
        </w:tc>
        <w:tc>
          <w:tcPr>
            <w:tcW w:w="1125" w:type="dxa"/>
            <w:vMerge w:val="continue"/>
            <w:tcBorders>
              <w:top w:val="single" w:color="000000" w:sz="4" w:space="0"/>
              <w:left w:val="single" w:color="000000" w:sz="4" w:space="0"/>
              <w:bottom w:val="single" w:color="auto" w:sz="4" w:space="0"/>
              <w:right w:val="single" w:color="000000" w:sz="4" w:space="0"/>
            </w:tcBorders>
            <w:noWrap/>
            <w:vAlign w:val="center"/>
          </w:tcPr>
          <w:p>
            <w:pPr>
              <w:jc w:val="center"/>
              <w:rPr>
                <w:rFonts w:hint="eastAsia" w:ascii="宋体" w:hAnsi="宋体" w:cs="宋体"/>
                <w:color w:val="000000"/>
                <w:sz w:val="22"/>
              </w:rPr>
            </w:pPr>
          </w:p>
        </w:tc>
        <w:tc>
          <w:tcPr>
            <w:tcW w:w="1320" w:type="dxa"/>
            <w:gridSpan w:val="2"/>
            <w:vMerge w:val="continue"/>
            <w:tcBorders>
              <w:top w:val="single" w:color="000000" w:sz="4" w:space="0"/>
              <w:left w:val="single" w:color="000000" w:sz="4" w:space="0"/>
              <w:bottom w:val="single" w:color="auto" w:sz="4" w:space="0"/>
              <w:right w:val="single" w:color="000000" w:sz="4" w:space="0"/>
            </w:tcBorders>
            <w:vAlign w:val="center"/>
          </w:tcPr>
          <w:p>
            <w:pPr>
              <w:jc w:val="center"/>
              <w:rPr>
                <w:rFonts w:hint="eastAsia" w:ascii="宋体" w:hAnsi="宋体" w:cs="宋体"/>
                <w:color w:val="000000"/>
                <w:sz w:val="22"/>
              </w:rPr>
            </w:pPr>
          </w:p>
        </w:tc>
        <w:tc>
          <w:tcPr>
            <w:tcW w:w="1380" w:type="dxa"/>
            <w:gridSpan w:val="2"/>
            <w:vMerge w:val="continue"/>
            <w:tcBorders>
              <w:top w:val="single" w:color="000000" w:sz="4" w:space="0"/>
              <w:left w:val="single" w:color="000000" w:sz="4" w:space="0"/>
              <w:bottom w:val="single" w:color="auto" w:sz="4" w:space="0"/>
              <w:right w:val="single" w:color="000000" w:sz="4" w:space="0"/>
            </w:tcBorders>
            <w:vAlign w:val="center"/>
          </w:tcPr>
          <w:p>
            <w:pPr>
              <w:jc w:val="center"/>
              <w:rPr>
                <w:rFonts w:hint="eastAsia" w:ascii="宋体" w:hAnsi="宋体" w:cs="宋体"/>
                <w:color w:val="000000"/>
                <w:sz w:val="22"/>
              </w:rPr>
            </w:pPr>
          </w:p>
        </w:tc>
        <w:tc>
          <w:tcPr>
            <w:tcW w:w="1245" w:type="dxa"/>
            <w:gridSpan w:val="2"/>
            <w:vMerge w:val="continue"/>
            <w:tcBorders>
              <w:top w:val="single" w:color="000000" w:sz="4" w:space="0"/>
              <w:left w:val="single" w:color="000000" w:sz="4" w:space="0"/>
              <w:bottom w:val="single" w:color="auto" w:sz="4" w:space="0"/>
              <w:right w:val="single" w:color="000000" w:sz="4" w:space="0"/>
            </w:tcBorders>
            <w:vAlign w:val="center"/>
          </w:tcPr>
          <w:p>
            <w:pPr>
              <w:jc w:val="center"/>
              <w:rPr>
                <w:rFonts w:hint="eastAsia" w:ascii="宋体" w:hAnsi="宋体" w:cs="宋体"/>
                <w:color w:val="000000"/>
                <w:sz w:val="22"/>
              </w:rPr>
            </w:pPr>
          </w:p>
        </w:tc>
        <w:tc>
          <w:tcPr>
            <w:tcW w:w="1875" w:type="dxa"/>
            <w:vMerge w:val="continue"/>
            <w:tcBorders>
              <w:top w:val="single" w:color="000000" w:sz="4" w:space="0"/>
              <w:left w:val="single" w:color="000000" w:sz="4" w:space="0"/>
              <w:bottom w:val="single" w:color="auto" w:sz="4" w:space="0"/>
              <w:right w:val="single" w:color="000000" w:sz="4" w:space="0"/>
            </w:tcBorders>
            <w:vAlign w:val="center"/>
          </w:tcPr>
          <w:p>
            <w:pPr>
              <w:jc w:val="center"/>
              <w:rPr>
                <w:rFonts w:hint="eastAsia" w:ascii="宋体" w:hAnsi="宋体" w:cs="宋体"/>
                <w:color w:val="000000"/>
                <w:sz w:val="22"/>
              </w:rPr>
            </w:pPr>
          </w:p>
        </w:tc>
        <w:tc>
          <w:tcPr>
            <w:tcW w:w="2895" w:type="dxa"/>
            <w:gridSpan w:val="3"/>
            <w:vMerge w:val="continue"/>
            <w:tcBorders>
              <w:top w:val="single" w:color="000000" w:sz="4" w:space="0"/>
              <w:left w:val="single" w:color="000000" w:sz="4" w:space="0"/>
              <w:bottom w:val="single" w:color="auto" w:sz="4" w:space="0"/>
              <w:right w:val="single" w:color="000000" w:sz="4" w:space="0"/>
            </w:tcBorders>
            <w:vAlign w:val="center"/>
          </w:tcPr>
          <w:p>
            <w:pPr>
              <w:jc w:val="center"/>
              <w:rPr>
                <w:rFonts w:hint="eastAsia" w:ascii="宋体" w:hAnsi="宋体" w:cs="宋体"/>
                <w:color w:val="000000"/>
                <w:sz w:val="22"/>
              </w:rPr>
            </w:pPr>
          </w:p>
        </w:tc>
        <w:tc>
          <w:tcPr>
            <w:tcW w:w="3270" w:type="dxa"/>
            <w:gridSpan w:val="2"/>
            <w:vMerge w:val="continue"/>
            <w:tcBorders>
              <w:top w:val="single" w:color="000000" w:sz="4" w:space="0"/>
              <w:left w:val="single" w:color="000000" w:sz="4" w:space="0"/>
              <w:bottom w:val="single" w:color="auto" w:sz="4" w:space="0"/>
              <w:right w:val="single" w:color="000000" w:sz="4" w:space="0"/>
            </w:tcBorders>
            <w:vAlign w:val="center"/>
          </w:tcPr>
          <w:p>
            <w:pPr>
              <w:jc w:val="center"/>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2494"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栏次</w:t>
            </w:r>
          </w:p>
        </w:tc>
        <w:tc>
          <w:tcPr>
            <w:tcW w:w="1320"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w:t>
            </w:r>
          </w:p>
        </w:tc>
        <w:tc>
          <w:tcPr>
            <w:tcW w:w="1245"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w:t>
            </w:r>
          </w:p>
        </w:tc>
        <w:tc>
          <w:tcPr>
            <w:tcW w:w="1875"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4</w:t>
            </w:r>
          </w:p>
        </w:tc>
        <w:tc>
          <w:tcPr>
            <w:tcW w:w="2895"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5</w:t>
            </w:r>
          </w:p>
        </w:tc>
        <w:tc>
          <w:tcPr>
            <w:tcW w:w="3270"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6</w:t>
            </w:r>
          </w:p>
        </w:tc>
      </w:tr>
      <w:tr>
        <w:tblPrEx>
          <w:tblCellMar>
            <w:top w:w="0" w:type="dxa"/>
            <w:left w:w="108" w:type="dxa"/>
            <w:bottom w:w="0" w:type="dxa"/>
            <w:right w:w="108" w:type="dxa"/>
          </w:tblCellMar>
        </w:tblPrEx>
        <w:trPr>
          <w:trHeight w:val="300" w:hRule="atLeast"/>
        </w:trPr>
        <w:tc>
          <w:tcPr>
            <w:tcW w:w="2494"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合计</w:t>
            </w:r>
          </w:p>
        </w:tc>
        <w:tc>
          <w:tcPr>
            <w:tcW w:w="1320" w:type="dxa"/>
            <w:gridSpan w:val="2"/>
            <w:tcBorders>
              <w:top w:val="single" w:color="auto" w:sz="4" w:space="0"/>
              <w:left w:val="single" w:color="auto" w:sz="4" w:space="0"/>
              <w:bottom w:val="single" w:color="auto" w:sz="4" w:space="0"/>
              <w:right w:val="single" w:color="auto" w:sz="4" w:space="0"/>
            </w:tcBorders>
            <w:noWrap/>
            <w:vAlign w:val="center"/>
          </w:tcPr>
          <w:p>
            <w:pPr>
              <w:jc w:val="right"/>
              <w:rPr>
                <w:rFonts w:hint="eastAsia" w:ascii="宋体" w:hAnsi="宋体" w:cs="宋体"/>
                <w:b/>
                <w:bCs/>
                <w:color w:val="000000"/>
                <w:sz w:val="22"/>
              </w:rPr>
            </w:pP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jc w:val="right"/>
              <w:rPr>
                <w:rFonts w:hint="eastAsia" w:ascii="宋体" w:hAnsi="宋体" w:cs="宋体"/>
                <w:b/>
                <w:bCs/>
                <w:color w:val="000000"/>
                <w:sz w:val="22"/>
              </w:rPr>
            </w:pPr>
          </w:p>
        </w:tc>
        <w:tc>
          <w:tcPr>
            <w:tcW w:w="1245" w:type="dxa"/>
            <w:gridSpan w:val="2"/>
            <w:tcBorders>
              <w:top w:val="single" w:color="auto" w:sz="4" w:space="0"/>
              <w:left w:val="single" w:color="auto" w:sz="4" w:space="0"/>
              <w:bottom w:val="single" w:color="auto" w:sz="4" w:space="0"/>
              <w:right w:val="single" w:color="auto" w:sz="4" w:space="0"/>
            </w:tcBorders>
            <w:noWrap/>
            <w:vAlign w:val="center"/>
          </w:tcPr>
          <w:p>
            <w:pPr>
              <w:jc w:val="right"/>
              <w:rPr>
                <w:rFonts w:hint="eastAsia" w:ascii="宋体" w:hAnsi="宋体" w:cs="宋体"/>
                <w:b/>
                <w:bCs/>
                <w:color w:val="000000"/>
                <w:sz w:val="22"/>
              </w:rPr>
            </w:pPr>
          </w:p>
        </w:tc>
        <w:tc>
          <w:tcPr>
            <w:tcW w:w="1875" w:type="dxa"/>
            <w:tcBorders>
              <w:top w:val="single" w:color="auto" w:sz="4" w:space="0"/>
              <w:left w:val="single" w:color="auto" w:sz="4" w:space="0"/>
              <w:bottom w:val="single" w:color="auto" w:sz="4" w:space="0"/>
              <w:right w:val="single" w:color="auto" w:sz="4" w:space="0"/>
            </w:tcBorders>
            <w:noWrap/>
            <w:vAlign w:val="center"/>
          </w:tcPr>
          <w:p>
            <w:pPr>
              <w:jc w:val="right"/>
              <w:rPr>
                <w:rFonts w:hint="eastAsia" w:ascii="宋体" w:hAnsi="宋体" w:cs="宋体"/>
                <w:b/>
                <w:bCs/>
                <w:color w:val="000000"/>
                <w:sz w:val="22"/>
              </w:rPr>
            </w:pPr>
          </w:p>
        </w:tc>
        <w:tc>
          <w:tcPr>
            <w:tcW w:w="2895" w:type="dxa"/>
            <w:gridSpan w:val="3"/>
            <w:tcBorders>
              <w:top w:val="single" w:color="auto" w:sz="4" w:space="0"/>
              <w:left w:val="single" w:color="auto" w:sz="4" w:space="0"/>
              <w:bottom w:val="single" w:color="auto" w:sz="4" w:space="0"/>
              <w:right w:val="single" w:color="auto" w:sz="4" w:space="0"/>
            </w:tcBorders>
            <w:noWrap/>
            <w:vAlign w:val="center"/>
          </w:tcPr>
          <w:p>
            <w:pPr>
              <w:jc w:val="right"/>
              <w:rPr>
                <w:rFonts w:hint="eastAsia" w:ascii="宋体" w:hAnsi="宋体" w:cs="宋体"/>
                <w:b/>
                <w:bCs/>
                <w:color w:val="000000"/>
                <w:sz w:val="22"/>
              </w:rPr>
            </w:pPr>
          </w:p>
        </w:tc>
        <w:tc>
          <w:tcPr>
            <w:tcW w:w="3270" w:type="dxa"/>
            <w:gridSpan w:val="2"/>
            <w:tcBorders>
              <w:top w:val="single" w:color="auto" w:sz="4" w:space="0"/>
              <w:left w:val="single" w:color="auto" w:sz="4" w:space="0"/>
              <w:bottom w:val="single" w:color="auto" w:sz="4" w:space="0"/>
              <w:right w:val="single" w:color="auto" w:sz="4" w:space="0"/>
            </w:tcBorders>
            <w:noWrap/>
            <w:vAlign w:val="center"/>
          </w:tcPr>
          <w:p>
            <w:pPr>
              <w:jc w:val="right"/>
              <w:rPr>
                <w:rFonts w:hint="eastAsia" w:ascii="宋体" w:hAnsi="宋体" w:cs="宋体"/>
                <w:b/>
                <w:bCs/>
                <w:color w:val="000000"/>
                <w:sz w:val="22"/>
              </w:rPr>
            </w:pPr>
          </w:p>
        </w:tc>
      </w:tr>
      <w:tr>
        <w:tblPrEx>
          <w:tblCellMar>
            <w:top w:w="0" w:type="dxa"/>
            <w:left w:w="108" w:type="dxa"/>
            <w:bottom w:w="0" w:type="dxa"/>
            <w:right w:w="108" w:type="dxa"/>
          </w:tblCellMar>
        </w:tblPrEx>
        <w:trPr>
          <w:trHeight w:val="300" w:hRule="atLeast"/>
        </w:trPr>
        <w:tc>
          <w:tcPr>
            <w:tcW w:w="1369" w:type="dxa"/>
            <w:gridSpan w:val="2"/>
            <w:tcBorders>
              <w:top w:val="single" w:color="auto" w:sz="4" w:space="0"/>
              <w:left w:val="single" w:color="D4D4D4" w:sz="4" w:space="0"/>
              <w:bottom w:val="single" w:color="D4D4D4" w:sz="4" w:space="0"/>
              <w:right w:val="single" w:color="D4D4D4" w:sz="4" w:space="0"/>
            </w:tcBorders>
            <w:noWrap/>
            <w:vAlign w:val="center"/>
          </w:tcPr>
          <w:p>
            <w:pPr>
              <w:jc w:val="left"/>
              <w:rPr>
                <w:rFonts w:hint="eastAsia" w:ascii="宋体" w:hAnsi="宋体" w:cs="宋体"/>
                <w:color w:val="000000"/>
                <w:sz w:val="22"/>
              </w:rPr>
            </w:pPr>
          </w:p>
        </w:tc>
        <w:tc>
          <w:tcPr>
            <w:tcW w:w="1125" w:type="dxa"/>
            <w:tcBorders>
              <w:top w:val="single" w:color="auto" w:sz="4" w:space="0"/>
              <w:left w:val="single" w:color="D4D4D4" w:sz="4" w:space="0"/>
              <w:bottom w:val="single" w:color="D4D4D4" w:sz="4" w:space="0"/>
              <w:right w:val="single" w:color="D4D4D4" w:sz="4" w:space="0"/>
            </w:tcBorders>
            <w:noWrap/>
            <w:vAlign w:val="center"/>
          </w:tcPr>
          <w:p>
            <w:pPr>
              <w:jc w:val="left"/>
              <w:rPr>
                <w:rFonts w:hint="eastAsia" w:ascii="宋体" w:hAnsi="宋体" w:cs="宋体"/>
                <w:color w:val="000000"/>
                <w:sz w:val="22"/>
              </w:rPr>
            </w:pPr>
          </w:p>
        </w:tc>
        <w:tc>
          <w:tcPr>
            <w:tcW w:w="1320" w:type="dxa"/>
            <w:gridSpan w:val="2"/>
            <w:tcBorders>
              <w:top w:val="single" w:color="auto" w:sz="4" w:space="0"/>
              <w:left w:val="single" w:color="D4D4D4" w:sz="4" w:space="0"/>
              <w:bottom w:val="single" w:color="D4D4D4" w:sz="4" w:space="0"/>
              <w:right w:val="single" w:color="D4D4D4" w:sz="4" w:space="0"/>
            </w:tcBorders>
            <w:noWrap/>
            <w:vAlign w:val="center"/>
          </w:tcPr>
          <w:p>
            <w:pPr>
              <w:jc w:val="right"/>
              <w:rPr>
                <w:rFonts w:hint="eastAsia" w:ascii="宋体" w:hAnsi="宋体" w:cs="宋体"/>
                <w:color w:val="000000"/>
                <w:sz w:val="22"/>
              </w:rPr>
            </w:pPr>
          </w:p>
        </w:tc>
        <w:tc>
          <w:tcPr>
            <w:tcW w:w="1380" w:type="dxa"/>
            <w:gridSpan w:val="2"/>
            <w:tcBorders>
              <w:top w:val="single" w:color="auto" w:sz="4" w:space="0"/>
              <w:left w:val="single" w:color="D4D4D4" w:sz="4" w:space="0"/>
              <w:bottom w:val="single" w:color="D4D4D4" w:sz="4" w:space="0"/>
              <w:right w:val="single" w:color="D4D4D4" w:sz="4" w:space="0"/>
            </w:tcBorders>
            <w:noWrap/>
            <w:vAlign w:val="center"/>
          </w:tcPr>
          <w:p>
            <w:pPr>
              <w:jc w:val="right"/>
              <w:rPr>
                <w:rFonts w:hint="eastAsia" w:ascii="宋体" w:hAnsi="宋体" w:cs="宋体"/>
                <w:color w:val="000000"/>
                <w:sz w:val="22"/>
              </w:rPr>
            </w:pPr>
          </w:p>
        </w:tc>
        <w:tc>
          <w:tcPr>
            <w:tcW w:w="1245" w:type="dxa"/>
            <w:gridSpan w:val="2"/>
            <w:tcBorders>
              <w:top w:val="single" w:color="auto" w:sz="4" w:space="0"/>
              <w:left w:val="single" w:color="D4D4D4" w:sz="4" w:space="0"/>
              <w:bottom w:val="single" w:color="D4D4D4" w:sz="4" w:space="0"/>
              <w:right w:val="single" w:color="D4D4D4" w:sz="4" w:space="0"/>
            </w:tcBorders>
            <w:noWrap/>
            <w:vAlign w:val="center"/>
          </w:tcPr>
          <w:p>
            <w:pPr>
              <w:jc w:val="right"/>
              <w:rPr>
                <w:rFonts w:hint="eastAsia" w:ascii="宋体" w:hAnsi="宋体" w:cs="宋体"/>
                <w:color w:val="000000"/>
                <w:sz w:val="22"/>
              </w:rPr>
            </w:pPr>
          </w:p>
        </w:tc>
        <w:tc>
          <w:tcPr>
            <w:tcW w:w="1875" w:type="dxa"/>
            <w:tcBorders>
              <w:top w:val="single" w:color="auto" w:sz="4" w:space="0"/>
              <w:left w:val="single" w:color="D4D4D4" w:sz="4" w:space="0"/>
              <w:bottom w:val="single" w:color="D4D4D4" w:sz="4" w:space="0"/>
              <w:right w:val="single" w:color="D4D4D4" w:sz="4" w:space="0"/>
            </w:tcBorders>
            <w:noWrap/>
            <w:vAlign w:val="center"/>
          </w:tcPr>
          <w:p>
            <w:pPr>
              <w:jc w:val="right"/>
              <w:rPr>
                <w:rFonts w:hint="eastAsia" w:ascii="宋体" w:hAnsi="宋体" w:cs="宋体"/>
                <w:color w:val="000000"/>
                <w:sz w:val="22"/>
              </w:rPr>
            </w:pPr>
          </w:p>
        </w:tc>
        <w:tc>
          <w:tcPr>
            <w:tcW w:w="2895" w:type="dxa"/>
            <w:gridSpan w:val="3"/>
            <w:tcBorders>
              <w:top w:val="single" w:color="auto" w:sz="4" w:space="0"/>
              <w:left w:val="single" w:color="D4D4D4" w:sz="4" w:space="0"/>
              <w:bottom w:val="single" w:color="D4D4D4" w:sz="4" w:space="0"/>
              <w:right w:val="single" w:color="D4D4D4" w:sz="4" w:space="0"/>
            </w:tcBorders>
            <w:noWrap/>
            <w:vAlign w:val="center"/>
          </w:tcPr>
          <w:p>
            <w:pPr>
              <w:jc w:val="right"/>
              <w:rPr>
                <w:rFonts w:hint="eastAsia" w:ascii="宋体" w:hAnsi="宋体" w:cs="宋体"/>
                <w:color w:val="000000"/>
                <w:sz w:val="22"/>
              </w:rPr>
            </w:pPr>
          </w:p>
        </w:tc>
        <w:tc>
          <w:tcPr>
            <w:tcW w:w="3270" w:type="dxa"/>
            <w:gridSpan w:val="2"/>
            <w:tcBorders>
              <w:top w:val="single" w:color="auto" w:sz="4" w:space="0"/>
              <w:left w:val="single" w:color="D4D4D4" w:sz="4" w:space="0"/>
              <w:bottom w:val="single" w:color="D4D4D4" w:sz="4" w:space="0"/>
              <w:right w:val="single" w:color="D4D4D4"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14479" w:type="dxa"/>
            <w:gridSpan w:val="15"/>
            <w:tcBorders>
              <w:top w:val="single" w:color="D4D4D4" w:sz="4" w:space="0"/>
              <w:left w:val="nil"/>
              <w:bottom w:val="nil"/>
              <w:right w:val="nil"/>
            </w:tcBorders>
            <w:shd w:val="clear" w:color="auto" w:fill="FFFFFF"/>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注：本表反映部门本年度政府性基金预算财政拨款收入、支出及结转和结余情况。</w:t>
            </w:r>
          </w:p>
        </w:tc>
      </w:tr>
    </w:tbl>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tbl>
      <w:tblPr>
        <w:tblStyle w:val="16"/>
        <w:tblW w:w="12184" w:type="dxa"/>
        <w:tblInd w:w="93" w:type="dxa"/>
        <w:tblLayout w:type="fixed"/>
        <w:tblCellMar>
          <w:top w:w="0" w:type="dxa"/>
          <w:left w:w="108" w:type="dxa"/>
          <w:bottom w:w="0" w:type="dxa"/>
          <w:right w:w="108" w:type="dxa"/>
        </w:tblCellMar>
      </w:tblPr>
      <w:tblGrid>
        <w:gridCol w:w="1504"/>
        <w:gridCol w:w="2400"/>
        <w:gridCol w:w="1680"/>
        <w:gridCol w:w="2895"/>
        <w:gridCol w:w="3705"/>
      </w:tblGrid>
      <w:tr>
        <w:tblPrEx>
          <w:tblCellMar>
            <w:top w:w="0" w:type="dxa"/>
            <w:left w:w="108" w:type="dxa"/>
            <w:bottom w:w="0" w:type="dxa"/>
            <w:right w:w="108" w:type="dxa"/>
          </w:tblCellMar>
        </w:tblPrEx>
        <w:trPr>
          <w:trHeight w:val="620" w:hRule="atLeast"/>
        </w:trPr>
        <w:tc>
          <w:tcPr>
            <w:tcW w:w="12184" w:type="dxa"/>
            <w:gridSpan w:val="5"/>
            <w:tcBorders>
              <w:top w:val="nil"/>
              <w:left w:val="nil"/>
              <w:bottom w:val="nil"/>
              <w:right w:val="nil"/>
            </w:tcBorders>
            <w:noWrap/>
            <w:vAlign w:val="center"/>
          </w:tcPr>
          <w:p>
            <w:pPr>
              <w:widowControl/>
              <w:jc w:val="center"/>
              <w:textAlignment w:val="center"/>
              <w:rPr>
                <w:rFonts w:hint="eastAsia" w:ascii="宋体" w:hAnsi="宋体" w:cs="宋体"/>
                <w:b/>
                <w:bCs/>
                <w:color w:val="000000"/>
                <w:sz w:val="40"/>
                <w:szCs w:val="40"/>
              </w:rPr>
            </w:pPr>
            <w:r>
              <w:rPr>
                <w:rFonts w:hint="eastAsia" w:ascii="宋体" w:hAnsi="宋体" w:cs="宋体"/>
                <w:b/>
                <w:bCs/>
                <w:color w:val="000000"/>
                <w:kern w:val="0"/>
                <w:sz w:val="40"/>
                <w:szCs w:val="40"/>
                <w:lang w:bidi="ar"/>
              </w:rPr>
              <w:t xml:space="preserve"> 国有资本经营预算财政拨款支出决算表</w:t>
            </w:r>
          </w:p>
        </w:tc>
      </w:tr>
      <w:tr>
        <w:tblPrEx>
          <w:tblCellMar>
            <w:top w:w="0" w:type="dxa"/>
            <w:left w:w="108" w:type="dxa"/>
            <w:bottom w:w="0" w:type="dxa"/>
            <w:right w:w="108" w:type="dxa"/>
          </w:tblCellMar>
        </w:tblPrEx>
        <w:trPr>
          <w:trHeight w:val="620" w:hRule="atLeast"/>
        </w:trPr>
        <w:tc>
          <w:tcPr>
            <w:tcW w:w="12184" w:type="dxa"/>
            <w:gridSpan w:val="5"/>
            <w:tcBorders>
              <w:top w:val="nil"/>
              <w:left w:val="nil"/>
              <w:bottom w:val="nil"/>
              <w:right w:val="nil"/>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单位：信阳市第六高级中学         2024年度             公开08表</w:t>
            </w:r>
          </w:p>
        </w:tc>
      </w:tr>
      <w:tr>
        <w:tblPrEx>
          <w:tblCellMar>
            <w:top w:w="0" w:type="dxa"/>
            <w:left w:w="108" w:type="dxa"/>
            <w:bottom w:w="0" w:type="dxa"/>
            <w:right w:w="108" w:type="dxa"/>
          </w:tblCellMar>
        </w:tblPrEx>
        <w:trPr>
          <w:trHeight w:val="620" w:hRule="atLeast"/>
        </w:trPr>
        <w:tc>
          <w:tcPr>
            <w:tcW w:w="12184" w:type="dxa"/>
            <w:gridSpan w:val="5"/>
            <w:tcBorders>
              <w:top w:val="nil"/>
              <w:left w:val="nil"/>
              <w:bottom w:val="nil"/>
              <w:right w:val="nil"/>
            </w:tcBorders>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 xml:space="preserve"> 金额单位：元</w:t>
            </w:r>
          </w:p>
        </w:tc>
      </w:tr>
      <w:tr>
        <w:tblPrEx>
          <w:tblCellMar>
            <w:top w:w="0" w:type="dxa"/>
            <w:left w:w="108" w:type="dxa"/>
            <w:bottom w:w="0" w:type="dxa"/>
            <w:right w:w="108" w:type="dxa"/>
          </w:tblCellMar>
        </w:tblPrEx>
        <w:trPr>
          <w:trHeight w:val="300" w:hRule="atLeast"/>
        </w:trPr>
        <w:tc>
          <w:tcPr>
            <w:tcW w:w="3904"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项目</w:t>
            </w:r>
          </w:p>
        </w:tc>
        <w:tc>
          <w:tcPr>
            <w:tcW w:w="828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本年支出</w:t>
            </w:r>
          </w:p>
        </w:tc>
      </w:tr>
      <w:tr>
        <w:tblPrEx>
          <w:tblCellMar>
            <w:top w:w="0" w:type="dxa"/>
            <w:left w:w="108" w:type="dxa"/>
            <w:bottom w:w="0" w:type="dxa"/>
            <w:right w:w="108" w:type="dxa"/>
          </w:tblCellMar>
        </w:tblPrEx>
        <w:trPr>
          <w:trHeight w:val="521" w:hRule="atLeast"/>
        </w:trPr>
        <w:tc>
          <w:tcPr>
            <w:tcW w:w="1504"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科目代码</w:t>
            </w:r>
          </w:p>
        </w:tc>
        <w:tc>
          <w:tcPr>
            <w:tcW w:w="2400"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科目名称</w:t>
            </w: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合计</w:t>
            </w:r>
          </w:p>
        </w:tc>
        <w:tc>
          <w:tcPr>
            <w:tcW w:w="289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基本支出</w:t>
            </w:r>
          </w:p>
        </w:tc>
        <w:tc>
          <w:tcPr>
            <w:tcW w:w="370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项目支出</w:t>
            </w:r>
          </w:p>
        </w:tc>
      </w:tr>
      <w:tr>
        <w:tblPrEx>
          <w:tblCellMar>
            <w:top w:w="0" w:type="dxa"/>
            <w:left w:w="108" w:type="dxa"/>
            <w:bottom w:w="0" w:type="dxa"/>
            <w:right w:w="108" w:type="dxa"/>
          </w:tblCellMar>
        </w:tblPrEx>
        <w:trPr>
          <w:trHeight w:val="521" w:hRule="atLeast"/>
        </w:trPr>
        <w:tc>
          <w:tcPr>
            <w:tcW w:w="150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240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2"/>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289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370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r>
      <w:tr>
        <w:tblPrEx>
          <w:tblCellMar>
            <w:top w:w="0" w:type="dxa"/>
            <w:left w:w="108" w:type="dxa"/>
            <w:bottom w:w="0" w:type="dxa"/>
            <w:right w:w="108" w:type="dxa"/>
          </w:tblCellMar>
        </w:tblPrEx>
        <w:trPr>
          <w:trHeight w:val="521" w:hRule="atLeast"/>
        </w:trPr>
        <w:tc>
          <w:tcPr>
            <w:tcW w:w="150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240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2"/>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289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c>
          <w:tcPr>
            <w:tcW w:w="370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3904" w:type="dxa"/>
            <w:gridSpan w:val="2"/>
            <w:tcBorders>
              <w:top w:val="single" w:color="000000" w:sz="4" w:space="0"/>
              <w:left w:val="single" w:color="000000" w:sz="4" w:space="0"/>
              <w:bottom w:val="single" w:color="auto"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栏次</w:t>
            </w:r>
          </w:p>
        </w:tc>
        <w:tc>
          <w:tcPr>
            <w:tcW w:w="1680" w:type="dxa"/>
            <w:tcBorders>
              <w:top w:val="single" w:color="000000" w:sz="4" w:space="0"/>
              <w:left w:val="single" w:color="000000" w:sz="4" w:space="0"/>
              <w:bottom w:val="single" w:color="auto"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w:t>
            </w:r>
          </w:p>
        </w:tc>
        <w:tc>
          <w:tcPr>
            <w:tcW w:w="2895" w:type="dxa"/>
            <w:tcBorders>
              <w:top w:val="single" w:color="000000" w:sz="4" w:space="0"/>
              <w:left w:val="single" w:color="000000" w:sz="4" w:space="0"/>
              <w:bottom w:val="single" w:color="auto"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w:t>
            </w:r>
          </w:p>
        </w:tc>
        <w:tc>
          <w:tcPr>
            <w:tcW w:w="3705" w:type="dxa"/>
            <w:tcBorders>
              <w:top w:val="single" w:color="000000" w:sz="4" w:space="0"/>
              <w:left w:val="single" w:color="000000" w:sz="4" w:space="0"/>
              <w:bottom w:val="single" w:color="auto" w:sz="4" w:space="0"/>
              <w:right w:val="single" w:color="000000"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w:t>
            </w:r>
          </w:p>
        </w:tc>
      </w:tr>
      <w:tr>
        <w:tblPrEx>
          <w:tblCellMar>
            <w:top w:w="0" w:type="dxa"/>
            <w:left w:w="108" w:type="dxa"/>
            <w:bottom w:w="0" w:type="dxa"/>
            <w:right w:w="108" w:type="dxa"/>
          </w:tblCellMar>
        </w:tblPrEx>
        <w:trPr>
          <w:trHeight w:val="300" w:hRule="atLeast"/>
        </w:trPr>
        <w:tc>
          <w:tcPr>
            <w:tcW w:w="390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合计</w:t>
            </w:r>
          </w:p>
        </w:tc>
        <w:tc>
          <w:tcPr>
            <w:tcW w:w="1680" w:type="dxa"/>
            <w:tcBorders>
              <w:top w:val="single" w:color="auto" w:sz="4" w:space="0"/>
              <w:left w:val="single" w:color="auto" w:sz="4" w:space="0"/>
              <w:bottom w:val="single" w:color="auto" w:sz="4" w:space="0"/>
              <w:right w:val="single" w:color="auto" w:sz="4" w:space="0"/>
            </w:tcBorders>
            <w:noWrap/>
            <w:vAlign w:val="center"/>
          </w:tcPr>
          <w:p>
            <w:pPr>
              <w:jc w:val="right"/>
              <w:rPr>
                <w:rFonts w:hint="eastAsia" w:ascii="宋体" w:hAnsi="宋体" w:cs="宋体"/>
                <w:b/>
                <w:bCs/>
                <w:color w:val="000000"/>
                <w:sz w:val="22"/>
              </w:rPr>
            </w:pPr>
          </w:p>
        </w:tc>
        <w:tc>
          <w:tcPr>
            <w:tcW w:w="2895" w:type="dxa"/>
            <w:tcBorders>
              <w:top w:val="single" w:color="auto" w:sz="4" w:space="0"/>
              <w:left w:val="single" w:color="auto" w:sz="4" w:space="0"/>
              <w:bottom w:val="single" w:color="auto" w:sz="4" w:space="0"/>
              <w:right w:val="single" w:color="auto" w:sz="4" w:space="0"/>
            </w:tcBorders>
            <w:noWrap/>
            <w:vAlign w:val="center"/>
          </w:tcPr>
          <w:p>
            <w:pPr>
              <w:widowControl/>
              <w:jc w:val="right"/>
              <w:textAlignment w:val="center"/>
              <w:rPr>
                <w:rFonts w:hint="eastAsia" w:ascii="宋体" w:hAnsi="宋体" w:cs="宋体"/>
                <w:b/>
                <w:bCs/>
                <w:color w:val="000000"/>
                <w:sz w:val="22"/>
              </w:rPr>
            </w:pPr>
            <w:r>
              <w:rPr>
                <w:rFonts w:hint="eastAsia" w:ascii="宋体" w:hAnsi="宋体" w:cs="宋体"/>
                <w:b/>
                <w:bCs/>
                <w:color w:val="000000"/>
                <w:kern w:val="0"/>
                <w:sz w:val="22"/>
                <w:lang w:bidi="ar"/>
              </w:rPr>
              <w:t>0.00</w:t>
            </w:r>
          </w:p>
        </w:tc>
        <w:tc>
          <w:tcPr>
            <w:tcW w:w="3705" w:type="dxa"/>
            <w:tcBorders>
              <w:top w:val="single" w:color="auto" w:sz="4" w:space="0"/>
              <w:left w:val="single" w:color="auto" w:sz="4" w:space="0"/>
              <w:bottom w:val="single" w:color="auto" w:sz="4" w:space="0"/>
              <w:right w:val="single" w:color="auto" w:sz="4" w:space="0"/>
            </w:tcBorders>
            <w:noWrap/>
            <w:vAlign w:val="center"/>
          </w:tcPr>
          <w:p>
            <w:pPr>
              <w:jc w:val="right"/>
              <w:rPr>
                <w:rFonts w:hint="eastAsia" w:ascii="宋体" w:hAnsi="宋体" w:cs="宋体"/>
                <w:b/>
                <w:bCs/>
                <w:color w:val="000000"/>
                <w:sz w:val="22"/>
              </w:rPr>
            </w:pPr>
          </w:p>
        </w:tc>
      </w:tr>
      <w:tr>
        <w:tblPrEx>
          <w:tblCellMar>
            <w:top w:w="0" w:type="dxa"/>
            <w:left w:w="108" w:type="dxa"/>
            <w:bottom w:w="0" w:type="dxa"/>
            <w:right w:w="108" w:type="dxa"/>
          </w:tblCellMar>
        </w:tblPrEx>
        <w:trPr>
          <w:trHeight w:val="572" w:hRule="atLeast"/>
        </w:trPr>
        <w:tc>
          <w:tcPr>
            <w:tcW w:w="1504" w:type="dxa"/>
            <w:tcBorders>
              <w:top w:val="single" w:color="auto" w:sz="4" w:space="0"/>
              <w:left w:val="single" w:color="auto" w:sz="4" w:space="0"/>
              <w:bottom w:val="single" w:color="auto" w:sz="4" w:space="0"/>
              <w:right w:val="single" w:color="auto" w:sz="4" w:space="0"/>
            </w:tcBorders>
            <w:noWrap/>
            <w:vAlign w:val="center"/>
          </w:tcPr>
          <w:p>
            <w:pPr>
              <w:jc w:val="left"/>
              <w:rPr>
                <w:rFonts w:hint="eastAsia" w:ascii="宋体" w:hAnsi="宋体" w:cs="宋体"/>
                <w:color w:val="000000"/>
                <w:sz w:val="22"/>
              </w:rPr>
            </w:pPr>
          </w:p>
        </w:tc>
        <w:tc>
          <w:tcPr>
            <w:tcW w:w="2400" w:type="dxa"/>
            <w:tcBorders>
              <w:top w:val="single" w:color="auto" w:sz="4" w:space="0"/>
              <w:left w:val="single" w:color="auto" w:sz="4" w:space="0"/>
              <w:bottom w:val="single" w:color="auto" w:sz="4" w:space="0"/>
              <w:right w:val="single" w:color="auto" w:sz="4" w:space="0"/>
            </w:tcBorders>
            <w:noWrap/>
            <w:vAlign w:val="center"/>
          </w:tcPr>
          <w:p>
            <w:pPr>
              <w:jc w:val="left"/>
              <w:rPr>
                <w:rFonts w:hint="eastAsia" w:ascii="宋体" w:hAnsi="宋体" w:cs="宋体"/>
                <w:color w:val="000000"/>
                <w:sz w:val="22"/>
              </w:rPr>
            </w:pPr>
          </w:p>
        </w:tc>
        <w:tc>
          <w:tcPr>
            <w:tcW w:w="1680" w:type="dxa"/>
            <w:tcBorders>
              <w:top w:val="single" w:color="auto" w:sz="4" w:space="0"/>
              <w:left w:val="single" w:color="auto" w:sz="4" w:space="0"/>
              <w:bottom w:val="single" w:color="auto" w:sz="4" w:space="0"/>
              <w:right w:val="single" w:color="auto" w:sz="4" w:space="0"/>
            </w:tcBorders>
            <w:noWrap/>
            <w:vAlign w:val="center"/>
          </w:tcPr>
          <w:p>
            <w:pPr>
              <w:jc w:val="right"/>
              <w:rPr>
                <w:rFonts w:hint="eastAsia" w:ascii="宋体" w:hAnsi="宋体" w:cs="宋体"/>
                <w:color w:val="000000"/>
                <w:sz w:val="22"/>
              </w:rPr>
            </w:pPr>
          </w:p>
        </w:tc>
        <w:tc>
          <w:tcPr>
            <w:tcW w:w="2895" w:type="dxa"/>
            <w:tcBorders>
              <w:top w:val="single" w:color="auto" w:sz="4" w:space="0"/>
              <w:left w:val="single" w:color="auto" w:sz="4" w:space="0"/>
              <w:bottom w:val="single" w:color="auto" w:sz="4" w:space="0"/>
              <w:right w:val="single" w:color="auto" w:sz="4" w:space="0"/>
            </w:tcBorders>
            <w:noWrap/>
            <w:vAlign w:val="center"/>
          </w:tcPr>
          <w:p>
            <w:pPr>
              <w:jc w:val="right"/>
              <w:rPr>
                <w:rFonts w:hint="eastAsia" w:ascii="宋体" w:hAnsi="宋体" w:cs="宋体"/>
                <w:color w:val="000000"/>
                <w:sz w:val="22"/>
              </w:rPr>
            </w:pPr>
          </w:p>
        </w:tc>
        <w:tc>
          <w:tcPr>
            <w:tcW w:w="3705" w:type="dxa"/>
            <w:tcBorders>
              <w:top w:val="single" w:color="auto" w:sz="4" w:space="0"/>
              <w:left w:val="single" w:color="auto" w:sz="4" w:space="0"/>
              <w:bottom w:val="single" w:color="auto" w:sz="4" w:space="0"/>
              <w:right w:val="single" w:color="auto" w:sz="4" w:space="0"/>
            </w:tcBorders>
            <w:noWrap/>
            <w:vAlign w:val="center"/>
          </w:tcPr>
          <w:p>
            <w:pPr>
              <w:jc w:val="right"/>
              <w:rPr>
                <w:rFonts w:hint="eastAsia" w:ascii="宋体" w:hAnsi="宋体" w:cs="宋体"/>
                <w:color w:val="000000"/>
                <w:sz w:val="22"/>
              </w:rPr>
            </w:pPr>
          </w:p>
        </w:tc>
      </w:tr>
      <w:tr>
        <w:tblPrEx>
          <w:tblCellMar>
            <w:top w:w="0" w:type="dxa"/>
            <w:left w:w="108" w:type="dxa"/>
            <w:bottom w:w="0" w:type="dxa"/>
            <w:right w:w="108" w:type="dxa"/>
          </w:tblCellMar>
        </w:tblPrEx>
        <w:trPr>
          <w:trHeight w:val="300" w:hRule="atLeast"/>
        </w:trPr>
        <w:tc>
          <w:tcPr>
            <w:tcW w:w="12184" w:type="dxa"/>
            <w:gridSpan w:val="5"/>
            <w:tcBorders>
              <w:top w:val="single" w:color="auto" w:sz="4" w:space="0"/>
              <w:left w:val="nil"/>
              <w:bottom w:val="nil"/>
              <w:right w:val="nil"/>
            </w:tcBorders>
            <w:noWrap/>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注：本表反映部门本年度国有资本经营预算财政拨款支出情况。</w:t>
            </w:r>
          </w:p>
        </w:tc>
      </w:tr>
    </w:tbl>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tbl>
      <w:tblPr>
        <w:tblStyle w:val="16"/>
        <w:tblW w:w="12366" w:type="dxa"/>
        <w:tblInd w:w="91" w:type="dxa"/>
        <w:tblLayout w:type="autofit"/>
        <w:tblCellMar>
          <w:top w:w="0" w:type="dxa"/>
          <w:left w:w="108" w:type="dxa"/>
          <w:bottom w:w="0" w:type="dxa"/>
          <w:right w:w="108" w:type="dxa"/>
        </w:tblCellMar>
      </w:tblPr>
      <w:tblGrid>
        <w:gridCol w:w="810"/>
        <w:gridCol w:w="930"/>
        <w:gridCol w:w="870"/>
        <w:gridCol w:w="885"/>
        <w:gridCol w:w="1020"/>
        <w:gridCol w:w="960"/>
        <w:gridCol w:w="915"/>
        <w:gridCol w:w="975"/>
        <w:gridCol w:w="960"/>
        <w:gridCol w:w="1125"/>
        <w:gridCol w:w="1245"/>
        <w:gridCol w:w="1671"/>
      </w:tblGrid>
      <w:tr>
        <w:tblPrEx>
          <w:tblCellMar>
            <w:top w:w="0" w:type="dxa"/>
            <w:left w:w="108" w:type="dxa"/>
            <w:bottom w:w="0" w:type="dxa"/>
            <w:right w:w="108" w:type="dxa"/>
          </w:tblCellMar>
        </w:tblPrEx>
        <w:trPr>
          <w:trHeight w:val="520" w:hRule="atLeast"/>
        </w:trPr>
        <w:tc>
          <w:tcPr>
            <w:tcW w:w="12366" w:type="dxa"/>
            <w:gridSpan w:val="12"/>
            <w:tcBorders>
              <w:top w:val="nil"/>
              <w:left w:val="nil"/>
              <w:bottom w:val="nil"/>
              <w:right w:val="nil"/>
            </w:tcBorders>
            <w:noWrap/>
            <w:vAlign w:val="center"/>
          </w:tcPr>
          <w:p>
            <w:pPr>
              <w:widowControl/>
              <w:jc w:val="center"/>
              <w:textAlignment w:val="center"/>
              <w:rPr>
                <w:rFonts w:hint="eastAsia" w:ascii="宋体" w:hAnsi="宋体" w:cs="宋体"/>
                <w:b/>
                <w:bCs/>
                <w:color w:val="000000"/>
                <w:sz w:val="40"/>
                <w:szCs w:val="40"/>
              </w:rPr>
            </w:pPr>
            <w:r>
              <w:rPr>
                <w:rFonts w:hint="eastAsia" w:ascii="宋体" w:hAnsi="宋体" w:cs="宋体"/>
                <w:b/>
                <w:bCs/>
                <w:color w:val="000000"/>
                <w:kern w:val="0"/>
                <w:sz w:val="40"/>
                <w:szCs w:val="40"/>
                <w:lang w:bidi="ar"/>
              </w:rPr>
              <w:t xml:space="preserve"> 一般公共预算财政拨款“三公”经费支出决算表</w:t>
            </w:r>
          </w:p>
        </w:tc>
      </w:tr>
      <w:tr>
        <w:tblPrEx>
          <w:tblCellMar>
            <w:top w:w="0" w:type="dxa"/>
            <w:left w:w="108" w:type="dxa"/>
            <w:bottom w:w="0" w:type="dxa"/>
            <w:right w:w="108" w:type="dxa"/>
          </w:tblCellMar>
        </w:tblPrEx>
        <w:trPr>
          <w:trHeight w:val="520" w:hRule="atLeast"/>
        </w:trPr>
        <w:tc>
          <w:tcPr>
            <w:tcW w:w="12366" w:type="dxa"/>
            <w:gridSpan w:val="12"/>
            <w:tcBorders>
              <w:top w:val="nil"/>
              <w:left w:val="nil"/>
              <w:bottom w:val="nil"/>
              <w:right w:val="nil"/>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单位：信阳市第六高级中学         2024年度             公开09表</w:t>
            </w:r>
          </w:p>
        </w:tc>
      </w:tr>
      <w:tr>
        <w:tblPrEx>
          <w:tblCellMar>
            <w:top w:w="0" w:type="dxa"/>
            <w:left w:w="108" w:type="dxa"/>
            <w:bottom w:w="0" w:type="dxa"/>
            <w:right w:w="108" w:type="dxa"/>
          </w:tblCellMar>
        </w:tblPrEx>
        <w:trPr>
          <w:trHeight w:val="520" w:hRule="atLeast"/>
        </w:trPr>
        <w:tc>
          <w:tcPr>
            <w:tcW w:w="12366" w:type="dxa"/>
            <w:gridSpan w:val="12"/>
            <w:tcBorders>
              <w:top w:val="nil"/>
              <w:left w:val="nil"/>
              <w:bottom w:val="nil"/>
              <w:right w:val="nil"/>
            </w:tcBorders>
            <w:noWrap/>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 xml:space="preserve">                                                   金额单位：元</w:t>
            </w:r>
          </w:p>
        </w:tc>
      </w:tr>
      <w:tr>
        <w:tblPrEx>
          <w:tblCellMar>
            <w:top w:w="0" w:type="dxa"/>
            <w:left w:w="108" w:type="dxa"/>
            <w:bottom w:w="0" w:type="dxa"/>
            <w:right w:w="108" w:type="dxa"/>
          </w:tblCellMar>
        </w:tblPrEx>
        <w:trPr>
          <w:trHeight w:val="300" w:hRule="atLeast"/>
        </w:trPr>
        <w:tc>
          <w:tcPr>
            <w:tcW w:w="5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预算数</w:t>
            </w:r>
          </w:p>
        </w:tc>
        <w:tc>
          <w:tcPr>
            <w:tcW w:w="6891" w:type="dxa"/>
            <w:gridSpan w:val="6"/>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决算数</w:t>
            </w:r>
          </w:p>
        </w:tc>
      </w:tr>
      <w:tr>
        <w:tblPrEx>
          <w:tblCellMar>
            <w:top w:w="0" w:type="dxa"/>
            <w:left w:w="108" w:type="dxa"/>
            <w:bottom w:w="0" w:type="dxa"/>
            <w:right w:w="108" w:type="dxa"/>
          </w:tblCellMar>
        </w:tblPrEx>
        <w:trPr>
          <w:trHeight w:val="300" w:hRule="atLeast"/>
        </w:trPr>
        <w:tc>
          <w:tcPr>
            <w:tcW w:w="81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合计</w:t>
            </w:r>
          </w:p>
        </w:tc>
        <w:tc>
          <w:tcPr>
            <w:tcW w:w="93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因公出国（境）费</w:t>
            </w:r>
          </w:p>
        </w:tc>
        <w:tc>
          <w:tcPr>
            <w:tcW w:w="277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公务用车购置及运行维护费</w:t>
            </w:r>
          </w:p>
        </w:tc>
        <w:tc>
          <w:tcPr>
            <w:tcW w:w="9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公务接待费</w:t>
            </w:r>
          </w:p>
        </w:tc>
        <w:tc>
          <w:tcPr>
            <w:tcW w:w="91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合计</w:t>
            </w:r>
          </w:p>
        </w:tc>
        <w:tc>
          <w:tcPr>
            <w:tcW w:w="97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因公出国（境）费</w:t>
            </w:r>
          </w:p>
        </w:tc>
        <w:tc>
          <w:tcPr>
            <w:tcW w:w="33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公务用车购置及运行维护费</w:t>
            </w:r>
          </w:p>
        </w:tc>
        <w:tc>
          <w:tcPr>
            <w:tcW w:w="167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公务接待费</w:t>
            </w:r>
          </w:p>
        </w:tc>
      </w:tr>
      <w:tr>
        <w:tblPrEx>
          <w:tblCellMar>
            <w:top w:w="0" w:type="dxa"/>
            <w:left w:w="108" w:type="dxa"/>
            <w:bottom w:w="0" w:type="dxa"/>
            <w:right w:w="108" w:type="dxa"/>
          </w:tblCellMar>
        </w:tblPrEx>
        <w:trPr>
          <w:trHeight w:val="1084" w:hRule="atLeast"/>
        </w:trPr>
        <w:tc>
          <w:tcPr>
            <w:tcW w:w="810" w:type="dxa"/>
            <w:vMerge w:val="continue"/>
            <w:tcBorders>
              <w:top w:val="single" w:color="000000" w:sz="4" w:space="0"/>
              <w:left w:val="single" w:color="000000" w:sz="4" w:space="0"/>
              <w:bottom w:val="single" w:color="auto" w:sz="4" w:space="0"/>
              <w:right w:val="single" w:color="000000" w:sz="4" w:space="0"/>
            </w:tcBorders>
            <w:vAlign w:val="center"/>
          </w:tcPr>
          <w:p>
            <w:pPr>
              <w:jc w:val="center"/>
              <w:rPr>
                <w:rFonts w:hint="eastAsia" w:ascii="宋体" w:hAnsi="宋体" w:cs="宋体"/>
                <w:color w:val="000000"/>
                <w:sz w:val="22"/>
              </w:rPr>
            </w:pPr>
          </w:p>
        </w:tc>
        <w:tc>
          <w:tcPr>
            <w:tcW w:w="930" w:type="dxa"/>
            <w:vMerge w:val="continue"/>
            <w:tcBorders>
              <w:top w:val="single" w:color="000000" w:sz="4" w:space="0"/>
              <w:left w:val="single" w:color="000000" w:sz="4" w:space="0"/>
              <w:bottom w:val="single" w:color="auto" w:sz="4" w:space="0"/>
              <w:right w:val="single" w:color="000000" w:sz="4" w:space="0"/>
            </w:tcBorders>
            <w:vAlign w:val="center"/>
          </w:tcPr>
          <w:p>
            <w:pPr>
              <w:jc w:val="center"/>
              <w:rPr>
                <w:rFonts w:hint="eastAsia" w:ascii="宋体" w:hAnsi="宋体" w:cs="宋体"/>
                <w:color w:val="000000"/>
                <w:sz w:val="22"/>
              </w:rPr>
            </w:pPr>
          </w:p>
        </w:tc>
        <w:tc>
          <w:tcPr>
            <w:tcW w:w="870"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小计</w:t>
            </w:r>
          </w:p>
        </w:tc>
        <w:tc>
          <w:tcPr>
            <w:tcW w:w="885"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公务用车购置费</w:t>
            </w:r>
          </w:p>
        </w:tc>
        <w:tc>
          <w:tcPr>
            <w:tcW w:w="1020"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公务用车运行维护费</w:t>
            </w:r>
          </w:p>
        </w:tc>
        <w:tc>
          <w:tcPr>
            <w:tcW w:w="960" w:type="dxa"/>
            <w:vMerge w:val="continue"/>
            <w:tcBorders>
              <w:top w:val="single" w:color="000000" w:sz="4" w:space="0"/>
              <w:left w:val="single" w:color="000000" w:sz="4" w:space="0"/>
              <w:bottom w:val="single" w:color="auto" w:sz="4" w:space="0"/>
              <w:right w:val="single" w:color="000000" w:sz="4" w:space="0"/>
            </w:tcBorders>
            <w:vAlign w:val="center"/>
          </w:tcPr>
          <w:p>
            <w:pPr>
              <w:jc w:val="center"/>
              <w:rPr>
                <w:rFonts w:hint="eastAsia" w:ascii="宋体" w:hAnsi="宋体" w:cs="宋体"/>
                <w:color w:val="000000"/>
                <w:sz w:val="22"/>
              </w:rPr>
            </w:pPr>
          </w:p>
        </w:tc>
        <w:tc>
          <w:tcPr>
            <w:tcW w:w="915" w:type="dxa"/>
            <w:vMerge w:val="continue"/>
            <w:tcBorders>
              <w:top w:val="single" w:color="000000" w:sz="4" w:space="0"/>
              <w:left w:val="single" w:color="000000" w:sz="4" w:space="0"/>
              <w:bottom w:val="single" w:color="auto" w:sz="4" w:space="0"/>
              <w:right w:val="single" w:color="000000" w:sz="4" w:space="0"/>
            </w:tcBorders>
            <w:vAlign w:val="center"/>
          </w:tcPr>
          <w:p>
            <w:pPr>
              <w:jc w:val="center"/>
              <w:rPr>
                <w:rFonts w:hint="eastAsia" w:ascii="宋体" w:hAnsi="宋体" w:cs="宋体"/>
                <w:color w:val="000000"/>
                <w:sz w:val="22"/>
              </w:rPr>
            </w:pPr>
          </w:p>
        </w:tc>
        <w:tc>
          <w:tcPr>
            <w:tcW w:w="975" w:type="dxa"/>
            <w:vMerge w:val="continue"/>
            <w:tcBorders>
              <w:top w:val="single" w:color="000000" w:sz="4" w:space="0"/>
              <w:left w:val="single" w:color="000000" w:sz="4" w:space="0"/>
              <w:bottom w:val="single" w:color="auto" w:sz="4" w:space="0"/>
              <w:right w:val="single" w:color="000000" w:sz="4" w:space="0"/>
            </w:tcBorders>
            <w:vAlign w:val="center"/>
          </w:tcPr>
          <w:p>
            <w:pPr>
              <w:jc w:val="center"/>
              <w:rPr>
                <w:rFonts w:hint="eastAsia" w:ascii="宋体" w:hAnsi="宋体" w:cs="宋体"/>
                <w:color w:val="000000"/>
                <w:sz w:val="22"/>
              </w:rPr>
            </w:pPr>
          </w:p>
        </w:tc>
        <w:tc>
          <w:tcPr>
            <w:tcW w:w="960"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小计</w:t>
            </w:r>
          </w:p>
        </w:tc>
        <w:tc>
          <w:tcPr>
            <w:tcW w:w="1125"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公务用车购置费</w:t>
            </w:r>
          </w:p>
        </w:tc>
        <w:tc>
          <w:tcPr>
            <w:tcW w:w="1245"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公务用车运行维护费</w:t>
            </w:r>
          </w:p>
        </w:tc>
        <w:tc>
          <w:tcPr>
            <w:tcW w:w="1671" w:type="dxa"/>
            <w:vMerge w:val="continue"/>
            <w:tcBorders>
              <w:top w:val="single" w:color="000000" w:sz="4" w:space="0"/>
              <w:left w:val="single" w:color="000000" w:sz="4" w:space="0"/>
              <w:bottom w:val="single" w:color="auto" w:sz="4" w:space="0"/>
              <w:right w:val="single" w:color="000000" w:sz="4" w:space="0"/>
            </w:tcBorders>
            <w:vAlign w:val="center"/>
          </w:tcPr>
          <w:p>
            <w:pPr>
              <w:jc w:val="center"/>
              <w:rPr>
                <w:rFonts w:hint="eastAsia" w:ascii="宋体" w:hAnsi="宋体" w:cs="宋体"/>
                <w:color w:val="000000"/>
                <w:sz w:val="22"/>
              </w:rPr>
            </w:pPr>
          </w:p>
        </w:tc>
      </w:tr>
      <w:tr>
        <w:tblPrEx>
          <w:tblCellMar>
            <w:top w:w="0" w:type="dxa"/>
            <w:left w:w="108" w:type="dxa"/>
            <w:bottom w:w="0" w:type="dxa"/>
            <w:right w:w="108" w:type="dxa"/>
          </w:tblCellMar>
        </w:tblPrEx>
        <w:trPr>
          <w:trHeight w:val="454" w:hRule="exact"/>
        </w:trPr>
        <w:tc>
          <w:tcPr>
            <w:tcW w:w="8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w:t>
            </w:r>
          </w:p>
        </w:tc>
        <w:tc>
          <w:tcPr>
            <w:tcW w:w="93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2</w:t>
            </w:r>
          </w:p>
        </w:tc>
        <w:tc>
          <w:tcPr>
            <w:tcW w:w="87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3</w:t>
            </w:r>
          </w:p>
        </w:tc>
        <w:tc>
          <w:tcPr>
            <w:tcW w:w="88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4</w:t>
            </w:r>
          </w:p>
        </w:tc>
        <w:tc>
          <w:tcPr>
            <w:tcW w:w="102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5</w:t>
            </w:r>
          </w:p>
        </w:tc>
        <w:tc>
          <w:tcPr>
            <w:tcW w:w="96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6</w:t>
            </w:r>
          </w:p>
        </w:tc>
        <w:tc>
          <w:tcPr>
            <w:tcW w:w="91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7</w:t>
            </w:r>
          </w:p>
        </w:tc>
        <w:tc>
          <w:tcPr>
            <w:tcW w:w="9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8</w:t>
            </w:r>
          </w:p>
        </w:tc>
        <w:tc>
          <w:tcPr>
            <w:tcW w:w="96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9</w:t>
            </w:r>
          </w:p>
        </w:tc>
        <w:tc>
          <w:tcPr>
            <w:tcW w:w="112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10</w:t>
            </w:r>
          </w:p>
        </w:tc>
        <w:tc>
          <w:tcPr>
            <w:tcW w:w="124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11</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 w:val="22"/>
              </w:rPr>
            </w:pPr>
            <w:r>
              <w:rPr>
                <w:rFonts w:hint="eastAsia" w:ascii="宋体" w:hAnsi="宋体" w:cs="宋体"/>
                <w:color w:val="000000"/>
                <w:kern w:val="0"/>
                <w:sz w:val="22"/>
                <w:lang w:bidi="ar"/>
              </w:rPr>
              <w:t>12</w:t>
            </w:r>
          </w:p>
        </w:tc>
      </w:tr>
      <w:tr>
        <w:tblPrEx>
          <w:tblCellMar>
            <w:top w:w="0" w:type="dxa"/>
            <w:left w:w="108" w:type="dxa"/>
            <w:bottom w:w="0" w:type="dxa"/>
            <w:right w:w="108" w:type="dxa"/>
          </w:tblCellMar>
        </w:tblPrEx>
        <w:trPr>
          <w:trHeight w:val="454" w:hRule="exact"/>
        </w:trPr>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cs="宋体"/>
                <w:color w:val="000000"/>
                <w:sz w:val="22"/>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cs="宋体"/>
                <w:color w:val="000000"/>
                <w:sz w:val="22"/>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cs="宋体"/>
                <w:color w:val="000000"/>
                <w:sz w:val="22"/>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cs="宋体"/>
                <w:color w:val="000000"/>
                <w:sz w:val="22"/>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cs="宋体"/>
                <w:color w:val="000000"/>
                <w:sz w:val="22"/>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cs="宋体"/>
                <w:color w:val="000000"/>
                <w:sz w:val="22"/>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cs="宋体"/>
                <w:color w:val="000000"/>
                <w:sz w:val="22"/>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0.00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pPr>
              <w:jc w:val="right"/>
              <w:rPr>
                <w:rFonts w:hint="eastAsia" w:ascii="宋体" w:hAnsi="宋体" w:cs="宋体"/>
                <w:color w:val="000000"/>
                <w:sz w:val="22"/>
              </w:rPr>
            </w:pP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0.00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0.00</w:t>
            </w:r>
          </w:p>
        </w:tc>
        <w:tc>
          <w:tcPr>
            <w:tcW w:w="1671" w:type="dxa"/>
            <w:tcBorders>
              <w:top w:val="single" w:color="auto" w:sz="4" w:space="0"/>
              <w:left w:val="single" w:color="auto" w:sz="4" w:space="0"/>
              <w:bottom w:val="single" w:color="auto" w:sz="4" w:space="0"/>
              <w:right w:val="single" w:color="auto" w:sz="4" w:space="0"/>
            </w:tcBorders>
            <w:shd w:val="clear" w:color="auto" w:fill="FFFFFF"/>
            <w:noWrap/>
            <w:vAlign w:val="center"/>
          </w:tcPr>
          <w:p>
            <w:pPr>
              <w:widowControl/>
              <w:jc w:val="right"/>
              <w:textAlignment w:val="center"/>
              <w:rPr>
                <w:rFonts w:hint="eastAsia" w:ascii="宋体" w:hAnsi="宋体" w:cs="宋体"/>
                <w:color w:val="000000"/>
                <w:sz w:val="22"/>
              </w:rPr>
            </w:pPr>
            <w:r>
              <w:rPr>
                <w:rFonts w:hint="eastAsia" w:ascii="宋体" w:hAnsi="宋体" w:cs="宋体"/>
                <w:color w:val="000000"/>
                <w:kern w:val="0"/>
                <w:sz w:val="22"/>
                <w:lang w:bidi="ar"/>
              </w:rPr>
              <w:t>0.00</w:t>
            </w:r>
          </w:p>
        </w:tc>
      </w:tr>
      <w:tr>
        <w:tblPrEx>
          <w:tblCellMar>
            <w:top w:w="0" w:type="dxa"/>
            <w:left w:w="108" w:type="dxa"/>
            <w:bottom w:w="0" w:type="dxa"/>
            <w:right w:w="108" w:type="dxa"/>
          </w:tblCellMar>
        </w:tblPrEx>
        <w:trPr>
          <w:trHeight w:val="600" w:hRule="atLeast"/>
        </w:trPr>
        <w:tc>
          <w:tcPr>
            <w:tcW w:w="12366" w:type="dxa"/>
            <w:gridSpan w:val="12"/>
            <w:tcBorders>
              <w:top w:val="single" w:color="auto" w:sz="4" w:space="0"/>
              <w:left w:val="nil"/>
              <w:bottom w:val="nil"/>
              <w:right w:val="nil"/>
            </w:tcBorders>
            <w:shd w:val="clear" w:color="auto" w:fill="FFFFFF"/>
            <w:vAlign w:val="center"/>
          </w:tcPr>
          <w:p>
            <w:pPr>
              <w:widowControl/>
              <w:jc w:val="left"/>
              <w:textAlignment w:val="center"/>
              <w:rPr>
                <w:rFonts w:hint="eastAsia" w:ascii="宋体" w:hAnsi="宋体" w:cs="宋体"/>
                <w:color w:val="000000"/>
                <w:sz w:val="22"/>
              </w:rPr>
            </w:pPr>
            <w:r>
              <w:rPr>
                <w:rFonts w:hint="eastAsia" w:ascii="宋体" w:hAnsi="宋体" w:cs="宋体"/>
                <w:color w:val="000000"/>
                <w:kern w:val="0"/>
                <w:sz w:val="22"/>
                <w:lang w:bidi="ar"/>
              </w:rPr>
              <w:t>注：本表反映部门本年度一般公共预算财政拨款“三公”经费支出预决算情况。其中，预算数为“三公”经费全年预算数，反映按规定程序调整后的预算数；决算数是包括当年一般公共预算财政拨款和以前年度结转资金安排的实际支出。</w:t>
            </w:r>
          </w:p>
        </w:tc>
      </w:tr>
    </w:tbl>
    <w:p>
      <w:pPr>
        <w:rPr>
          <w:rFonts w:hint="eastAsia"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p>
      <w:pPr>
        <w:tabs>
          <w:tab w:val="left" w:pos="5665"/>
        </w:tabs>
        <w:rPr>
          <w:rFonts w:hint="eastAsia" w:ascii="仿宋_GB2312" w:hAnsi="仿宋_GB2312" w:eastAsia="仿宋_GB2312" w:cs="仿宋_GB2312"/>
          <w:sz w:val="32"/>
          <w:szCs w:val="32"/>
        </w:rPr>
      </w:pPr>
    </w:p>
    <w:p>
      <w:pPr>
        <w:tabs>
          <w:tab w:val="left" w:pos="5665"/>
        </w:tabs>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jc w:val="center"/>
        <w:outlineLvl w:val="0"/>
        <w:rPr>
          <w:rFonts w:hint="eastAsia" w:ascii="黑体" w:hAnsi="黑体" w:eastAsia="黑体" w:cs="黑体"/>
          <w:sz w:val="48"/>
          <w:szCs w:val="48"/>
        </w:rPr>
      </w:pPr>
      <w:r>
        <w:rPr>
          <w:rFonts w:hint="eastAsia" w:ascii="黑体" w:hAnsi="黑体" w:eastAsia="黑体" w:cs="黑体"/>
          <w:sz w:val="48"/>
          <w:szCs w:val="48"/>
        </w:rPr>
        <w:t>第三部分 2024年度部门决算情况说明</w:t>
      </w:r>
    </w:p>
    <w:p>
      <w:pPr>
        <w:widowControl/>
        <w:jc w:val="left"/>
        <w:rPr>
          <w:rFonts w:hint="eastAsia" w:ascii="黑体" w:hAnsi="黑体" w:eastAsia="黑体" w:cs="黑体"/>
          <w:sz w:val="48"/>
          <w:szCs w:val="48"/>
        </w:rPr>
        <w:sectPr>
          <w:pgSz w:w="11906" w:h="16838"/>
          <w:pgMar w:top="1440" w:right="1800" w:bottom="1440" w:left="1800" w:header="720" w:footer="720" w:gutter="0"/>
          <w:pgNumType w:fmt="numberInDash"/>
          <w:cols w:space="720" w:num="1"/>
          <w:docGrid w:type="lines" w:linePitch="312" w:charSpace="0"/>
        </w:sectPr>
      </w:pP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一、收入支出决算总体情况说明</w:t>
      </w:r>
    </w:p>
    <w:p>
      <w:pPr>
        <w:widowControl/>
        <w:spacing w:line="590" w:lineRule="exact"/>
        <w:ind w:firstLine="640" w:firstLineChars="200"/>
        <w:rPr>
          <w:rFonts w:hint="eastAsia" w:ascii="黑体" w:hAnsi="黑体" w:eastAsia="黑体" w:cs="黑体"/>
          <w:sz w:val="32"/>
          <w:szCs w:val="32"/>
        </w:rPr>
      </w:pPr>
      <w:r>
        <w:rPr>
          <w:rFonts w:hint="eastAsia" w:ascii="仿宋_GB2312" w:hAnsi="仿宋_GB2312" w:eastAsia="仿宋_GB2312" w:cs="仿宋_GB2312"/>
          <w:sz w:val="32"/>
          <w:szCs w:val="32"/>
        </w:rPr>
        <w:t>2024年度收、支总计均为4650.23万元。与上年度相比，收、支总计各增加（减少）</w:t>
      </w:r>
      <w:bookmarkStart w:id="1" w:name="OLE_LINK3"/>
      <w:r>
        <w:rPr>
          <w:rFonts w:hint="eastAsia" w:ascii="仿宋_GB2312" w:hAnsi="仿宋_GB2312" w:eastAsia="仿宋_GB2312" w:cs="仿宋_GB2312"/>
          <w:sz w:val="32"/>
          <w:szCs w:val="32"/>
        </w:rPr>
        <w:t>1081.05万元，下降18.86%</w:t>
      </w:r>
      <w:bookmarkEnd w:id="1"/>
      <w:r>
        <w:rPr>
          <w:rFonts w:hint="eastAsia" w:ascii="仿宋_GB2312" w:hAnsi="仿宋_GB2312" w:eastAsia="仿宋_GB2312" w:cs="仿宋_GB2312"/>
          <w:sz w:val="32"/>
          <w:szCs w:val="32"/>
        </w:rPr>
        <w:t>。</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二、收入决算情况说明</w:t>
      </w:r>
    </w:p>
    <w:p>
      <w:pPr>
        <w:widowControl/>
        <w:spacing w:line="590" w:lineRule="exact"/>
        <w:ind w:firstLine="640" w:firstLineChars="200"/>
        <w:rPr>
          <w:rFonts w:hint="eastAsia" w:ascii="黑体" w:hAnsi="黑体" w:eastAsia="黑体" w:cs="黑体"/>
          <w:sz w:val="32"/>
          <w:szCs w:val="32"/>
        </w:rPr>
      </w:pPr>
      <w:r>
        <w:rPr>
          <w:rFonts w:hint="eastAsia" w:ascii="仿宋_GB2312" w:hAnsi="仿宋_GB2312" w:eastAsia="仿宋_GB2312" w:cs="仿宋_GB2312"/>
          <w:sz w:val="32"/>
          <w:szCs w:val="32"/>
        </w:rPr>
        <w:t>2024年度收入合计4650.23万元，其中：财政拨款收入4118.81万元，占88.50%；上级补助收入0.00万元，占0.00%；事业收入531.42万元，占11.5%；经营收入0.00万元，占0.00%；附属单位上缴收入0.00万元。</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三、支出决算情况说明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2024年度支出合计4650.23万元，其中：基本支出4593.17万元，占98.77%；项目支出0.00万元，占0.00%；上缴上级支出0.00万元，占0.00%；经营支出0.00万元，占0.00%；对附属单位补助支出0.00万元，占0.00%。</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四、财政拨款收入支出决算总体情况说明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2024年度财政拨款收、支总计均为4118.81万元。与上年度相比，财政拨款收、支总计各减少588.64万元，下降12.50%。主要原因是财政支付不及时。</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五、一般公共预算财政拨款支出决算情况说明</w:t>
      </w:r>
    </w:p>
    <w:p>
      <w:pPr>
        <w:widowControl/>
        <w:spacing w:line="59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（一）总体情况。</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2024年度一般公共预算财政拨款支出4118.81万元，占支出合计的88.57%。与上年度相比，一般公共预算财政拨款支出支总计各减少588.64万元，下降12.50%。主要原因是财政支付不及时。</w:t>
      </w:r>
    </w:p>
    <w:p>
      <w:pPr>
        <w:widowControl/>
        <w:spacing w:line="59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（二）结构情况。</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2024年度一般公共预算财政拨款支出4118.81万元，主要用于以下方面：工资商品服务类4118.81.</w:t>
      </w:r>
    </w:p>
    <w:p>
      <w:pPr>
        <w:widowControl/>
        <w:spacing w:line="59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（三）具体情况。</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2024年度一般公共预算财政拨款支出年初预算为4027.70万元，支出决算为4118.81万元，完成年初预算的102.26%。</w:t>
      </w:r>
    </w:p>
    <w:p>
      <w:pPr>
        <w:widowControl/>
        <w:spacing w:line="590" w:lineRule="exact"/>
        <w:ind w:firstLine="640" w:firstLineChars="200"/>
        <w:rPr>
          <w:rFonts w:hint="eastAsia" w:ascii="仿宋_GB2312" w:hAnsi="仿宋_GB2312" w:eastAsia="仿宋_GB2312" w:cs="仿宋_GB2312"/>
          <w:sz w:val="32"/>
          <w:szCs w:val="32"/>
        </w:rPr>
      </w:pP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六、一般公共预算财政拨款基本支出决算情况说明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度一般公共预算财政拨款基本支出4118.81万元。其中：人员经费3659.50万元，主要包括：基本工资、津贴补贴、伙食补助费、绩效工资、机关事业单位基本养老保险缴费、职业年金缴费、其他社会保障缴费、其他工资福利支出、离休费、退休费、抚恤金、生活补助、医疗费、奖励金、住房公积金、采暖补贴、物业服务补贴、其他对个人和家庭的补助支出；公用经费536.78万元，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其他资本性支出。</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七、政府性基金预算财政拨款支出决算情况说明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2024年度政府性基金预算财政拨款支出年初预算为0.00万元，支出决算为0.00万元，完成年初预算的%。</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八、国有资本</w:t>
      </w:r>
      <w:r>
        <w:rPr>
          <w:rFonts w:ascii="黑体" w:hAnsi="黑体" w:eastAsia="黑体" w:cs="黑体"/>
          <w:sz w:val="32"/>
          <w:szCs w:val="32"/>
        </w:rPr>
        <w:t>经营</w:t>
      </w:r>
      <w:r>
        <w:rPr>
          <w:rFonts w:hint="eastAsia" w:ascii="黑体" w:hAnsi="黑体" w:eastAsia="黑体" w:cs="黑体"/>
          <w:sz w:val="32"/>
          <w:szCs w:val="32"/>
        </w:rPr>
        <w:t>预算财政拨款支出决算情况说明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2024年度国有资本经营预算财政拨款支出年初预算为0.00万元，支出决算为0.00万元。</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九、财政拨款“三公”经费支出决算情况说明</w:t>
      </w:r>
    </w:p>
    <w:p>
      <w:pPr>
        <w:widowControl/>
        <w:spacing w:line="590" w:lineRule="exact"/>
        <w:ind w:firstLine="643" w:firstLineChars="200"/>
        <w:outlineLvl w:val="2"/>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（一）“三公”经费财政拨款支出决算总体情况说明。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2024年度“三公”经费财政拨款支出预算为0.00万元，支出决算为0.00万元，完成预算的%。。</w:t>
      </w:r>
    </w:p>
    <w:p>
      <w:pPr>
        <w:widowControl/>
        <w:spacing w:line="590" w:lineRule="exact"/>
        <w:ind w:firstLine="643" w:firstLineChars="200"/>
        <w:outlineLvl w:val="2"/>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（二）“三公”经费财政拨款支出决算具体情况说明。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2024年度“三公”经费财政拨款支出决算中，因公出国（境）费支出决算0.00万元，完成预算的%，占%；公务用车购置及运行费支出决算0.00万元，完成预算的%，占%；公务接待费支出决算0.00万元。</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1．因公出国（境）费</w:t>
      </w:r>
      <w:r>
        <w:rPr>
          <w:rFonts w:hint="eastAsia" w:ascii="仿宋_GB2312" w:hAnsi="仿宋_GB2312" w:eastAsia="仿宋_GB2312" w:cs="仿宋_GB2312"/>
          <w:sz w:val="32"/>
          <w:szCs w:val="32"/>
        </w:rPr>
        <w:t>预算为0.00万元，支出决算为0.00万元，没有预算。</w:t>
      </w:r>
    </w:p>
    <w:p>
      <w:pPr>
        <w:widowControl/>
        <w:spacing w:line="59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因公出国（境）团组数0个，因公出国（境）人次数0人。</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2．公务用车购置及运行费</w:t>
      </w:r>
      <w:r>
        <w:rPr>
          <w:rFonts w:hint="eastAsia" w:ascii="仿宋_GB2312" w:hAnsi="仿宋_GB2312" w:eastAsia="仿宋_GB2312" w:cs="仿宋_GB2312"/>
          <w:sz w:val="32"/>
          <w:szCs w:val="32"/>
        </w:rPr>
        <w:t>预算为0.00万元，支出决算为0.00万元，</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公务用车购置支出</w:t>
      </w:r>
      <w:r>
        <w:rPr>
          <w:rFonts w:hint="eastAsia" w:ascii="仿宋_GB2312" w:hAnsi="仿宋_GB2312" w:eastAsia="仿宋_GB2312" w:cs="仿宋_GB2312"/>
          <w:sz w:val="32"/>
          <w:szCs w:val="32"/>
        </w:rPr>
        <w:t>为0.00万元，</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公务用车运行维护支出</w:t>
      </w:r>
      <w:r>
        <w:rPr>
          <w:rFonts w:hint="eastAsia" w:ascii="仿宋_GB2312" w:hAnsi="仿宋_GB2312" w:eastAsia="仿宋_GB2312" w:cs="仿宋_GB2312"/>
          <w:sz w:val="32"/>
          <w:szCs w:val="32"/>
        </w:rPr>
        <w:t>0.00万元。</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3.公务接待费</w:t>
      </w:r>
      <w:r>
        <w:rPr>
          <w:rFonts w:hint="eastAsia" w:ascii="仿宋_GB2312" w:hAnsi="仿宋_GB2312" w:eastAsia="仿宋_GB2312" w:cs="仿宋_GB2312"/>
          <w:sz w:val="32"/>
          <w:szCs w:val="32"/>
        </w:rPr>
        <w:t>预算为0.00万元，支出决算为0.00万元，完成预算。</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十、机关运行经费支出情况说明</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我单位不是行政机关，也不是参照公务员管理事业单位，没有机关运行经费支出。</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十一、政府采购支出情况说明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度政府采购支出总额39.5万元，其中：政府采购货物支出39.5万元、政府采购工程支出0.00万元、政府采购服务支出0.00万元。授予中小企业合同金额0.00万元，占政府采购支出总额的0.00%,其中：授予小微企业合同金额0.00万元，占授予中小企业合同金额的%。</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十二、国有资产占用情况说明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期末，我单位共有车辆0辆，其中：省级领导干部用车0辆、主要领导干部用车0辆、机要通信用车0辆、应急保障车0辆、执法执勤用车辆、离退休干部用车0辆、其他用车0辆；单位价值100万元(含)以上设备0台（套）。</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十三、预算绩效情况说明</w:t>
      </w:r>
    </w:p>
    <w:p>
      <w:pPr>
        <w:widowControl/>
        <w:spacing w:line="590" w:lineRule="exact"/>
        <w:ind w:firstLine="643" w:firstLineChars="200"/>
        <w:outlineLvl w:val="2"/>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（一）绩效管理工作开展情况。</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绩效目标达到预期效果、绩效运行监控正常、绩效评价及结果反映良好。</w:t>
      </w:r>
    </w:p>
    <w:p>
      <w:pPr>
        <w:widowControl/>
        <w:spacing w:line="590" w:lineRule="exact"/>
        <w:ind w:firstLine="643" w:firstLineChars="200"/>
        <w:outlineLvl w:val="2"/>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（二）项目绩效自评结果。</w:t>
      </w:r>
    </w:p>
    <w:p>
      <w:pPr>
        <w:ind w:firstLine="640"/>
        <w:rPr>
          <w:rFonts w:hint="eastAsia" w:ascii="楷体_GB2312" w:hAnsi="楷体_GB2312" w:eastAsia="楷体_GB2312" w:cs="楷体_GB2312"/>
          <w:sz w:val="32"/>
          <w:szCs w:val="32"/>
        </w:rPr>
        <w:sectPr>
          <w:pgSz w:w="11906" w:h="16838"/>
          <w:pgMar w:top="1440" w:right="1800" w:bottom="1440" w:left="1800" w:header="720" w:footer="720" w:gutter="0"/>
          <w:pgNumType w:fmt="numberInDash"/>
          <w:cols w:space="720" w:num="1"/>
          <w:docGrid w:type="lines" w:linePitch="312" w:charSpace="0"/>
        </w:sectPr>
      </w:pPr>
      <w:r>
        <w:rPr>
          <w:rFonts w:hint="eastAsia" w:ascii="仿宋_GB2312" w:hAnsi="仿宋_GB2312" w:eastAsia="仿宋_GB2312" w:cs="仿宋_GB2312"/>
          <w:sz w:val="32"/>
          <w:szCs w:val="32"/>
        </w:rPr>
        <w:t>我单位2024年度无项目支</w:t>
      </w:r>
      <w:r>
        <w:rPr>
          <w:rFonts w:hint="eastAsia" w:ascii="仿宋_GB2312" w:hAnsi="仿宋_GB2312" w:eastAsia="仿宋_GB2312" w:cs="仿宋_GB2312"/>
          <w:sz w:val="32"/>
          <w:szCs w:val="32"/>
          <w:lang w:eastAsia="zh-CN"/>
        </w:rPr>
        <w:t>。</w:t>
      </w:r>
    </w:p>
    <w:p>
      <w:pPr>
        <w:widowControl/>
        <w:jc w:val="left"/>
        <w:rPr>
          <w:rFonts w:hint="eastAsia" w:ascii="黑体" w:hAnsi="宋体" w:eastAsia="黑体" w:cs="宋体"/>
          <w:kern w:val="0"/>
          <w:sz w:val="28"/>
          <w:szCs w:val="28"/>
        </w:rPr>
      </w:pPr>
    </w:p>
    <w:p>
      <w:pPr>
        <w:jc w:val="center"/>
        <w:outlineLvl w:val="0"/>
        <w:rPr>
          <w:rFonts w:hint="eastAsia" w:ascii="黑体" w:hAnsi="黑体" w:eastAsia="黑体" w:cs="黑体"/>
          <w:sz w:val="48"/>
          <w:szCs w:val="48"/>
        </w:rPr>
      </w:pPr>
    </w:p>
    <w:p>
      <w:pPr>
        <w:jc w:val="center"/>
        <w:outlineLvl w:val="0"/>
        <w:rPr>
          <w:rFonts w:hint="eastAsia" w:ascii="黑体" w:hAnsi="黑体" w:eastAsia="黑体" w:cs="黑体"/>
          <w:sz w:val="48"/>
          <w:szCs w:val="48"/>
        </w:rPr>
      </w:pPr>
    </w:p>
    <w:p>
      <w:pPr>
        <w:jc w:val="center"/>
        <w:outlineLvl w:val="0"/>
        <w:rPr>
          <w:rFonts w:hint="eastAsia" w:ascii="黑体" w:hAnsi="黑体" w:eastAsia="黑体" w:cs="黑体"/>
          <w:sz w:val="48"/>
          <w:szCs w:val="48"/>
        </w:rPr>
      </w:pPr>
    </w:p>
    <w:p>
      <w:pPr>
        <w:jc w:val="center"/>
        <w:outlineLvl w:val="0"/>
        <w:rPr>
          <w:rFonts w:hint="eastAsia" w:ascii="黑体" w:hAnsi="黑体" w:eastAsia="黑体" w:cs="黑体"/>
          <w:sz w:val="48"/>
          <w:szCs w:val="48"/>
        </w:rPr>
      </w:pPr>
    </w:p>
    <w:p>
      <w:pPr>
        <w:jc w:val="center"/>
        <w:outlineLvl w:val="0"/>
        <w:rPr>
          <w:rFonts w:hint="eastAsia" w:ascii="黑体" w:hAnsi="黑体" w:eastAsia="黑体" w:cs="黑体"/>
          <w:sz w:val="48"/>
          <w:szCs w:val="48"/>
        </w:rPr>
      </w:pPr>
    </w:p>
    <w:p>
      <w:pPr>
        <w:jc w:val="center"/>
        <w:outlineLvl w:val="0"/>
        <w:rPr>
          <w:rFonts w:hint="eastAsia" w:ascii="黑体" w:hAnsi="黑体" w:eastAsia="黑体" w:cs="黑体"/>
          <w:sz w:val="48"/>
          <w:szCs w:val="48"/>
        </w:rPr>
      </w:pPr>
    </w:p>
    <w:p>
      <w:pPr>
        <w:jc w:val="center"/>
        <w:outlineLvl w:val="0"/>
        <w:rPr>
          <w:rFonts w:hint="eastAsia" w:ascii="黑体" w:hAnsi="黑体" w:eastAsia="黑体" w:cs="黑体"/>
          <w:sz w:val="48"/>
          <w:szCs w:val="48"/>
        </w:rPr>
      </w:pPr>
      <w:r>
        <w:rPr>
          <w:rFonts w:hint="eastAsia" w:ascii="黑体" w:hAnsi="黑体" w:eastAsia="黑体" w:cs="黑体"/>
          <w:sz w:val="48"/>
          <w:szCs w:val="48"/>
        </w:rPr>
        <w:t>第四部分  名词解释</w:t>
      </w:r>
    </w:p>
    <w:p>
      <w:pPr>
        <w:jc w:val="center"/>
        <w:rPr>
          <w:rFonts w:hint="eastAsia" w:ascii="黑体" w:hAnsi="黑体" w:eastAsia="黑体" w:cs="黑体"/>
          <w:sz w:val="48"/>
          <w:szCs w:val="48"/>
        </w:rPr>
      </w:pPr>
    </w:p>
    <w:p>
      <w:pPr>
        <w:jc w:val="center"/>
        <w:outlineLvl w:val="0"/>
        <w:rPr>
          <w:rFonts w:hint="eastAsia" w:ascii="黑体" w:hAnsi="黑体" w:eastAsia="黑体" w:cs="黑体"/>
          <w:sz w:val="48"/>
          <w:szCs w:val="48"/>
        </w:rPr>
        <w:sectPr>
          <w:pgSz w:w="11906" w:h="16838"/>
          <w:pgMar w:top="1440" w:right="1531" w:bottom="1440" w:left="1587" w:header="850" w:footer="992" w:gutter="0"/>
          <w:pgNumType w:fmt="numberInDash"/>
          <w:cols w:space="720" w:num="1"/>
          <w:docGrid w:type="lines" w:linePitch="317" w:charSpace="0"/>
        </w:sectPr>
      </w:pP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一、财政拨款收入：单位从同级政府财政部门取得的财政预算资金。</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二、事业收入：事业单位开展专业业务活动及其辅助活动取得的收入。</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三、上级补助收入：事业单位从主管部门和上级单位取得的非财政补助收入。</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四、附属单位上缴收入：事业单位取得附属独立核算单位根据有关规定上缴的收入。</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五、经营收入：事业单位在专业业务活动及其辅助活动之外开展非独立核算经营活动取得的收入。</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六、其他收入：单位取得的除“财政拨款收入”、“事业收入”、“上级补助收入”、“附属单位上缴收入”、“经营收入”以外的各项收入。</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七、使用非财政拨款结余：指事业单位使用以前年度积累的非财政拨款结余弥补当年收支差额的金额。</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年初结转和结余：指单位以前年度尚未完成、结转到本年仍按原规定用途继续使用的资金，或项目已完成等产生的结余资金。</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九、基本支出：为保障机构正常运转、完成日常工作任务而发生的人员支出和公用支出。</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十、项目支出：基本支出之外为完成特定行政任务和事业发展目标所发生的支出。</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w:t>
      </w:r>
      <w:r>
        <w:rPr>
          <w:rFonts w:ascii="仿宋_GB2312" w:hAnsi="仿宋_GB2312" w:eastAsia="仿宋_GB2312" w:cs="仿宋_GB2312"/>
          <w:sz w:val="32"/>
          <w:szCs w:val="32"/>
        </w:rPr>
        <w:t>、经营支出：指事业单位在专业业务活动及其辅助活动之外开展非独立核算经营活动发生的支出。</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十二、工资福利支出：单位支付给在职职工和编制外长期聘用人员的各类劳动报酬，以及为上述人员缴纳的各项社会保险费等。</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十三、商品和服务支出：单位购买商品和服务的支出。</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十四、对个人和家庭的补助支出：单位用于对个人和家庭的补助支出。</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w:t>
      </w:r>
      <w:r>
        <w:rPr>
          <w:rFonts w:ascii="仿宋_GB2312" w:hAnsi="仿宋_GB2312" w:eastAsia="仿宋_GB2312" w:cs="仿宋_GB2312"/>
          <w:sz w:val="32"/>
          <w:szCs w:val="32"/>
        </w:rPr>
        <w:t>结余分配：指事业单位按照会计制度规定缴纳的所得税、提取的专用结余以及转入非财政拨款结余的金额等。</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十六、年末结转和</w:t>
      </w:r>
      <w:r>
        <w:rPr>
          <w:rFonts w:ascii="仿宋_GB2312" w:hAnsi="仿宋_GB2312" w:eastAsia="仿宋_GB2312" w:cs="仿宋_GB2312"/>
          <w:sz w:val="32"/>
          <w:szCs w:val="32"/>
        </w:rPr>
        <w:t>结余</w:t>
      </w:r>
      <w:r>
        <w:rPr>
          <w:rFonts w:hint="eastAsia" w:ascii="仿宋_GB2312" w:hAnsi="仿宋_GB2312" w:eastAsia="仿宋_GB2312" w:cs="仿宋_GB2312"/>
          <w:sz w:val="32"/>
          <w:szCs w:val="32"/>
        </w:rPr>
        <w:t>：指</w:t>
      </w:r>
      <w:r>
        <w:rPr>
          <w:rFonts w:ascii="仿宋_GB2312" w:hAnsi="仿宋_GB2312" w:eastAsia="仿宋_GB2312" w:cs="仿宋_GB2312"/>
          <w:sz w:val="32"/>
          <w:szCs w:val="32"/>
        </w:rPr>
        <w:t>单位按有关规定结转到下年或以后年度</w:t>
      </w:r>
      <w:r>
        <w:rPr>
          <w:rFonts w:hint="eastAsia" w:ascii="仿宋_GB2312" w:hAnsi="仿宋_GB2312" w:eastAsia="仿宋_GB2312" w:cs="仿宋_GB2312"/>
          <w:sz w:val="32"/>
          <w:szCs w:val="32"/>
        </w:rPr>
        <w:t>继续</w:t>
      </w:r>
      <w:r>
        <w:rPr>
          <w:rFonts w:ascii="仿宋_GB2312" w:hAnsi="仿宋_GB2312" w:eastAsia="仿宋_GB2312" w:cs="仿宋_GB2312"/>
          <w:sz w:val="32"/>
          <w:szCs w:val="32"/>
        </w:rPr>
        <w:t>使用的资金，或项目已完成等产生的结余资金。</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七、“三公”经费：纳入同级财政预决算管理“三公”经费，指单位使用财政拨款安排的因公出国（境）费、公务用车购置及运行费和公务接待费。其中，因公出国（境）费反映单位公务出国（境）的国际旅费、国外城市间交通费、住宿费、伙食费、培训费、公杂费等支出；公务用车购置及运行费反映反映单位公务用车车辆购置支出（含车辆购置税）及租用费、燃料费、维修费、过路过桥费、保险费、安全奖励费用等支出；公务接待费反映单位按规定开支的各类公务接待（含外宾接待）支出。</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八、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928" w:right="1474" w:bottom="1701"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90500" cy="254000"/>
              <wp:effectExtent l="0" t="0" r="0" b="0"/>
              <wp:wrapNone/>
              <wp:docPr id="159812356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190500" cy="2540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- 27 -</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 3" o:spid="_x0000_s1026" o:spt="202" type="#_x0000_t202" style="position:absolute;left:0pt;margin-top:0pt;height:20pt;width:15pt;mso-position-horizontal:center;mso-position-horizontal-relative:margin;mso-wrap-style:none;z-index:251660288;mso-width-relative:page;mso-height-relative:page;" filled="f" stroked="f" coordsize="21600,21600" o:gfxdata="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LypRUM8AAAADAQAADwAAAAAAAAABACAAAAAiAAAA&#10;ZHJzL2Rvd25yZXYueG1sUEsBAhQAFAAAAAgAh07iQG4qtjQQAgAACwQAAA4AAAAAAAAAAQAgAAAA&#10;HgEAAGRycy9lMm9Eb2MueG1sUEsFBgAAAAAGAAYAWQEAAKA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- 27 -</w:t>
                    </w:r>
                    <w:r>
                      <w:rPr>
                        <w:rFonts w:hint="eastAsia"/>
                        <w:sz w:val="18"/>
                      </w:rP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279400"/>
              <wp:effectExtent l="0" t="0" r="0" b="0"/>
              <wp:wrapNone/>
              <wp:docPr id="128757506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14935" cy="279400"/>
                      </a:xfrm>
                      <a:prstGeom prst="rect">
                        <a:avLst/>
                      </a:prstGeom>
                      <a:noFill/>
                      <a:ln>
                        <a:noFill/>
                      </a:ln>
                    </wps:spPr>
                    <wps:txbx>
                      <w:txbxContent>
                        <w:p/>
                      </w:txbxContent>
                    </wps:txbx>
                    <wps:bodyPr rot="0" vert="horz" wrap="none" lIns="0" tIns="0" rIns="0" bIns="0" anchor="t" anchorCtr="0" upright="1">
                      <a:spAutoFit/>
                    </wps:bodyPr>
                  </wps:wsp>
                </a:graphicData>
              </a:graphic>
            </wp:anchor>
          </w:drawing>
        </mc:Choice>
        <mc:Fallback>
          <w:pict>
            <v:shape id="文本框 2" o:spid="_x0000_s1026" o:spt="202" type="#_x0000_t202" style="position:absolute;left:0pt;margin-top:0pt;height:22pt;width:9.05pt;mso-position-horizontal:center;mso-position-horizontal-relative:margin;mso-wrap-style:none;z-index:251660288;mso-width-relative:page;mso-height-relative:page;" filled="f" stroked="f" coordsize="21600,21600" o:gfxdata="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l4CQu9AAAAADAQAADwAAAAAAAAABACAAAAAi&#10;AAAAZHJzL2Rvd25yZXYueG1sUEsBAhQAFAAAAAgAh07iQGcrvasSAgAACwQAAA4AAAAAAAAAAQAg&#10;AAAAHwEAAGRycy9lMm9Eb2MueG1sUEsFBgAAAAAGAAYAWQEAAKMFAAAAAA==&#10;">
              <v:fill on="f" focussize="0,0"/>
              <v:stroke on="f"/>
              <v:imagedata o:title=""/>
              <o:lock v:ext="edit" aspectratio="f"/>
              <v:textbox inset="0mm,0mm,0mm,0mm" style="mso-fit-shape-to-text:t;">
                <w:txbxContent>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9098336"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- 28 -</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OqXm5zwAAAAUBAAAPAAAAAAAAAAEAIAAAACIAAABkcnMv&#10;ZG93bnJldi54bWxQSwECFAAUAAAACACHTuJA0MKdEAwCAAAMBAAADgAAAAAAAAABACAAAAAeAQAA&#10;ZHJzL2Uyb0RvYy54bWxQSwUGAAAAAAYABgBZAQAAnAU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- 28 -</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71BE17"/>
    <w:multiLevelType w:val="singleLevel"/>
    <w:tmpl w:val="5971BE17"/>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AEA"/>
    <w:rsid w:val="000007E2"/>
    <w:rsid w:val="000018C0"/>
    <w:rsid w:val="0000705B"/>
    <w:rsid w:val="00021EB0"/>
    <w:rsid w:val="00036C80"/>
    <w:rsid w:val="00045FE2"/>
    <w:rsid w:val="000638A0"/>
    <w:rsid w:val="0006794F"/>
    <w:rsid w:val="00082D17"/>
    <w:rsid w:val="00083511"/>
    <w:rsid w:val="00090BCE"/>
    <w:rsid w:val="000A4F2E"/>
    <w:rsid w:val="000A518A"/>
    <w:rsid w:val="000B335F"/>
    <w:rsid w:val="000D54FF"/>
    <w:rsid w:val="000D6246"/>
    <w:rsid w:val="000E0F44"/>
    <w:rsid w:val="000F41F0"/>
    <w:rsid w:val="000F50BB"/>
    <w:rsid w:val="00111617"/>
    <w:rsid w:val="00112F4C"/>
    <w:rsid w:val="001227CD"/>
    <w:rsid w:val="00125B45"/>
    <w:rsid w:val="001308D8"/>
    <w:rsid w:val="00137516"/>
    <w:rsid w:val="001404A9"/>
    <w:rsid w:val="001528E1"/>
    <w:rsid w:val="001757EC"/>
    <w:rsid w:val="0017653C"/>
    <w:rsid w:val="00176814"/>
    <w:rsid w:val="00180DE7"/>
    <w:rsid w:val="001936EA"/>
    <w:rsid w:val="001A2340"/>
    <w:rsid w:val="001A6D8F"/>
    <w:rsid w:val="001A7E08"/>
    <w:rsid w:val="001B067A"/>
    <w:rsid w:val="001B2597"/>
    <w:rsid w:val="001B42FE"/>
    <w:rsid w:val="001C1815"/>
    <w:rsid w:val="001C562E"/>
    <w:rsid w:val="001C5A7F"/>
    <w:rsid w:val="001E4103"/>
    <w:rsid w:val="001E53AC"/>
    <w:rsid w:val="001E6C86"/>
    <w:rsid w:val="001F2DE9"/>
    <w:rsid w:val="001F34FA"/>
    <w:rsid w:val="002043A7"/>
    <w:rsid w:val="0020602D"/>
    <w:rsid w:val="00217CC9"/>
    <w:rsid w:val="00224AB4"/>
    <w:rsid w:val="00230614"/>
    <w:rsid w:val="00236E83"/>
    <w:rsid w:val="00236FC0"/>
    <w:rsid w:val="00247921"/>
    <w:rsid w:val="00253452"/>
    <w:rsid w:val="00260D31"/>
    <w:rsid w:val="00281377"/>
    <w:rsid w:val="00292C9F"/>
    <w:rsid w:val="002964CC"/>
    <w:rsid w:val="002A11EC"/>
    <w:rsid w:val="002C6F31"/>
    <w:rsid w:val="002F4013"/>
    <w:rsid w:val="00301DFD"/>
    <w:rsid w:val="003037D0"/>
    <w:rsid w:val="00305E33"/>
    <w:rsid w:val="00311B8E"/>
    <w:rsid w:val="00315B36"/>
    <w:rsid w:val="00321601"/>
    <w:rsid w:val="00331C13"/>
    <w:rsid w:val="00344937"/>
    <w:rsid w:val="00365E20"/>
    <w:rsid w:val="0037217C"/>
    <w:rsid w:val="00375125"/>
    <w:rsid w:val="00390F18"/>
    <w:rsid w:val="003914D7"/>
    <w:rsid w:val="00391FD7"/>
    <w:rsid w:val="00394A94"/>
    <w:rsid w:val="003B014E"/>
    <w:rsid w:val="003E4B88"/>
    <w:rsid w:val="003F394B"/>
    <w:rsid w:val="003F456F"/>
    <w:rsid w:val="003F79C4"/>
    <w:rsid w:val="00400E49"/>
    <w:rsid w:val="00407D11"/>
    <w:rsid w:val="00423DAF"/>
    <w:rsid w:val="00430BB7"/>
    <w:rsid w:val="004417B2"/>
    <w:rsid w:val="00444E79"/>
    <w:rsid w:val="00452948"/>
    <w:rsid w:val="00471B76"/>
    <w:rsid w:val="00475052"/>
    <w:rsid w:val="004763F3"/>
    <w:rsid w:val="00485AE5"/>
    <w:rsid w:val="00487973"/>
    <w:rsid w:val="00491327"/>
    <w:rsid w:val="004979CA"/>
    <w:rsid w:val="004A3060"/>
    <w:rsid w:val="004A35EC"/>
    <w:rsid w:val="004A3CA8"/>
    <w:rsid w:val="004A4948"/>
    <w:rsid w:val="004A4F79"/>
    <w:rsid w:val="004B6C96"/>
    <w:rsid w:val="004C2C28"/>
    <w:rsid w:val="004D601D"/>
    <w:rsid w:val="004F210E"/>
    <w:rsid w:val="004F321B"/>
    <w:rsid w:val="004F6978"/>
    <w:rsid w:val="004F73CF"/>
    <w:rsid w:val="00505932"/>
    <w:rsid w:val="00510FFE"/>
    <w:rsid w:val="00517D39"/>
    <w:rsid w:val="005236C6"/>
    <w:rsid w:val="00527040"/>
    <w:rsid w:val="005319FC"/>
    <w:rsid w:val="0054070B"/>
    <w:rsid w:val="005435BF"/>
    <w:rsid w:val="005548AF"/>
    <w:rsid w:val="00557ED0"/>
    <w:rsid w:val="0056379E"/>
    <w:rsid w:val="005645F0"/>
    <w:rsid w:val="0056657A"/>
    <w:rsid w:val="0056733F"/>
    <w:rsid w:val="00573931"/>
    <w:rsid w:val="005744D0"/>
    <w:rsid w:val="0059379D"/>
    <w:rsid w:val="005B111A"/>
    <w:rsid w:val="005C3079"/>
    <w:rsid w:val="005D6B68"/>
    <w:rsid w:val="005F7071"/>
    <w:rsid w:val="006004C4"/>
    <w:rsid w:val="00600AEA"/>
    <w:rsid w:val="006025E1"/>
    <w:rsid w:val="006039E6"/>
    <w:rsid w:val="00605A89"/>
    <w:rsid w:val="00610A24"/>
    <w:rsid w:val="00616CB4"/>
    <w:rsid w:val="00640604"/>
    <w:rsid w:val="006523F5"/>
    <w:rsid w:val="00653EF2"/>
    <w:rsid w:val="00673CB3"/>
    <w:rsid w:val="0067422F"/>
    <w:rsid w:val="006775C6"/>
    <w:rsid w:val="00681FF8"/>
    <w:rsid w:val="006A16FB"/>
    <w:rsid w:val="006B27CE"/>
    <w:rsid w:val="006C5F63"/>
    <w:rsid w:val="006D6D2A"/>
    <w:rsid w:val="006F6AD2"/>
    <w:rsid w:val="00702A40"/>
    <w:rsid w:val="007059D8"/>
    <w:rsid w:val="007120C9"/>
    <w:rsid w:val="00726A16"/>
    <w:rsid w:val="00735A71"/>
    <w:rsid w:val="007373E7"/>
    <w:rsid w:val="00744CCD"/>
    <w:rsid w:val="00750AF7"/>
    <w:rsid w:val="00760553"/>
    <w:rsid w:val="007678EE"/>
    <w:rsid w:val="007746C6"/>
    <w:rsid w:val="00776974"/>
    <w:rsid w:val="00780415"/>
    <w:rsid w:val="0078053D"/>
    <w:rsid w:val="00780951"/>
    <w:rsid w:val="00780C4D"/>
    <w:rsid w:val="00785811"/>
    <w:rsid w:val="007868C6"/>
    <w:rsid w:val="007901CC"/>
    <w:rsid w:val="007B00CF"/>
    <w:rsid w:val="007B16ED"/>
    <w:rsid w:val="007C151C"/>
    <w:rsid w:val="007C6AC2"/>
    <w:rsid w:val="007D2708"/>
    <w:rsid w:val="007D7974"/>
    <w:rsid w:val="007E0875"/>
    <w:rsid w:val="007E304C"/>
    <w:rsid w:val="007F6932"/>
    <w:rsid w:val="00810A15"/>
    <w:rsid w:val="008158D8"/>
    <w:rsid w:val="00817F4D"/>
    <w:rsid w:val="0083510B"/>
    <w:rsid w:val="00840995"/>
    <w:rsid w:val="0085119C"/>
    <w:rsid w:val="008519C3"/>
    <w:rsid w:val="00852108"/>
    <w:rsid w:val="00852628"/>
    <w:rsid w:val="00860E88"/>
    <w:rsid w:val="008670E6"/>
    <w:rsid w:val="00867DB4"/>
    <w:rsid w:val="008858F0"/>
    <w:rsid w:val="00892C14"/>
    <w:rsid w:val="008A0DCC"/>
    <w:rsid w:val="008A1305"/>
    <w:rsid w:val="008A322A"/>
    <w:rsid w:val="008A67C3"/>
    <w:rsid w:val="008B7109"/>
    <w:rsid w:val="008D7C0F"/>
    <w:rsid w:val="008E1D81"/>
    <w:rsid w:val="008E49E1"/>
    <w:rsid w:val="008F629A"/>
    <w:rsid w:val="00902EF0"/>
    <w:rsid w:val="00911126"/>
    <w:rsid w:val="00927DA7"/>
    <w:rsid w:val="0093026A"/>
    <w:rsid w:val="00930423"/>
    <w:rsid w:val="00961271"/>
    <w:rsid w:val="00964451"/>
    <w:rsid w:val="00965AF3"/>
    <w:rsid w:val="009757D0"/>
    <w:rsid w:val="009772BC"/>
    <w:rsid w:val="009857F3"/>
    <w:rsid w:val="009865F4"/>
    <w:rsid w:val="00987800"/>
    <w:rsid w:val="00994AAC"/>
    <w:rsid w:val="009A411C"/>
    <w:rsid w:val="009A5F39"/>
    <w:rsid w:val="009B1DD2"/>
    <w:rsid w:val="009B29BE"/>
    <w:rsid w:val="009C154A"/>
    <w:rsid w:val="009F521F"/>
    <w:rsid w:val="009F73F3"/>
    <w:rsid w:val="00A00FE9"/>
    <w:rsid w:val="00A048FA"/>
    <w:rsid w:val="00A24E7D"/>
    <w:rsid w:val="00A25C3F"/>
    <w:rsid w:val="00A27C0A"/>
    <w:rsid w:val="00A326AE"/>
    <w:rsid w:val="00A36323"/>
    <w:rsid w:val="00A41E44"/>
    <w:rsid w:val="00A45E28"/>
    <w:rsid w:val="00A45E57"/>
    <w:rsid w:val="00A51A77"/>
    <w:rsid w:val="00A55253"/>
    <w:rsid w:val="00A55B9D"/>
    <w:rsid w:val="00A6293E"/>
    <w:rsid w:val="00A82A5C"/>
    <w:rsid w:val="00A9017E"/>
    <w:rsid w:val="00A9152D"/>
    <w:rsid w:val="00A92FCF"/>
    <w:rsid w:val="00A94B48"/>
    <w:rsid w:val="00AA0D50"/>
    <w:rsid w:val="00AA4C73"/>
    <w:rsid w:val="00AA4FAB"/>
    <w:rsid w:val="00AA6AB1"/>
    <w:rsid w:val="00AB1977"/>
    <w:rsid w:val="00AC38D7"/>
    <w:rsid w:val="00AD240F"/>
    <w:rsid w:val="00AD4018"/>
    <w:rsid w:val="00AD6829"/>
    <w:rsid w:val="00AE4809"/>
    <w:rsid w:val="00AF5BD8"/>
    <w:rsid w:val="00AF67C5"/>
    <w:rsid w:val="00AF7C37"/>
    <w:rsid w:val="00B03453"/>
    <w:rsid w:val="00B03A21"/>
    <w:rsid w:val="00B053AB"/>
    <w:rsid w:val="00B055B0"/>
    <w:rsid w:val="00B1583E"/>
    <w:rsid w:val="00B22A3D"/>
    <w:rsid w:val="00B371B9"/>
    <w:rsid w:val="00B55780"/>
    <w:rsid w:val="00B7182B"/>
    <w:rsid w:val="00B7223F"/>
    <w:rsid w:val="00B82071"/>
    <w:rsid w:val="00B86341"/>
    <w:rsid w:val="00BA2F31"/>
    <w:rsid w:val="00BA557C"/>
    <w:rsid w:val="00BA58B9"/>
    <w:rsid w:val="00BA652D"/>
    <w:rsid w:val="00BA6B57"/>
    <w:rsid w:val="00BB2E5C"/>
    <w:rsid w:val="00BE3166"/>
    <w:rsid w:val="00BE5049"/>
    <w:rsid w:val="00BF5E53"/>
    <w:rsid w:val="00C054C4"/>
    <w:rsid w:val="00C133AB"/>
    <w:rsid w:val="00C1440D"/>
    <w:rsid w:val="00C14BE2"/>
    <w:rsid w:val="00C562D1"/>
    <w:rsid w:val="00C7012D"/>
    <w:rsid w:val="00C97A56"/>
    <w:rsid w:val="00CA3DE2"/>
    <w:rsid w:val="00CA4E38"/>
    <w:rsid w:val="00CB080B"/>
    <w:rsid w:val="00CB0FCB"/>
    <w:rsid w:val="00CC28F9"/>
    <w:rsid w:val="00CC38B0"/>
    <w:rsid w:val="00CC5E94"/>
    <w:rsid w:val="00CD4B88"/>
    <w:rsid w:val="00CD6CA4"/>
    <w:rsid w:val="00CE5F89"/>
    <w:rsid w:val="00CF3014"/>
    <w:rsid w:val="00CF77A8"/>
    <w:rsid w:val="00D00C4A"/>
    <w:rsid w:val="00D31709"/>
    <w:rsid w:val="00D31F5B"/>
    <w:rsid w:val="00D33270"/>
    <w:rsid w:val="00D41DE8"/>
    <w:rsid w:val="00D504E8"/>
    <w:rsid w:val="00D5130D"/>
    <w:rsid w:val="00D70B93"/>
    <w:rsid w:val="00D8363C"/>
    <w:rsid w:val="00D91181"/>
    <w:rsid w:val="00D938B5"/>
    <w:rsid w:val="00D95052"/>
    <w:rsid w:val="00DA1C2B"/>
    <w:rsid w:val="00DA5D27"/>
    <w:rsid w:val="00DA692C"/>
    <w:rsid w:val="00DB2F63"/>
    <w:rsid w:val="00DB36BF"/>
    <w:rsid w:val="00DB4FA5"/>
    <w:rsid w:val="00DC0A09"/>
    <w:rsid w:val="00DC4314"/>
    <w:rsid w:val="00DC6B6F"/>
    <w:rsid w:val="00DE6693"/>
    <w:rsid w:val="00DF3C31"/>
    <w:rsid w:val="00DF54DD"/>
    <w:rsid w:val="00DF6294"/>
    <w:rsid w:val="00E13BDA"/>
    <w:rsid w:val="00E153AB"/>
    <w:rsid w:val="00E2387D"/>
    <w:rsid w:val="00E34DD5"/>
    <w:rsid w:val="00E35D63"/>
    <w:rsid w:val="00E54EF3"/>
    <w:rsid w:val="00E56317"/>
    <w:rsid w:val="00E57048"/>
    <w:rsid w:val="00E60444"/>
    <w:rsid w:val="00E62B5B"/>
    <w:rsid w:val="00E75583"/>
    <w:rsid w:val="00E84E5A"/>
    <w:rsid w:val="00EA396C"/>
    <w:rsid w:val="00EB65D3"/>
    <w:rsid w:val="00ED24A9"/>
    <w:rsid w:val="00EE2BC8"/>
    <w:rsid w:val="00EF7DFE"/>
    <w:rsid w:val="00F00819"/>
    <w:rsid w:val="00F01183"/>
    <w:rsid w:val="00F04FBC"/>
    <w:rsid w:val="00F057D9"/>
    <w:rsid w:val="00F06D58"/>
    <w:rsid w:val="00F15C72"/>
    <w:rsid w:val="00F21B24"/>
    <w:rsid w:val="00F2581E"/>
    <w:rsid w:val="00F31E9E"/>
    <w:rsid w:val="00F34663"/>
    <w:rsid w:val="00F4482E"/>
    <w:rsid w:val="00F47BB0"/>
    <w:rsid w:val="00F60014"/>
    <w:rsid w:val="00F70BEA"/>
    <w:rsid w:val="00F72122"/>
    <w:rsid w:val="00F80204"/>
    <w:rsid w:val="00F82100"/>
    <w:rsid w:val="00F94E8B"/>
    <w:rsid w:val="00F95543"/>
    <w:rsid w:val="00FA09B4"/>
    <w:rsid w:val="00FB28C8"/>
    <w:rsid w:val="00FB3C53"/>
    <w:rsid w:val="00FE225C"/>
    <w:rsid w:val="00FE2FCB"/>
    <w:rsid w:val="00FF0E60"/>
    <w:rsid w:val="01E80C85"/>
    <w:rsid w:val="03833A55"/>
    <w:rsid w:val="14AD269E"/>
    <w:rsid w:val="1CFF6195"/>
    <w:rsid w:val="1F7532BF"/>
    <w:rsid w:val="1FA53BA4"/>
    <w:rsid w:val="2414329D"/>
    <w:rsid w:val="28BE5CD7"/>
    <w:rsid w:val="29B844D4"/>
    <w:rsid w:val="31FD7B25"/>
    <w:rsid w:val="35DF65DC"/>
    <w:rsid w:val="39E31014"/>
    <w:rsid w:val="41AB28D9"/>
    <w:rsid w:val="48982EAE"/>
    <w:rsid w:val="48CD11C1"/>
    <w:rsid w:val="528C6BAE"/>
    <w:rsid w:val="60A66744"/>
    <w:rsid w:val="651F0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2"/>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5"/>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6"/>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38"/>
    <w:unhideWhenUsed/>
    <w:qFormat/>
    <w:uiPriority w:val="99"/>
    <w:rPr>
      <w:sz w:val="18"/>
      <w:szCs w:val="18"/>
    </w:rPr>
  </w:style>
  <w:style w:type="paragraph" w:styleId="12">
    <w:name w:val="footer"/>
    <w:basedOn w:val="1"/>
    <w:link w:val="39"/>
    <w:unhideWhenUsed/>
    <w:qFormat/>
    <w:uiPriority w:val="99"/>
    <w:pPr>
      <w:tabs>
        <w:tab w:val="center" w:pos="4153"/>
        <w:tab w:val="right" w:pos="8306"/>
      </w:tabs>
      <w:snapToGrid w:val="0"/>
      <w:jc w:val="left"/>
    </w:pPr>
    <w:rPr>
      <w:sz w:val="18"/>
      <w:szCs w:val="18"/>
    </w:rPr>
  </w:style>
  <w:style w:type="paragraph" w:styleId="13">
    <w:name w:val="header"/>
    <w:basedOn w:val="1"/>
    <w:link w:val="40"/>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Subtitle"/>
    <w:basedOn w:val="1"/>
    <w:next w:val="1"/>
    <w:link w:val="30"/>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29"/>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table" w:styleId="17">
    <w:name w:val="Table Grid"/>
    <w:basedOn w:val="1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Hyperlink"/>
    <w:unhideWhenUsed/>
    <w:qFormat/>
    <w:uiPriority w:val="99"/>
    <w:rPr>
      <w:color w:val="0000FF"/>
      <w:u w:val="single"/>
    </w:rPr>
  </w:style>
  <w:style w:type="character" w:customStyle="1" w:styleId="20">
    <w:name w:val="标题 1 字符"/>
    <w:basedOn w:val="18"/>
    <w:link w:val="2"/>
    <w:qFormat/>
    <w:uiPriority w:val="9"/>
    <w:rPr>
      <w:rFonts w:asciiTheme="majorHAnsi" w:hAnsiTheme="majorHAnsi" w:eastAsiaTheme="majorEastAsia" w:cstheme="majorBidi"/>
      <w:color w:val="2F5597" w:themeColor="accent1" w:themeShade="BF"/>
      <w:sz w:val="48"/>
      <w:szCs w:val="48"/>
    </w:rPr>
  </w:style>
  <w:style w:type="character" w:customStyle="1" w:styleId="21">
    <w:name w:val="标题 2 字符"/>
    <w:basedOn w:val="18"/>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2">
    <w:name w:val="标题 3 字符"/>
    <w:basedOn w:val="18"/>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3">
    <w:name w:val="标题 4 字符"/>
    <w:basedOn w:val="18"/>
    <w:link w:val="5"/>
    <w:semiHidden/>
    <w:qFormat/>
    <w:uiPriority w:val="9"/>
    <w:rPr>
      <w:rFonts w:cstheme="majorBidi"/>
      <w:color w:val="2F5597" w:themeColor="accent1" w:themeShade="BF"/>
      <w:sz w:val="28"/>
      <w:szCs w:val="28"/>
    </w:rPr>
  </w:style>
  <w:style w:type="character" w:customStyle="1" w:styleId="24">
    <w:name w:val="标题 5 字符"/>
    <w:basedOn w:val="18"/>
    <w:link w:val="6"/>
    <w:semiHidden/>
    <w:qFormat/>
    <w:uiPriority w:val="9"/>
    <w:rPr>
      <w:rFonts w:cstheme="majorBidi"/>
      <w:color w:val="2F5597" w:themeColor="accent1" w:themeShade="BF"/>
      <w:sz w:val="24"/>
    </w:rPr>
  </w:style>
  <w:style w:type="character" w:customStyle="1" w:styleId="25">
    <w:name w:val="标题 6 字符"/>
    <w:basedOn w:val="18"/>
    <w:link w:val="7"/>
    <w:semiHidden/>
    <w:qFormat/>
    <w:uiPriority w:val="9"/>
    <w:rPr>
      <w:rFonts w:cstheme="majorBidi"/>
      <w:b/>
      <w:bCs/>
      <w:color w:val="2F5597" w:themeColor="accent1" w:themeShade="BF"/>
    </w:rPr>
  </w:style>
  <w:style w:type="character" w:customStyle="1" w:styleId="26">
    <w:name w:val="标题 7 字符"/>
    <w:basedOn w:val="18"/>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8"/>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8"/>
    <w:link w:val="15"/>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8"/>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8"/>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style>
  <w:style w:type="character" w:customStyle="1" w:styleId="34">
    <w:name w:val="明显强调1"/>
    <w:basedOn w:val="18"/>
    <w:qFormat/>
    <w:uiPriority w:val="21"/>
    <w:rPr>
      <w:i/>
      <w:iCs/>
      <w:color w:val="2F5597" w:themeColor="accent1" w:themeShade="BF"/>
    </w:rPr>
  </w:style>
  <w:style w:type="paragraph" w:styleId="35">
    <w:name w:val="Intense Quote"/>
    <w:basedOn w:val="1"/>
    <w:next w:val="1"/>
    <w:link w:val="36"/>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6">
    <w:name w:val="明显引用 字符"/>
    <w:basedOn w:val="18"/>
    <w:link w:val="35"/>
    <w:qFormat/>
    <w:uiPriority w:val="30"/>
    <w:rPr>
      <w:i/>
      <w:iCs/>
      <w:color w:val="2F5597" w:themeColor="accent1" w:themeShade="BF"/>
    </w:rPr>
  </w:style>
  <w:style w:type="character" w:customStyle="1" w:styleId="37">
    <w:name w:val="明显参考1"/>
    <w:basedOn w:val="18"/>
    <w:qFormat/>
    <w:uiPriority w:val="32"/>
    <w:rPr>
      <w:b/>
      <w:bCs/>
      <w:smallCaps/>
      <w:color w:val="2F5597" w:themeColor="accent1" w:themeShade="BF"/>
      <w:spacing w:val="5"/>
    </w:rPr>
  </w:style>
  <w:style w:type="character" w:customStyle="1" w:styleId="38">
    <w:name w:val="批注框文本 字符"/>
    <w:basedOn w:val="18"/>
    <w:link w:val="11"/>
    <w:qFormat/>
    <w:uiPriority w:val="99"/>
    <w:rPr>
      <w:rFonts w:ascii="Times New Roman" w:hAnsi="Times New Roman" w:eastAsia="宋体" w:cs="Times New Roman"/>
      <w:sz w:val="18"/>
      <w:szCs w:val="18"/>
      <w14:ligatures w14:val="none"/>
    </w:rPr>
  </w:style>
  <w:style w:type="character" w:customStyle="1" w:styleId="39">
    <w:name w:val="页脚 字符"/>
    <w:basedOn w:val="18"/>
    <w:link w:val="12"/>
    <w:qFormat/>
    <w:uiPriority w:val="99"/>
    <w:rPr>
      <w:rFonts w:ascii="Times New Roman" w:hAnsi="Times New Roman" w:eastAsia="宋体" w:cs="Times New Roman"/>
      <w:sz w:val="18"/>
      <w:szCs w:val="18"/>
      <w14:ligatures w14:val="none"/>
    </w:rPr>
  </w:style>
  <w:style w:type="character" w:customStyle="1" w:styleId="40">
    <w:name w:val="页眉 字符"/>
    <w:basedOn w:val="18"/>
    <w:link w:val="13"/>
    <w:qFormat/>
    <w:uiPriority w:val="99"/>
    <w:rPr>
      <w:rFonts w:ascii="Times New Roman" w:hAnsi="Times New Roman" w:eastAsia="宋体" w:cs="Times New Roman"/>
      <w:sz w:val="18"/>
      <w:szCs w:val="18"/>
      <w14:ligatures w14:val="none"/>
    </w:rPr>
  </w:style>
  <w:style w:type="character" w:customStyle="1" w:styleId="41">
    <w:name w:val="font01"/>
    <w:qFormat/>
    <w:uiPriority w:val="0"/>
    <w:rPr>
      <w:rFonts w:hint="eastAsia" w:ascii="宋体" w:hAnsi="宋体" w:eastAsia="宋体" w:cs="宋体"/>
      <w:color w:val="000000"/>
      <w:sz w:val="22"/>
      <w:szCs w:val="22"/>
      <w:u w:val="none"/>
    </w:rPr>
  </w:style>
  <w:style w:type="character" w:customStyle="1" w:styleId="42">
    <w:name w:val="font21"/>
    <w:qFormat/>
    <w:uiPriority w:val="0"/>
    <w:rPr>
      <w:rFonts w:hint="eastAsia" w:ascii="宋体" w:hAnsi="宋体" w:eastAsia="宋体" w:cs="宋体"/>
      <w:color w:val="000000"/>
      <w:sz w:val="22"/>
      <w:szCs w:val="22"/>
      <w:u w:val="none"/>
    </w:rPr>
  </w:style>
  <w:style w:type="character" w:customStyle="1" w:styleId="43">
    <w:name w:val="访问过的超链接1"/>
    <w:unhideWhenUsed/>
    <w:uiPriority w:val="99"/>
    <w:rPr>
      <w:color w:val="800080"/>
      <w:u w:val="single"/>
    </w:rPr>
  </w:style>
  <w:style w:type="character" w:customStyle="1" w:styleId="44">
    <w:name w:val="font51"/>
    <w:qFormat/>
    <w:uiPriority w:val="0"/>
    <w:rPr>
      <w:rFonts w:hint="eastAsia" w:ascii="宋体" w:hAnsi="宋体" w:eastAsia="宋体" w:cs="宋体"/>
      <w:color w:val="000000"/>
      <w:sz w:val="24"/>
      <w:szCs w:val="24"/>
      <w:u w:val="none"/>
    </w:rPr>
  </w:style>
  <w:style w:type="character" w:customStyle="1" w:styleId="45">
    <w:name w:val="font11"/>
    <w:qFormat/>
    <w:uiPriority w:val="0"/>
    <w:rPr>
      <w:rFonts w:hint="eastAsia" w:ascii="宋体" w:hAnsi="宋体" w:eastAsia="宋体" w:cs="宋体"/>
      <w:color w:val="000000"/>
      <w:sz w:val="20"/>
      <w:szCs w:val="20"/>
      <w:u w:val="none"/>
    </w:rPr>
  </w:style>
  <w:style w:type="character" w:customStyle="1" w:styleId="46">
    <w:name w:val="font4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1746</Words>
  <Characters>2375</Characters>
  <Lines>1021</Lines>
  <Paragraphs>912</Paragraphs>
  <TotalTime>21</TotalTime>
  <ScaleCrop>false</ScaleCrop>
  <LinksUpToDate>false</LinksUpToDate>
  <CharactersWithSpaces>3095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2025-11-28T01:49:00Z</dcterms:created>
  <dc:creator>huawei</dc:creator>
  <cp:lastModifiedBy>Administrator</cp:lastModifiedBy>
  <dcterms:modified xsi:type="dcterms:W3CDTF">2025-12-02T06:56:19Z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eyJoZGlkIjoiOWM4NjJjZDU4ZDFiZDkyODJiZGQzYjIzYWJlZDBlNDIiLCJ1c2VySWQiOiIzNTE1ODIyNDMifQ==</vt:lpwstr>
  </property>
  <property fmtid="{D5CDD505-2E9C-101B-9397-08002B2CF9AE}" pid="3" name="KSOProductBuildVer">
    <vt:lpwstr>2052-11.1.0.10314</vt:lpwstr>
  </property>
  <property fmtid="{D5CDD505-2E9C-101B-9397-08002B2CF9AE}" pid="4" name="ICV">
    <vt:lpwstr>C144B6C6D2F2491EB96A56059B995EC8_12</vt:lpwstr>
  </property>
</Properties>
</file>