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rPr>
          <w:rFonts w:hint="eastAsia" w:ascii="黑体" w:hAnsi="黑体" w:eastAsia="黑体" w:cs="黑体"/>
          <w:sz w:val="52"/>
          <w:szCs w:val="52"/>
        </w:rPr>
      </w:pPr>
      <w:r>
        <w:rPr>
          <w:rFonts w:hint="eastAsia" w:ascii="黑体" w:hAnsi="黑体" w:eastAsia="黑体" w:cs="黑体"/>
          <w:sz w:val="52"/>
          <w:szCs w:val="52"/>
        </w:rPr>
        <w:t>20</w:t>
      </w:r>
      <w:r>
        <w:rPr>
          <w:rFonts w:ascii="黑体" w:hAnsi="黑体" w:eastAsia="黑体" w:cs="黑体"/>
          <w:sz w:val="52"/>
          <w:szCs w:val="52"/>
        </w:rPr>
        <w:t>2</w:t>
      </w:r>
      <w:r>
        <w:rPr>
          <w:rFonts w:hint="eastAsia" w:ascii="黑体" w:hAnsi="黑体" w:eastAsia="黑体" w:cs="黑体"/>
          <w:sz w:val="52"/>
          <w:szCs w:val="52"/>
          <w:lang w:val="en-US" w:eastAsia="zh-CN"/>
        </w:rPr>
        <w:t>4</w:t>
      </w:r>
      <w:r>
        <w:rPr>
          <w:rFonts w:hint="eastAsia" w:ascii="黑体" w:hAnsi="黑体" w:eastAsia="黑体" w:cs="黑体"/>
          <w:sz w:val="52"/>
          <w:szCs w:val="52"/>
        </w:rPr>
        <w:t>年度</w:t>
      </w:r>
    </w:p>
    <w:p>
      <w:pPr>
        <w:jc w:val="center"/>
        <w:rPr>
          <w:rFonts w:hint="eastAsia" w:ascii="黑体" w:hAnsi="黑体" w:eastAsia="黑体" w:cs="黑体"/>
          <w:sz w:val="52"/>
          <w:szCs w:val="52"/>
        </w:rPr>
      </w:pPr>
      <w:r>
        <w:rPr>
          <w:rFonts w:hint="eastAsia" w:ascii="黑体" w:hAnsi="黑体" w:eastAsia="黑体" w:cs="黑体"/>
          <w:sz w:val="52"/>
          <w:szCs w:val="52"/>
        </w:rPr>
        <w:t>信阳市第四高级中学</w:t>
      </w:r>
      <w:r>
        <w:rPr>
          <w:rFonts w:hint="eastAsia" w:ascii="黑体" w:hAnsi="黑体" w:eastAsia="黑体" w:cs="黑体"/>
          <w:sz w:val="52"/>
          <w:szCs w:val="52"/>
          <w:lang w:eastAsia="zh-CN"/>
        </w:rPr>
        <w:t>部门</w:t>
      </w:r>
      <w:bookmarkStart w:id="0" w:name="_GoBack"/>
      <w:bookmarkEnd w:id="0"/>
      <w:r>
        <w:rPr>
          <w:rFonts w:hint="eastAsia" w:ascii="黑体" w:hAnsi="黑体" w:eastAsia="黑体" w:cs="黑体"/>
          <w:sz w:val="52"/>
          <w:szCs w:val="52"/>
        </w:rPr>
        <w:t>决算</w:t>
      </w:r>
    </w:p>
    <w:p>
      <w:pPr>
        <w:jc w:val="center"/>
        <w:rPr>
          <w:rFonts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52"/>
          <w:szCs w:val="52"/>
        </w:rPr>
      </w:pPr>
    </w:p>
    <w:p>
      <w:pPr>
        <w:jc w:val="center"/>
        <w:rPr>
          <w:rFonts w:hint="eastAsia" w:ascii="黑体" w:hAnsi="黑体" w:eastAsia="黑体" w:cs="黑体"/>
          <w:sz w:val="32"/>
          <w:szCs w:val="32"/>
        </w:rPr>
        <w:sectPr>
          <w:pgSz w:w="11906" w:h="16838"/>
          <w:pgMar w:top="1440" w:right="1531" w:bottom="1440" w:left="1587" w:header="850" w:footer="992" w:gutter="0"/>
          <w:pgNumType w:fmt="numberInDash"/>
          <w:cols w:space="720" w:num="1"/>
          <w:docGrid w:type="lines" w:linePitch="317" w:charSpace="0"/>
        </w:sectPr>
      </w:pPr>
      <w:r>
        <w:rPr>
          <w:rFonts w:hint="eastAsia" w:ascii="黑体" w:hAnsi="黑体" w:eastAsia="黑体" w:cs="黑体"/>
          <w:sz w:val="32"/>
          <w:szCs w:val="32"/>
        </w:rPr>
        <w:t>二〇二</w:t>
      </w:r>
      <w:r>
        <w:rPr>
          <w:rFonts w:hint="eastAsia" w:ascii="黑体" w:hAnsi="黑体" w:eastAsia="黑体" w:cs="黑体"/>
          <w:sz w:val="32"/>
          <w:szCs w:val="32"/>
          <w:lang w:val="en-US" w:eastAsia="zh-CN"/>
        </w:rPr>
        <w:t>五</w:t>
      </w:r>
      <w:r>
        <w:rPr>
          <w:rFonts w:hint="eastAsia" w:ascii="黑体" w:hAnsi="黑体" w:eastAsia="黑体" w:cs="黑体"/>
          <w:sz w:val="32"/>
          <w:szCs w:val="32"/>
        </w:rPr>
        <w:t>年</w:t>
      </w:r>
      <w:r>
        <w:rPr>
          <w:rFonts w:hint="eastAsia" w:ascii="黑体" w:hAnsi="黑体" w:eastAsia="黑体" w:cs="黑体"/>
          <w:sz w:val="32"/>
          <w:szCs w:val="32"/>
          <w:lang w:eastAsia="zh-CN"/>
        </w:rPr>
        <w:t>九</w:t>
      </w:r>
      <w:r>
        <w:rPr>
          <w:rFonts w:hint="eastAsia" w:ascii="黑体" w:hAnsi="黑体" w:eastAsia="黑体" w:cs="黑体"/>
          <w:sz w:val="32"/>
          <w:szCs w:val="32"/>
        </w:rPr>
        <w:t>月</w:t>
      </w:r>
    </w:p>
    <w:p>
      <w:pPr>
        <w:jc w:val="center"/>
        <w:rPr>
          <w:rFonts w:ascii="黑体" w:hAnsi="黑体" w:eastAsia="黑体" w:cs="黑体"/>
          <w:sz w:val="36"/>
          <w:szCs w:val="36"/>
        </w:rPr>
      </w:pPr>
      <w:r>
        <w:rPr>
          <w:rFonts w:hint="eastAsia" w:ascii="黑体" w:hAnsi="黑体" w:eastAsia="黑体" w:cs="黑体"/>
          <w:sz w:val="36"/>
          <w:szCs w:val="36"/>
        </w:rPr>
        <w:t>目　　录</w:t>
      </w:r>
    </w:p>
    <w:p>
      <w:pPr>
        <w:jc w:val="left"/>
        <w:rPr>
          <w:rFonts w:ascii="黑体" w:hAnsi="黑体" w:eastAsia="黑体" w:cs="黑体"/>
          <w:sz w:val="32"/>
          <w:szCs w:val="32"/>
        </w:rPr>
      </w:pPr>
      <w:r>
        <w:rPr>
          <w:rFonts w:hint="eastAsia" w:ascii="黑体" w:hAnsi="黑体" w:eastAsia="黑体" w:cs="黑体"/>
          <w:sz w:val="32"/>
          <w:szCs w:val="32"/>
        </w:rPr>
        <w:t>第一部分　信阳市第四高级中学概况</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lang w:val="en-US" w:eastAsia="zh-CN"/>
        </w:rPr>
        <w:t>单位</w:t>
      </w:r>
      <w:r>
        <w:rPr>
          <w:rFonts w:hint="eastAsia" w:ascii="宋体" w:hAnsi="宋体" w:cs="宋体"/>
          <w:sz w:val="32"/>
          <w:szCs w:val="32"/>
        </w:rPr>
        <w:t>职责</w:t>
      </w:r>
    </w:p>
    <w:p>
      <w:pPr>
        <w:numPr>
          <w:ilvl w:val="0"/>
          <w:numId w:val="1"/>
        </w:numPr>
        <w:ind w:firstLine="640" w:firstLineChars="200"/>
        <w:jc w:val="left"/>
        <w:rPr>
          <w:rFonts w:ascii="宋体" w:hAnsi="宋体" w:cs="宋体"/>
          <w:sz w:val="32"/>
          <w:szCs w:val="32"/>
        </w:rPr>
      </w:pPr>
      <w:r>
        <w:rPr>
          <w:rFonts w:hint="eastAsia" w:ascii="宋体" w:hAnsi="宋体" w:cs="宋体"/>
          <w:sz w:val="32"/>
          <w:szCs w:val="32"/>
        </w:rPr>
        <w:t>机构设置</w:t>
      </w:r>
    </w:p>
    <w:p>
      <w:pPr>
        <w:jc w:val="left"/>
        <w:rPr>
          <w:rFonts w:ascii="黑体" w:hAnsi="黑体" w:eastAsia="黑体" w:cs="黑体"/>
          <w:sz w:val="32"/>
          <w:szCs w:val="32"/>
        </w:rPr>
      </w:pPr>
      <w:r>
        <w:rPr>
          <w:rFonts w:hint="eastAsia" w:ascii="黑体" w:hAnsi="黑体" w:eastAsia="黑体" w:cs="黑体"/>
          <w:sz w:val="32"/>
          <w:szCs w:val="32"/>
        </w:rPr>
        <w:t>第二部分  202</w:t>
      </w:r>
      <w:r>
        <w:rPr>
          <w:rFonts w:hint="eastAsia" w:ascii="黑体" w:hAnsi="黑体" w:eastAsia="黑体" w:cs="黑体"/>
          <w:sz w:val="32"/>
          <w:szCs w:val="32"/>
          <w:lang w:val="en-US" w:eastAsia="zh-CN"/>
        </w:rPr>
        <w:t>4</w:t>
      </w:r>
      <w:r>
        <w:rPr>
          <w:rFonts w:hint="eastAsia" w:ascii="黑体" w:hAnsi="黑体" w:eastAsia="黑体" w:cs="黑体"/>
          <w:sz w:val="32"/>
          <w:szCs w:val="32"/>
        </w:rPr>
        <w:t>年度</w:t>
      </w:r>
      <w:r>
        <w:rPr>
          <w:rFonts w:hint="eastAsia" w:ascii="黑体" w:hAnsi="黑体" w:eastAsia="黑体" w:cs="黑体"/>
          <w:sz w:val="32"/>
          <w:szCs w:val="32"/>
          <w:lang w:val="en-US" w:eastAsia="zh-CN"/>
        </w:rPr>
        <w:t>单位</w:t>
      </w:r>
      <w:r>
        <w:rPr>
          <w:rFonts w:hint="eastAsia" w:ascii="黑体" w:hAnsi="黑体" w:eastAsia="黑体" w:cs="黑体"/>
          <w:sz w:val="32"/>
          <w:szCs w:val="32"/>
        </w:rPr>
        <w:t>决算表</w:t>
      </w:r>
    </w:p>
    <w:p>
      <w:pPr>
        <w:ind w:firstLine="640" w:firstLineChars="200"/>
        <w:jc w:val="left"/>
        <w:rPr>
          <w:rFonts w:hint="eastAsia" w:ascii="宋体" w:hAnsi="宋体" w:cs="黑体"/>
          <w:sz w:val="32"/>
          <w:szCs w:val="32"/>
        </w:rPr>
      </w:pPr>
      <w:r>
        <w:rPr>
          <w:rFonts w:hint="eastAsia" w:ascii="宋体" w:hAnsi="宋体" w:cs="黑体"/>
          <w:sz w:val="32"/>
          <w:szCs w:val="32"/>
        </w:rPr>
        <w:t>一、收入支出决算总表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二、收入决算表</w:t>
      </w:r>
    </w:p>
    <w:p>
      <w:pPr>
        <w:ind w:firstLine="640" w:firstLineChars="200"/>
        <w:jc w:val="left"/>
        <w:rPr>
          <w:rFonts w:hint="eastAsia" w:ascii="宋体" w:hAnsi="宋体" w:cs="黑体"/>
          <w:sz w:val="32"/>
          <w:szCs w:val="32"/>
        </w:rPr>
      </w:pPr>
      <w:r>
        <w:rPr>
          <w:rFonts w:hint="eastAsia" w:ascii="宋体" w:hAnsi="宋体" w:cs="黑体"/>
          <w:sz w:val="32"/>
          <w:szCs w:val="32"/>
        </w:rPr>
        <w:t>三、支出决算表</w:t>
      </w:r>
    </w:p>
    <w:p>
      <w:pPr>
        <w:ind w:firstLine="640" w:firstLineChars="200"/>
        <w:jc w:val="left"/>
        <w:rPr>
          <w:rFonts w:ascii="宋体" w:hAnsi="宋体" w:cs="黑体"/>
          <w:sz w:val="32"/>
          <w:szCs w:val="32"/>
        </w:rPr>
      </w:pPr>
      <w:r>
        <w:rPr>
          <w:rFonts w:hint="eastAsia" w:ascii="宋体" w:hAnsi="宋体" w:cs="黑体"/>
          <w:sz w:val="32"/>
          <w:szCs w:val="32"/>
        </w:rPr>
        <w:t>四、财政拨款收入支出决算总表</w:t>
      </w:r>
    </w:p>
    <w:p>
      <w:pPr>
        <w:ind w:firstLine="640" w:firstLineChars="200"/>
        <w:jc w:val="left"/>
        <w:rPr>
          <w:rFonts w:hint="eastAsia" w:ascii="宋体" w:hAnsi="宋体" w:cs="黑体"/>
          <w:sz w:val="32"/>
          <w:szCs w:val="32"/>
        </w:rPr>
      </w:pPr>
      <w:r>
        <w:rPr>
          <w:rFonts w:hint="eastAsia" w:ascii="宋体" w:hAnsi="宋体" w:cs="黑体"/>
          <w:sz w:val="32"/>
          <w:szCs w:val="32"/>
        </w:rPr>
        <w:t>五、一般公共预算财政拨款支出决算表</w:t>
      </w:r>
    </w:p>
    <w:p>
      <w:pPr>
        <w:ind w:firstLine="640" w:firstLineChars="200"/>
        <w:jc w:val="left"/>
        <w:rPr>
          <w:rFonts w:ascii="宋体" w:hAnsi="宋体" w:cs="黑体"/>
          <w:sz w:val="32"/>
          <w:szCs w:val="32"/>
        </w:rPr>
      </w:pPr>
      <w:r>
        <w:rPr>
          <w:rFonts w:hint="eastAsia" w:ascii="宋体" w:hAnsi="宋体" w:cs="黑体"/>
          <w:sz w:val="32"/>
          <w:szCs w:val="32"/>
        </w:rPr>
        <w:t>六、一般公共预算财政拨款基本支出决算明细表</w:t>
      </w:r>
    </w:p>
    <w:p>
      <w:pPr>
        <w:ind w:firstLine="640" w:firstLineChars="200"/>
        <w:jc w:val="left"/>
        <w:rPr>
          <w:rFonts w:hint="eastAsia" w:ascii="宋体" w:hAnsi="宋体" w:cs="黑体"/>
          <w:sz w:val="32"/>
          <w:szCs w:val="32"/>
        </w:rPr>
      </w:pPr>
      <w:r>
        <w:rPr>
          <w:rFonts w:hint="eastAsia" w:ascii="宋体" w:hAnsi="宋体" w:cs="黑体"/>
          <w:sz w:val="32"/>
          <w:szCs w:val="32"/>
        </w:rPr>
        <w:t>七、政府性基金预算财政拨款收入支出决算表</w:t>
      </w:r>
    </w:p>
    <w:p>
      <w:pPr>
        <w:ind w:firstLine="640" w:firstLineChars="200"/>
        <w:jc w:val="left"/>
        <w:rPr>
          <w:rFonts w:ascii="宋体" w:hAnsi="宋体" w:cs="黑体"/>
          <w:sz w:val="32"/>
          <w:szCs w:val="32"/>
        </w:rPr>
      </w:pPr>
      <w:r>
        <w:rPr>
          <w:rFonts w:hint="eastAsia" w:ascii="宋体" w:hAnsi="宋体" w:cs="黑体"/>
          <w:sz w:val="32"/>
          <w:szCs w:val="32"/>
        </w:rPr>
        <w:t>八、国有</w:t>
      </w:r>
      <w:r>
        <w:rPr>
          <w:rFonts w:ascii="宋体" w:hAnsi="宋体" w:cs="黑体"/>
          <w:sz w:val="32"/>
          <w:szCs w:val="32"/>
        </w:rPr>
        <w:t>资本经营预算财政拨款</w:t>
      </w:r>
      <w:r>
        <w:rPr>
          <w:rFonts w:hint="eastAsia" w:ascii="宋体" w:hAnsi="宋体" w:cs="黑体"/>
          <w:sz w:val="32"/>
          <w:szCs w:val="32"/>
        </w:rPr>
        <w:t>支出决算表</w:t>
      </w:r>
    </w:p>
    <w:p>
      <w:pPr>
        <w:ind w:firstLine="640" w:firstLineChars="200"/>
        <w:jc w:val="left"/>
        <w:rPr>
          <w:rFonts w:hint="eastAsia" w:ascii="宋体" w:hAnsi="宋体" w:cs="黑体"/>
          <w:sz w:val="32"/>
          <w:szCs w:val="32"/>
        </w:rPr>
      </w:pPr>
      <w:r>
        <w:rPr>
          <w:rFonts w:hint="eastAsia" w:ascii="宋体" w:hAnsi="宋体" w:cs="黑体"/>
          <w:sz w:val="32"/>
          <w:szCs w:val="32"/>
        </w:rPr>
        <w:t>九、财政拨款“三公”经费支出决算表</w:t>
      </w:r>
    </w:p>
    <w:p>
      <w:pPr>
        <w:jc w:val="left"/>
        <w:rPr>
          <w:rFonts w:hint="eastAsia" w:ascii="黑体" w:hAnsi="黑体" w:eastAsia="黑体" w:cs="黑体"/>
          <w:sz w:val="32"/>
          <w:szCs w:val="32"/>
        </w:rPr>
      </w:pPr>
      <w:r>
        <w:rPr>
          <w:rFonts w:hint="eastAsia" w:ascii="黑体" w:hAnsi="黑体" w:eastAsia="黑体" w:cs="黑体"/>
          <w:sz w:val="32"/>
          <w:szCs w:val="32"/>
        </w:rPr>
        <w:t>第三部分　</w:t>
      </w:r>
      <w:r>
        <w:rPr>
          <w:rFonts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年度</w:t>
      </w:r>
      <w:r>
        <w:rPr>
          <w:rFonts w:hint="eastAsia" w:ascii="黑体" w:hAnsi="黑体" w:eastAsia="黑体" w:cs="黑体"/>
          <w:sz w:val="32"/>
          <w:szCs w:val="32"/>
          <w:lang w:val="en-US" w:eastAsia="zh-CN"/>
        </w:rPr>
        <w:t>单位</w:t>
      </w:r>
      <w:r>
        <w:rPr>
          <w:rFonts w:hint="eastAsia" w:ascii="黑体" w:hAnsi="黑体" w:eastAsia="黑体" w:cs="黑体"/>
          <w:sz w:val="32"/>
          <w:szCs w:val="32"/>
        </w:rPr>
        <w:t>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一、收入支出决算总体情况说明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二、收入决算情况说明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三、支出决算情况说明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四、财政拨款收入支出决算总体情况说明</w:t>
      </w:r>
    </w:p>
    <w:p>
      <w:pPr>
        <w:ind w:firstLine="640" w:firstLineChars="200"/>
        <w:jc w:val="left"/>
        <w:rPr>
          <w:rFonts w:hint="eastAsia" w:ascii="宋体" w:hAnsi="宋体" w:cs="宋体"/>
          <w:sz w:val="32"/>
          <w:szCs w:val="32"/>
        </w:rPr>
      </w:pPr>
      <w:r>
        <w:rPr>
          <w:rFonts w:hint="eastAsia" w:ascii="宋体" w:hAnsi="宋体" w:cs="宋体"/>
          <w:sz w:val="32"/>
          <w:szCs w:val="32"/>
        </w:rPr>
        <w:t>五、一般公共预算财政拨款支出决算情况说明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六、一般公共预算财政拨款基本支出决算情况说明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七、政府性基金预算财政拨款支出决算情况说明</w:t>
      </w:r>
    </w:p>
    <w:p>
      <w:pPr>
        <w:ind w:firstLine="640" w:firstLineChars="200"/>
        <w:jc w:val="left"/>
        <w:rPr>
          <w:rFonts w:ascii="宋体" w:hAnsi="宋体" w:cs="宋体"/>
          <w:sz w:val="32"/>
          <w:szCs w:val="32"/>
        </w:rPr>
      </w:pPr>
      <w:r>
        <w:rPr>
          <w:rFonts w:hint="eastAsia" w:ascii="宋体" w:hAnsi="宋体" w:cs="宋体"/>
          <w:sz w:val="32"/>
          <w:szCs w:val="32"/>
        </w:rPr>
        <w:t>八、国有资本</w:t>
      </w:r>
      <w:r>
        <w:rPr>
          <w:rFonts w:ascii="宋体" w:hAnsi="宋体" w:cs="宋体"/>
          <w:sz w:val="32"/>
          <w:szCs w:val="32"/>
        </w:rPr>
        <w:t>经营</w:t>
      </w:r>
      <w:r>
        <w:rPr>
          <w:rFonts w:hint="eastAsia" w:ascii="宋体" w:hAnsi="宋体" w:cs="宋体"/>
          <w:sz w:val="32"/>
          <w:szCs w:val="32"/>
        </w:rPr>
        <w:t>预算财政拨款支出决算情况说明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九、财政拨款“三公”经费支出决算情况说明</w:t>
      </w:r>
    </w:p>
    <w:p>
      <w:pPr>
        <w:ind w:firstLine="640" w:firstLineChars="200"/>
        <w:jc w:val="left"/>
        <w:rPr>
          <w:rFonts w:hint="eastAsia" w:ascii="宋体" w:hAnsi="宋体" w:cs="宋体"/>
          <w:sz w:val="32"/>
          <w:szCs w:val="32"/>
        </w:rPr>
      </w:pPr>
      <w:r>
        <w:rPr>
          <w:rFonts w:hint="eastAsia" w:ascii="宋体" w:hAnsi="宋体" w:cs="宋体"/>
          <w:sz w:val="32"/>
          <w:szCs w:val="32"/>
        </w:rPr>
        <w:t>十、机关运行经费支出情况说明</w:t>
      </w:r>
    </w:p>
    <w:p>
      <w:pPr>
        <w:ind w:firstLine="640" w:firstLineChars="200"/>
        <w:jc w:val="left"/>
        <w:rPr>
          <w:rFonts w:hint="eastAsia" w:ascii="宋体" w:hAnsi="宋体" w:cs="宋体"/>
          <w:sz w:val="32"/>
          <w:szCs w:val="32"/>
        </w:rPr>
      </w:pPr>
      <w:r>
        <w:rPr>
          <w:rFonts w:hint="eastAsia" w:ascii="宋体" w:hAnsi="宋体" w:cs="宋体"/>
          <w:sz w:val="32"/>
          <w:szCs w:val="32"/>
        </w:rPr>
        <w:t>十一、政府采购支出情况说明</w:t>
      </w:r>
    </w:p>
    <w:p>
      <w:pPr>
        <w:ind w:firstLine="640" w:firstLineChars="200"/>
        <w:jc w:val="left"/>
        <w:rPr>
          <w:rFonts w:ascii="宋体" w:hAnsi="宋体" w:cs="宋体"/>
          <w:sz w:val="32"/>
          <w:szCs w:val="32"/>
        </w:rPr>
      </w:pPr>
      <w:r>
        <w:rPr>
          <w:rFonts w:hint="eastAsia" w:ascii="宋体" w:hAnsi="宋体" w:cs="宋体"/>
          <w:sz w:val="32"/>
          <w:szCs w:val="32"/>
        </w:rPr>
        <w:t>十二、国有资产占用情况说明</w:t>
      </w:r>
    </w:p>
    <w:p>
      <w:pPr>
        <w:ind w:firstLine="640" w:firstLineChars="200"/>
        <w:jc w:val="left"/>
        <w:rPr>
          <w:rFonts w:hint="eastAsia" w:ascii="宋体" w:hAnsi="宋体" w:cs="宋体"/>
          <w:sz w:val="32"/>
          <w:szCs w:val="32"/>
        </w:rPr>
      </w:pPr>
      <w:r>
        <w:rPr>
          <w:rFonts w:hint="eastAsia" w:ascii="宋体" w:hAnsi="宋体" w:cs="宋体"/>
          <w:sz w:val="32"/>
          <w:szCs w:val="32"/>
        </w:rPr>
        <w:t>十三、预算绩效情况说明</w:t>
      </w:r>
    </w:p>
    <w:p>
      <w:pPr>
        <w:jc w:val="left"/>
        <w:rPr>
          <w:rFonts w:hint="eastAsia" w:ascii="黑体" w:hAnsi="黑体" w:eastAsia="黑体" w:cs="黑体"/>
          <w:sz w:val="32"/>
          <w:szCs w:val="32"/>
        </w:rPr>
      </w:pPr>
      <w:r>
        <w:rPr>
          <w:rFonts w:hint="eastAsia" w:ascii="黑体" w:hAnsi="黑体" w:eastAsia="黑体" w:cs="黑体"/>
          <w:sz w:val="32"/>
          <w:szCs w:val="32"/>
        </w:rPr>
        <w:t>第四部分　　名词解释</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center"/>
        <w:outlineLvl w:val="0"/>
        <w:rPr>
          <w:rFonts w:hint="eastAsia" w:ascii="黑体" w:hAnsi="宋体" w:eastAsia="黑体" w:cs="宋体"/>
          <w:kern w:val="0"/>
          <w:sz w:val="28"/>
          <w:szCs w:val="28"/>
        </w:rPr>
      </w:pPr>
      <w:r>
        <w:rPr>
          <w:rFonts w:hint="eastAsia" w:ascii="黑体" w:hAnsi="黑体" w:eastAsia="黑体" w:cs="黑体"/>
          <w:sz w:val="48"/>
          <w:szCs w:val="48"/>
        </w:rPr>
        <w:t xml:space="preserve">第一部分  </w:t>
      </w:r>
      <w:r>
        <w:rPr>
          <w:rFonts w:hint="eastAsia" w:ascii="黑体" w:hAnsi="黑体" w:eastAsia="黑体" w:cs="黑体"/>
          <w:sz w:val="52"/>
          <w:szCs w:val="52"/>
        </w:rPr>
        <w:t>信阳市第四高级中学</w:t>
      </w:r>
      <w:r>
        <w:rPr>
          <w:rFonts w:hint="eastAsia" w:ascii="黑体" w:hAnsi="黑体" w:eastAsia="黑体" w:cs="黑体"/>
          <w:sz w:val="48"/>
          <w:szCs w:val="48"/>
        </w:rPr>
        <w:t>概况</w:t>
      </w:r>
    </w:p>
    <w:p>
      <w:pPr>
        <w:widowControl/>
        <w:ind w:firstLine="640" w:firstLineChars="200"/>
        <w:jc w:val="left"/>
        <w:outlineLvl w:val="1"/>
        <w:rPr>
          <w:rFonts w:ascii="黑体" w:hAnsi="黑体" w:eastAsia="黑体" w:cs="黑体"/>
          <w:kern w:val="0"/>
          <w:sz w:val="32"/>
          <w:szCs w:val="32"/>
        </w:rPr>
      </w:pP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一、单位</w:t>
      </w:r>
      <w:r>
        <w:rPr>
          <w:rFonts w:hint="eastAsia" w:ascii="黑体" w:hAnsi="黑体" w:eastAsia="黑体" w:cs="黑体"/>
          <w:bCs/>
          <w:sz w:val="32"/>
          <w:szCs w:val="32"/>
        </w:rPr>
        <w:t>职责</w:t>
      </w:r>
    </w:p>
    <w:p>
      <w:pPr>
        <w:widowControl/>
        <w:ind w:firstLine="640" w:firstLineChars="200"/>
        <w:jc w:val="left"/>
        <w:outlineLvl w:val="1"/>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信阳市第四高级中学是财政补助事业单位。主要负责高中教育阶段中学生教育，及教师业绩考核，职称评聘，并对上级拨付的公用经费进行调配使用。</w:t>
      </w:r>
    </w:p>
    <w:p>
      <w:pPr>
        <w:widowControl/>
        <w:ind w:firstLine="640" w:firstLineChars="200"/>
        <w:jc w:val="left"/>
        <w:outlineLvl w:val="1"/>
        <w:rPr>
          <w:rFonts w:hint="eastAsia" w:ascii="黑体" w:hAnsi="黑体" w:eastAsia="黑体" w:cs="黑体"/>
          <w:kern w:val="0"/>
          <w:sz w:val="32"/>
          <w:szCs w:val="32"/>
        </w:rPr>
      </w:pPr>
      <w:r>
        <w:rPr>
          <w:rFonts w:hint="eastAsia" w:ascii="黑体" w:hAnsi="黑体" w:eastAsia="黑体" w:cs="黑体"/>
          <w:kern w:val="0"/>
          <w:sz w:val="32"/>
          <w:szCs w:val="32"/>
        </w:rPr>
        <w:t>二、机构设置</w:t>
      </w:r>
    </w:p>
    <w:p>
      <w:pPr>
        <w:widowControl/>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信阳市第四高级中学内设机构7个，包括：</w:t>
      </w:r>
      <w:r>
        <w:rPr>
          <w:rFonts w:hint="eastAsia" w:ascii="仿宋_GB2312" w:eastAsia="仿宋_GB2312"/>
          <w:sz w:val="32"/>
          <w:szCs w:val="32"/>
        </w:rPr>
        <w:t>办公室、总务处、教务处、政教处、团委办、工会办、教科研室。</w:t>
      </w:r>
    </w:p>
    <w:p>
      <w:pPr>
        <w:adjustRightInd w:val="0"/>
        <w:snapToGrid w:val="0"/>
        <w:spacing w:line="560" w:lineRule="exact"/>
        <w:ind w:firstLine="640" w:firstLineChars="200"/>
        <w:jc w:val="left"/>
        <w:rPr>
          <w:rFonts w:hint="eastAsia" w:ascii="黑体" w:hAnsi="宋体" w:eastAsia="黑体" w:cs="宋体"/>
          <w:kern w:val="0"/>
          <w:sz w:val="28"/>
          <w:szCs w:val="28"/>
        </w:rPr>
        <w:sectPr>
          <w:footerReference r:id="rId3" w:type="default"/>
          <w:footerReference r:id="rId4" w:type="even"/>
          <w:pgSz w:w="11906" w:h="16838"/>
          <w:pgMar w:top="1440" w:right="1800" w:bottom="1440" w:left="1800" w:header="720" w:footer="720" w:gutter="0"/>
          <w:pgNumType w:fmt="numberInDash"/>
          <w:cols w:space="720" w:num="1"/>
          <w:docGrid w:type="lines" w:linePitch="312" w:charSpace="0"/>
        </w:sectPr>
      </w:pPr>
      <w:r>
        <w:rPr>
          <w:rFonts w:hint="eastAsia" w:ascii="仿宋" w:hAnsi="仿宋" w:eastAsia="仿宋" w:cs="宋体"/>
          <w:kern w:val="0"/>
          <w:sz w:val="32"/>
          <w:szCs w:val="32"/>
        </w:rPr>
        <w:t>此次公开的决算“无下属机构及其他决算单位”仅有本单位决算。</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第二部分  202</w:t>
      </w:r>
      <w:r>
        <w:rPr>
          <w:rFonts w:hint="eastAsia" w:ascii="黑体" w:hAnsi="黑体" w:eastAsia="黑体" w:cs="黑体"/>
          <w:sz w:val="48"/>
          <w:szCs w:val="48"/>
          <w:lang w:val="en-US" w:eastAsia="zh-CN"/>
        </w:rPr>
        <w:t>4</w:t>
      </w:r>
      <w:r>
        <w:rPr>
          <w:rFonts w:hint="eastAsia" w:ascii="黑体" w:hAnsi="黑体" w:eastAsia="黑体" w:cs="黑体"/>
          <w:sz w:val="48"/>
          <w:szCs w:val="48"/>
        </w:rPr>
        <w:t>年度</w:t>
      </w:r>
      <w:r>
        <w:rPr>
          <w:rFonts w:hint="eastAsia" w:ascii="黑体" w:hAnsi="黑体" w:eastAsia="黑体" w:cs="黑体"/>
          <w:sz w:val="48"/>
          <w:szCs w:val="48"/>
          <w:lang w:val="en-US" w:eastAsia="zh-CN"/>
        </w:rPr>
        <w:t>单位</w:t>
      </w:r>
      <w:r>
        <w:rPr>
          <w:rFonts w:hint="eastAsia" w:ascii="黑体" w:hAnsi="黑体" w:eastAsia="黑体" w:cs="黑体"/>
          <w:sz w:val="48"/>
          <w:szCs w:val="48"/>
        </w:rPr>
        <w:t>决算表</w:t>
      </w:r>
    </w:p>
    <w:p>
      <w:pPr>
        <w:widowControl/>
        <w:jc w:val="left"/>
        <w:rPr>
          <w:rFonts w:hint="eastAsia" w:ascii="黑体" w:hAnsi="宋体" w:eastAsia="黑体" w:cs="宋体"/>
          <w:kern w:val="0"/>
          <w:sz w:val="28"/>
          <w:szCs w:val="28"/>
        </w:rPr>
      </w:pPr>
    </w:p>
    <w:p>
      <w:pPr>
        <w:widowControl/>
        <w:jc w:val="left"/>
        <w:rPr>
          <w:rFonts w:hint="eastAsia" w:ascii="黑体" w:hAnsi="宋体" w:eastAsia="黑体" w:cs="宋体"/>
          <w:kern w:val="0"/>
          <w:sz w:val="28"/>
          <w:szCs w:val="28"/>
        </w:rPr>
        <w:sectPr>
          <w:footerReference r:id="rId5" w:type="default"/>
          <w:footerReference r:id="rId6" w:type="even"/>
          <w:pgSz w:w="11906" w:h="16838"/>
          <w:pgMar w:top="1440" w:right="1800" w:bottom="1440" w:left="1800" w:header="720" w:footer="720" w:gutter="0"/>
          <w:pgNumType w:fmt="numberInDash"/>
          <w:cols w:space="720" w:num="1"/>
          <w:docGrid w:type="lines" w:linePitch="312" w:charSpace="0"/>
        </w:sectPr>
      </w:pPr>
    </w:p>
    <w:p>
      <w:pPr>
        <w:rPr>
          <w:rFonts w:hint="eastAsia" w:ascii="仿宋_GB2312" w:hAnsi="仿宋_GB2312" w:eastAsia="仿宋_GB2312" w:cs="仿宋_GB2312"/>
          <w:sz w:val="32"/>
          <w:szCs w:val="32"/>
        </w:rPr>
      </w:pPr>
    </w:p>
    <w:tbl>
      <w:tblPr>
        <w:tblStyle w:val="5"/>
        <w:tblW w:w="0" w:type="auto"/>
        <w:tblInd w:w="0" w:type="dxa"/>
        <w:tblLayout w:type="fixed"/>
        <w:tblCellMar>
          <w:top w:w="0" w:type="dxa"/>
          <w:left w:w="0" w:type="dxa"/>
          <w:bottom w:w="0" w:type="dxa"/>
          <w:right w:w="0" w:type="dxa"/>
        </w:tblCellMar>
      </w:tblPr>
      <w:tblGrid>
        <w:gridCol w:w="4242"/>
        <w:gridCol w:w="818"/>
        <w:gridCol w:w="1749"/>
        <w:gridCol w:w="4631"/>
        <w:gridCol w:w="744"/>
        <w:gridCol w:w="1684"/>
      </w:tblGrid>
      <w:tr>
        <w:tblPrEx>
          <w:tblCellMar>
            <w:top w:w="0" w:type="dxa"/>
            <w:left w:w="0" w:type="dxa"/>
            <w:bottom w:w="0" w:type="dxa"/>
            <w:right w:w="0" w:type="dxa"/>
          </w:tblCellMar>
        </w:tblPrEx>
        <w:trPr>
          <w:trHeight w:val="282" w:hRule="atLeast"/>
        </w:trPr>
        <w:tc>
          <w:tcPr>
            <w:tcW w:w="13868" w:type="dxa"/>
            <w:gridSpan w:val="6"/>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收入支出决算总表</w:t>
            </w:r>
          </w:p>
        </w:tc>
      </w:tr>
      <w:tr>
        <w:tblPrEx>
          <w:tblCellMar>
            <w:top w:w="0" w:type="dxa"/>
            <w:left w:w="0" w:type="dxa"/>
            <w:bottom w:w="0" w:type="dxa"/>
            <w:right w:w="0" w:type="dxa"/>
          </w:tblCellMar>
        </w:tblPrEx>
        <w:trPr>
          <w:trHeight w:val="156" w:hRule="atLeast"/>
        </w:trPr>
        <w:tc>
          <w:tcPr>
            <w:tcW w:w="4242"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818"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4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463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744"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684"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公开01表</w:t>
            </w:r>
          </w:p>
        </w:tc>
      </w:tr>
      <w:tr>
        <w:tblPrEx>
          <w:tblCellMar>
            <w:top w:w="0" w:type="dxa"/>
            <w:left w:w="0" w:type="dxa"/>
            <w:bottom w:w="0" w:type="dxa"/>
            <w:right w:w="0" w:type="dxa"/>
          </w:tblCellMar>
        </w:tblPrEx>
        <w:trPr>
          <w:trHeight w:val="235" w:hRule="atLeast"/>
        </w:trPr>
        <w:tc>
          <w:tcPr>
            <w:tcW w:w="4242"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单位：信阳市第四高级中学</w:t>
            </w:r>
          </w:p>
        </w:tc>
        <w:tc>
          <w:tcPr>
            <w:tcW w:w="818"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4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463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744"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684"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344" w:hRule="atLeast"/>
        </w:trPr>
        <w:tc>
          <w:tcPr>
            <w:tcW w:w="6809" w:type="dxa"/>
            <w:gridSpan w:val="3"/>
            <w:tcBorders>
              <w:top w:val="single" w:color="000000" w:sz="8"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收入</w:t>
            </w:r>
          </w:p>
        </w:tc>
        <w:tc>
          <w:tcPr>
            <w:tcW w:w="7059" w:type="dxa"/>
            <w:gridSpan w:val="3"/>
            <w:tcBorders>
              <w:top w:val="single" w:color="000000" w:sz="8"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支出</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    目</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7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    目</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行次</w:t>
            </w:r>
          </w:p>
        </w:tc>
        <w:tc>
          <w:tcPr>
            <w:tcW w:w="1684"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决算数</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栏    次</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sz w:val="20"/>
                <w:szCs w:val="20"/>
              </w:rPr>
            </w:pPr>
          </w:p>
        </w:tc>
        <w:tc>
          <w:tcPr>
            <w:tcW w:w="17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栏    次</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color w:val="000000"/>
                <w:sz w:val="20"/>
                <w:szCs w:val="20"/>
              </w:rPr>
            </w:pPr>
          </w:p>
        </w:tc>
        <w:tc>
          <w:tcPr>
            <w:tcW w:w="1684"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一、一般公共预算财政拨款收入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w:t>
            </w:r>
          </w:p>
        </w:tc>
        <w:tc>
          <w:tcPr>
            <w:tcW w:w="17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3907.96</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一、一般公共服务支出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13</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二、政府性基金预算财政拨款收入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二、外交支出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14</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三、国有资本经营预算财政拨款收入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三、国防支出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15</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四、上级补助收入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四、公共安全支出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16</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五、事业收入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lang w:val="en-US" w:eastAsia="zh-CN"/>
              </w:rPr>
            </w:pPr>
            <w:r>
              <w:rPr>
                <w:rFonts w:hint="eastAsia" w:ascii="宋体" w:hAnsi="宋体" w:eastAsia="宋体" w:cs="宋体"/>
                <w:sz w:val="22"/>
                <w:lang w:val="en-US" w:eastAsia="zh-CN"/>
              </w:rPr>
              <w:t>322.48</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五、教育支出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17</w:t>
            </w:r>
          </w:p>
        </w:tc>
        <w:tc>
          <w:tcPr>
            <w:tcW w:w="1684"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rPr>
              <w:t>3194.55</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六、经营收入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六、科学技术支出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18</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七、附属单位上缴收入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sz w:val="20"/>
                <w:szCs w:val="20"/>
              </w:rPr>
              <w:t>七、文化旅游体育与传媒支出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19</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八、其他收入</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w:t>
            </w:r>
          </w:p>
        </w:tc>
        <w:tc>
          <w:tcPr>
            <w:tcW w:w="17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51.09</w:t>
            </w:r>
          </w:p>
        </w:tc>
        <w:tc>
          <w:tcPr>
            <w:tcW w:w="463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sz w:val="20"/>
                <w:szCs w:val="20"/>
              </w:rPr>
              <w:t>八、社会保障和就业支出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w:t>
            </w:r>
          </w:p>
        </w:tc>
        <w:tc>
          <w:tcPr>
            <w:tcW w:w="1684" w:type="dxa"/>
            <w:tcBorders>
              <w:top w:val="single" w:color="000000" w:sz="4" w:space="0"/>
              <w:left w:val="single" w:color="000000" w:sz="4" w:space="0"/>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rPr>
              <w:t>264.31</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FFFFFF"/>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sz w:val="20"/>
                <w:szCs w:val="20"/>
              </w:rPr>
              <w:t>九、卫生健康支出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21</w:t>
            </w:r>
          </w:p>
        </w:tc>
        <w:tc>
          <w:tcPr>
            <w:tcW w:w="1684" w:type="dxa"/>
            <w:tcBorders>
              <w:top w:val="single" w:color="000000" w:sz="4" w:space="0"/>
              <w:left w:val="single" w:color="000000" w:sz="4" w:space="0"/>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十、节能环保支出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22</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十一、城乡社区支出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23</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十二、农林水支出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24</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十三、交通运输支出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十四、资源勘探工业信息等支出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26</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十五、商业服务业等支出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27</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十六、金融支出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28</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十七、援助其他地区支出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29</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十八、自然资源海洋气象等支出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30</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r>
              <w:rPr>
                <w:rFonts w:hint="eastAsia" w:ascii="宋体" w:hAnsi="宋体" w:eastAsia="宋体" w:cs="宋体"/>
                <w:sz w:val="20"/>
                <w:szCs w:val="20"/>
              </w:rPr>
              <w:t>十九、住房保障支出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31</w:t>
            </w:r>
          </w:p>
        </w:tc>
        <w:tc>
          <w:tcPr>
            <w:tcW w:w="1684" w:type="dxa"/>
            <w:tcBorders>
              <w:top w:val="single" w:color="000000" w:sz="4" w:space="0"/>
              <w:left w:val="nil"/>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rPr>
              <w:t>247.57</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二十、粮油物资储备支出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32</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二十一、国有资本经营预算支出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33</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二十二、灾害防治及应急管理支出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34</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二十三、其他支出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35</w:t>
            </w:r>
          </w:p>
        </w:tc>
        <w:tc>
          <w:tcPr>
            <w:tcW w:w="1684" w:type="dxa"/>
            <w:tcBorders>
              <w:top w:val="single" w:color="000000" w:sz="4" w:space="0"/>
              <w:left w:val="nil"/>
              <w:bottom w:val="single" w:color="000000" w:sz="4" w:space="0"/>
              <w:right w:val="single" w:color="000000" w:sz="8"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rPr>
              <w:t>575.1</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二十四、债务还本支出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36</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二十五、债务付息支出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37</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color w:val="000000"/>
                <w:sz w:val="20"/>
                <w:szCs w:val="20"/>
              </w:rPr>
            </w:pP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left"/>
              <w:rPr>
                <w:rFonts w:hint="eastAsia" w:ascii="宋体" w:hAnsi="宋体" w:eastAsia="宋体" w:cs="宋体"/>
                <w:sz w:val="20"/>
                <w:szCs w:val="20"/>
              </w:rPr>
            </w:pPr>
            <w:r>
              <w:rPr>
                <w:rFonts w:hint="eastAsia" w:ascii="宋体" w:hAnsi="宋体" w:eastAsia="宋体" w:cs="宋体"/>
                <w:sz w:val="20"/>
                <w:szCs w:val="20"/>
              </w:rPr>
              <w:t>二十六、抗疫特别国债安排的支出</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38</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0.00</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本年收入合计</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w:t>
            </w:r>
          </w:p>
        </w:tc>
        <w:tc>
          <w:tcPr>
            <w:tcW w:w="174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4281.53</w:t>
            </w: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本年支出合计</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39</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ascii="宋体" w:hAnsi="宋体" w:eastAsia="宋体" w:cs="宋体"/>
                <w:sz w:val="22"/>
              </w:rPr>
              <w:t>4281.53</w:t>
            </w: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使用非财政拨款结余</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结余分配</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40</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年初结转和结余</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11</w:t>
            </w:r>
          </w:p>
        </w:tc>
        <w:tc>
          <w:tcPr>
            <w:tcW w:w="174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right"/>
              <w:rPr>
                <w:rFonts w:hint="eastAsia" w:ascii="宋体" w:hAnsi="宋体" w:eastAsia="宋体" w:cs="宋体"/>
                <w:sz w:val="22"/>
              </w:rPr>
            </w:pPr>
          </w:p>
        </w:tc>
        <w:tc>
          <w:tcPr>
            <w:tcW w:w="463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widowControl/>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 xml:space="preserve">                年末结转和结余</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41</w:t>
            </w:r>
          </w:p>
        </w:tc>
        <w:tc>
          <w:tcPr>
            <w:tcW w:w="1684" w:type="dxa"/>
            <w:tcBorders>
              <w:top w:val="single" w:color="000000" w:sz="4" w:space="0"/>
              <w:left w:val="nil"/>
              <w:bottom w:val="single" w:color="000000" w:sz="4"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p>
        </w:tc>
      </w:tr>
      <w:tr>
        <w:tblPrEx>
          <w:tblCellMar>
            <w:top w:w="0" w:type="dxa"/>
            <w:left w:w="0" w:type="dxa"/>
            <w:bottom w:w="0" w:type="dxa"/>
            <w:right w:w="0" w:type="dxa"/>
          </w:tblCellMar>
        </w:tblPrEx>
        <w:trPr>
          <w:trHeight w:val="344" w:hRule="atLeast"/>
        </w:trPr>
        <w:tc>
          <w:tcPr>
            <w:tcW w:w="4242" w:type="dxa"/>
            <w:tcBorders>
              <w:top w:val="single" w:color="000000" w:sz="4" w:space="0"/>
              <w:left w:val="single" w:color="000000" w:sz="8"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81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w:t>
            </w:r>
          </w:p>
        </w:tc>
        <w:tc>
          <w:tcPr>
            <w:tcW w:w="1749" w:type="dxa"/>
            <w:tcBorders>
              <w:top w:val="single" w:color="000000" w:sz="4" w:space="0"/>
              <w:left w:val="single" w:color="000000" w:sz="4" w:space="0"/>
              <w:bottom w:val="single" w:color="000000" w:sz="8"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4281.53</w:t>
            </w:r>
          </w:p>
        </w:tc>
        <w:tc>
          <w:tcPr>
            <w:tcW w:w="4631" w:type="dxa"/>
            <w:tcBorders>
              <w:top w:val="single" w:color="000000" w:sz="4" w:space="0"/>
              <w:left w:val="single" w:color="000000" w:sz="4" w:space="0"/>
              <w:bottom w:val="single" w:color="000000" w:sz="8" w:space="0"/>
              <w:right w:val="nil"/>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总计</w:t>
            </w:r>
          </w:p>
        </w:tc>
        <w:tc>
          <w:tcPr>
            <w:tcW w:w="74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42</w:t>
            </w:r>
          </w:p>
        </w:tc>
        <w:tc>
          <w:tcPr>
            <w:tcW w:w="1684" w:type="dxa"/>
            <w:tcBorders>
              <w:top w:val="single" w:color="000000" w:sz="4" w:space="0"/>
              <w:left w:val="nil"/>
              <w:bottom w:val="single" w:color="000000" w:sz="8" w:space="0"/>
              <w:right w:val="single" w:color="000000" w:sz="8" w:space="0"/>
            </w:tcBorders>
            <w:noWrap/>
            <w:tcMar>
              <w:top w:w="15" w:type="dxa"/>
              <w:left w:w="15" w:type="dxa"/>
              <w:right w:w="15" w:type="dxa"/>
            </w:tcMar>
            <w:vAlign w:val="center"/>
          </w:tcPr>
          <w:p>
            <w:pPr>
              <w:jc w:val="right"/>
              <w:rPr>
                <w:rFonts w:hint="eastAsia" w:ascii="宋体" w:hAnsi="宋体" w:eastAsia="宋体" w:cs="宋体"/>
                <w:sz w:val="22"/>
              </w:rPr>
            </w:pPr>
            <w:r>
              <w:rPr>
                <w:rFonts w:hint="eastAsia"/>
              </w:rPr>
              <w:t>4281.53</w:t>
            </w:r>
          </w:p>
        </w:tc>
      </w:tr>
      <w:tr>
        <w:tblPrEx>
          <w:tblCellMar>
            <w:top w:w="0" w:type="dxa"/>
            <w:left w:w="0" w:type="dxa"/>
            <w:bottom w:w="0" w:type="dxa"/>
            <w:right w:w="0" w:type="dxa"/>
          </w:tblCellMar>
        </w:tblPrEx>
        <w:trPr>
          <w:trHeight w:val="458" w:hRule="atLeast"/>
        </w:trPr>
        <w:tc>
          <w:tcPr>
            <w:tcW w:w="13868" w:type="dxa"/>
            <w:gridSpan w:val="6"/>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注：本表反映单位本年度的总收支和年末结转结余情况。本表金额转换为万元时，因四舍五入可能存在尾差。</w:t>
            </w: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rPr>
          <w:rFonts w:hint="eastAsia" w:ascii="仿宋_GB2312" w:hAnsi="仿宋_GB2312" w:eastAsia="仿宋_GB2312" w:cs="仿宋_GB2312"/>
          <w:sz w:val="32"/>
          <w:szCs w:val="32"/>
        </w:rPr>
      </w:pPr>
    </w:p>
    <w:tbl>
      <w:tblPr>
        <w:tblStyle w:val="5"/>
        <w:tblW w:w="19320" w:type="dxa"/>
        <w:tblInd w:w="0" w:type="dxa"/>
        <w:tblLayout w:type="fixed"/>
        <w:tblCellMar>
          <w:top w:w="0" w:type="dxa"/>
          <w:left w:w="0" w:type="dxa"/>
          <w:bottom w:w="0" w:type="dxa"/>
          <w:right w:w="0" w:type="dxa"/>
        </w:tblCellMar>
      </w:tblPr>
      <w:tblGrid>
        <w:gridCol w:w="990"/>
        <w:gridCol w:w="1575"/>
        <w:gridCol w:w="1485"/>
        <w:gridCol w:w="1350"/>
        <w:gridCol w:w="1350"/>
        <w:gridCol w:w="1155"/>
        <w:gridCol w:w="1335"/>
        <w:gridCol w:w="1230"/>
        <w:gridCol w:w="1395"/>
        <w:gridCol w:w="1710"/>
        <w:gridCol w:w="270"/>
      </w:tblGrid>
      <w:tr>
        <w:tblPrEx>
          <w:tblCellMar>
            <w:top w:w="0" w:type="dxa"/>
            <w:left w:w="0" w:type="dxa"/>
            <w:bottom w:w="0" w:type="dxa"/>
            <w:right w:w="0" w:type="dxa"/>
          </w:tblCellMar>
        </w:tblPrEx>
        <w:trPr>
          <w:trHeight w:val="435" w:hRule="atLeast"/>
        </w:trPr>
        <w:tc>
          <w:tcPr>
            <w:tcW w:w="13845" w:type="dxa"/>
            <w:gridSpan w:val="11"/>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2565" w:type="dxa"/>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48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本年收入合计</w:t>
            </w:r>
          </w:p>
        </w:tc>
        <w:tc>
          <w:tcPr>
            <w:tcW w:w="135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财政拨款收入</w:t>
            </w:r>
          </w:p>
        </w:tc>
        <w:tc>
          <w:tcPr>
            <w:tcW w:w="135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上级补助收入</w:t>
            </w:r>
          </w:p>
        </w:tc>
        <w:tc>
          <w:tcPr>
            <w:tcW w:w="2490" w:type="dxa"/>
            <w:gridSpan w:val="2"/>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事业收入</w:t>
            </w:r>
          </w:p>
        </w:tc>
        <w:tc>
          <w:tcPr>
            <w:tcW w:w="123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经营收入</w:t>
            </w:r>
          </w:p>
        </w:tc>
        <w:tc>
          <w:tcPr>
            <w:tcW w:w="139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附属单位上缴收入</w:t>
            </w:r>
          </w:p>
        </w:tc>
        <w:tc>
          <w:tcPr>
            <w:tcW w:w="1710" w:type="dxa"/>
            <w:vMerge w:val="restart"/>
            <w:tcBorders>
              <w:top w:val="single" w:color="D4D4D4" w:sz="4" w:space="0"/>
              <w:left w:val="single" w:color="D4D4D4" w:sz="4" w:space="0"/>
              <w:bottom w:val="single" w:color="D4D4D4" w:sz="4" w:space="0"/>
              <w:right w:val="single" w:color="D4D4D4" w:sz="12"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99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支出功能分类科目代码</w:t>
            </w:r>
          </w:p>
        </w:tc>
        <w:tc>
          <w:tcPr>
            <w:tcW w:w="0" w:type="auto"/>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48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5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1335"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其中：教育收费</w:t>
            </w:r>
          </w:p>
        </w:tc>
        <w:tc>
          <w:tcPr>
            <w:tcW w:w="12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1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8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1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99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48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5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15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3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23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395"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71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48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35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5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5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33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3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395"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710" w:type="dxa"/>
            <w:tcBorders>
              <w:top w:val="single" w:color="D4D4D4" w:sz="4" w:space="0"/>
              <w:left w:val="single" w:color="D4D4D4" w:sz="4" w:space="0"/>
              <w:bottom w:val="single" w:color="D4D4D4" w:sz="4" w:space="0"/>
              <w:right w:val="single" w:color="D4D4D4" w:sz="12"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gridSpan w:val="2"/>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4,281.53</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3,907.96</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322.48</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322.48</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2050203</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初中教育</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2050204</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高中教育</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2050999</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其他教育费附加安排的支出</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2210302</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住房公积金管理</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270" w:type="dxa"/>
          <w:trHeight w:val="300" w:hRule="atLeast"/>
        </w:trPr>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57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575.10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322.48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322.48</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0" w:type="auto"/>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51.09</w:t>
            </w:r>
          </w:p>
        </w:tc>
      </w:tr>
    </w:tbl>
    <w:p>
      <w:pPr>
        <w:rPr>
          <w:rFonts w:hint="eastAsia" w:ascii="仿宋_GB2312" w:hAnsi="仿宋_GB2312" w:eastAsia="仿宋_GB2312" w:cs="仿宋_GB2312"/>
          <w:sz w:val="32"/>
          <w:szCs w:val="32"/>
          <w:lang w:eastAsia="zh-CN"/>
        </w:rPr>
        <w:sectPr>
          <w:pgSz w:w="16838" w:h="11906" w:orient="landscape"/>
          <w:pgMar w:top="1800" w:right="1440" w:bottom="1800" w:left="1440" w:header="720" w:footer="720" w:gutter="0"/>
          <w:pgNumType w:fmt="numberInDash"/>
          <w:cols w:space="720" w:num="1"/>
          <w:docGrid w:type="lines" w:linePitch="312" w:charSpace="0"/>
        </w:sectPr>
      </w:pPr>
    </w:p>
    <w:tbl>
      <w:tblPr>
        <w:tblStyle w:val="5"/>
        <w:tblW w:w="14994" w:type="dxa"/>
        <w:tblInd w:w="0" w:type="dxa"/>
        <w:tblLayout w:type="fixed"/>
        <w:tblCellMar>
          <w:top w:w="0" w:type="dxa"/>
          <w:left w:w="0" w:type="dxa"/>
          <w:bottom w:w="0" w:type="dxa"/>
          <w:right w:w="0" w:type="dxa"/>
        </w:tblCellMar>
      </w:tblPr>
      <w:tblGrid>
        <w:gridCol w:w="1120"/>
        <w:gridCol w:w="90"/>
        <w:gridCol w:w="1349"/>
        <w:gridCol w:w="966"/>
        <w:gridCol w:w="548"/>
        <w:gridCol w:w="260"/>
        <w:gridCol w:w="984"/>
        <w:gridCol w:w="818"/>
        <w:gridCol w:w="1801"/>
        <w:gridCol w:w="1218"/>
        <w:gridCol w:w="548"/>
        <w:gridCol w:w="36"/>
        <w:gridCol w:w="1136"/>
        <w:gridCol w:w="665"/>
        <w:gridCol w:w="716"/>
        <w:gridCol w:w="1161"/>
        <w:gridCol w:w="572"/>
        <w:gridCol w:w="1006"/>
      </w:tblGrid>
      <w:tr>
        <w:tblPrEx>
          <w:tblCellMar>
            <w:top w:w="0" w:type="dxa"/>
            <w:left w:w="0" w:type="dxa"/>
            <w:bottom w:w="0" w:type="dxa"/>
            <w:right w:w="0" w:type="dxa"/>
          </w:tblCellMar>
        </w:tblPrEx>
        <w:trPr>
          <w:gridAfter w:val="1"/>
          <w:wAfter w:w="1006" w:type="dxa"/>
          <w:trHeight w:val="435" w:hRule="atLeast"/>
        </w:trPr>
        <w:tc>
          <w:tcPr>
            <w:tcW w:w="13988" w:type="dxa"/>
            <w:gridSpan w:val="17"/>
            <w:tcBorders>
              <w:top w:val="nil"/>
              <w:left w:val="nil"/>
              <w:bottom w:val="nil"/>
              <w:right w:val="nil"/>
            </w:tcBorders>
            <w:noWrap/>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支出决算表</w:t>
            </w:r>
          </w:p>
        </w:tc>
      </w:tr>
      <w:tr>
        <w:tblPrEx>
          <w:tblCellMar>
            <w:top w:w="0" w:type="dxa"/>
            <w:left w:w="0" w:type="dxa"/>
            <w:bottom w:w="0" w:type="dxa"/>
            <w:right w:w="0" w:type="dxa"/>
          </w:tblCellMar>
        </w:tblPrEx>
        <w:trPr>
          <w:gridAfter w:val="1"/>
          <w:wAfter w:w="1006" w:type="dxa"/>
          <w:trHeight w:val="285" w:hRule="atLeast"/>
        </w:trPr>
        <w:tc>
          <w:tcPr>
            <w:tcW w:w="112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9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34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74"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2"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449" w:type="dxa"/>
            <w:gridSpan w:val="3"/>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Fonts w:hint="eastAsia" w:ascii="宋体" w:hAnsi="宋体" w:cs="宋体"/>
                <w:color w:val="000000"/>
                <w:kern w:val="0"/>
                <w:sz w:val="20"/>
                <w:szCs w:val="20"/>
                <w:lang w:val="en-US" w:eastAsia="zh-CN" w:bidi="ar"/>
              </w:rPr>
              <w:t>3</w:t>
            </w:r>
            <w:r>
              <w:rPr>
                <w:rFonts w:hint="eastAsia" w:ascii="宋体" w:hAnsi="宋体" w:cs="宋体"/>
                <w:color w:val="000000"/>
                <w:kern w:val="0"/>
                <w:sz w:val="20"/>
                <w:szCs w:val="20"/>
                <w:lang w:bidi="ar"/>
              </w:rPr>
              <w:t>表</w:t>
            </w:r>
          </w:p>
        </w:tc>
      </w:tr>
      <w:tr>
        <w:tblPrEx>
          <w:tblCellMar>
            <w:top w:w="0" w:type="dxa"/>
            <w:left w:w="0" w:type="dxa"/>
            <w:bottom w:w="0" w:type="dxa"/>
            <w:right w:w="0" w:type="dxa"/>
          </w:tblCellMar>
        </w:tblPrEx>
        <w:trPr>
          <w:gridAfter w:val="1"/>
          <w:wAfter w:w="1006" w:type="dxa"/>
          <w:trHeight w:val="300" w:hRule="atLeast"/>
        </w:trPr>
        <w:tc>
          <w:tcPr>
            <w:tcW w:w="1120" w:type="dxa"/>
            <w:tcBorders>
              <w:top w:val="nil"/>
              <w:left w:val="nil"/>
              <w:bottom w:val="nil"/>
              <w:right w:val="nil"/>
            </w:tcBorders>
            <w:shd w:val="clear" w:color="auto" w:fill="FFFFFF"/>
            <w:noWrap/>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w:t>
            </w:r>
          </w:p>
        </w:tc>
        <w:tc>
          <w:tcPr>
            <w:tcW w:w="90"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349" w:type="dxa"/>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774"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2"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tcBorders>
              <w:top w:val="nil"/>
              <w:left w:val="nil"/>
              <w:bottom w:val="nil"/>
              <w:right w:val="nil"/>
            </w:tcBorders>
            <w:shd w:val="clear" w:color="auto" w:fill="FFFFFF"/>
            <w:noWrap/>
            <w:tcMar>
              <w:top w:w="15" w:type="dxa"/>
              <w:left w:w="15" w:type="dxa"/>
              <w:right w:w="15" w:type="dxa"/>
            </w:tcMar>
            <w:vAlign w:val="center"/>
          </w:tcPr>
          <w:p>
            <w:pPr>
              <w:jc w:val="center"/>
              <w:rPr>
                <w:rFonts w:hint="eastAsia" w:ascii="宋体" w:hAnsi="宋体" w:cs="宋体"/>
                <w:color w:val="000000"/>
                <w:sz w:val="20"/>
                <w:szCs w:val="20"/>
              </w:rPr>
            </w:pPr>
          </w:p>
        </w:tc>
        <w:tc>
          <w:tcPr>
            <w:tcW w:w="1802" w:type="dxa"/>
            <w:gridSpan w:val="3"/>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1801" w:type="dxa"/>
            <w:gridSpan w:val="2"/>
            <w:tcBorders>
              <w:top w:val="nil"/>
              <w:left w:val="nil"/>
              <w:bottom w:val="nil"/>
              <w:right w:val="nil"/>
            </w:tcBorders>
            <w:shd w:val="clear" w:color="auto" w:fill="FFFFFF"/>
            <w:noWrap/>
            <w:tcMar>
              <w:top w:w="15" w:type="dxa"/>
              <w:left w:w="15" w:type="dxa"/>
              <w:right w:w="15" w:type="dxa"/>
            </w:tcMar>
            <w:vAlign w:val="center"/>
          </w:tcPr>
          <w:p>
            <w:pPr>
              <w:jc w:val="right"/>
              <w:rPr>
                <w:rFonts w:hint="eastAsia" w:ascii="宋体" w:hAnsi="宋体" w:cs="宋体"/>
                <w:color w:val="000000"/>
                <w:sz w:val="20"/>
                <w:szCs w:val="20"/>
              </w:rPr>
            </w:pPr>
          </w:p>
        </w:tc>
        <w:tc>
          <w:tcPr>
            <w:tcW w:w="2449" w:type="dxa"/>
            <w:gridSpan w:val="3"/>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1006" w:type="dxa"/>
          <w:trHeight w:val="510" w:hRule="atLeast"/>
        </w:trPr>
        <w:tc>
          <w:tcPr>
            <w:tcW w:w="13988" w:type="dxa"/>
            <w:gridSpan w:val="17"/>
            <w:tcBorders>
              <w:top w:val="nil"/>
              <w:left w:val="nil"/>
              <w:bottom w:val="nil"/>
              <w:right w:val="nil"/>
            </w:tcBorders>
            <w:shd w:val="clear" w:color="auto" w:fill="auto"/>
            <w:noWrap/>
            <w:vAlign w:val="center"/>
          </w:tcPr>
          <w:tbl>
            <w:tblPr>
              <w:tblStyle w:val="5"/>
              <w:tblW w:w="13515"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2"/>
              <w:gridCol w:w="222"/>
              <w:gridCol w:w="879"/>
              <w:gridCol w:w="1819"/>
              <w:gridCol w:w="1657"/>
              <w:gridCol w:w="1775"/>
              <w:gridCol w:w="1775"/>
              <w:gridCol w:w="1775"/>
              <w:gridCol w:w="1775"/>
              <w:gridCol w:w="1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835" w:type="dxa"/>
                  <w:gridSpan w:val="4"/>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168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本年支出合计</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上缴上级支出</w:t>
                  </w:r>
                </w:p>
              </w:tc>
              <w:tc>
                <w:tcPr>
                  <w:tcW w:w="1800" w:type="dxa"/>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经营支出</w:t>
                  </w:r>
                </w:p>
              </w:tc>
              <w:tc>
                <w:tcPr>
                  <w:tcW w:w="1800" w:type="dxa"/>
                  <w:vMerge w:val="restart"/>
                  <w:tcBorders>
                    <w:top w:val="single" w:color="D4D4D4" w:sz="4" w:space="0"/>
                    <w:left w:val="single" w:color="D4D4D4" w:sz="4" w:space="0"/>
                    <w:bottom w:val="single" w:color="D4D4D4" w:sz="4" w:space="0"/>
                    <w:right w:val="single" w:color="D4D4D4" w:sz="12"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vMerge w:val="restart"/>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支出功能分类科目代码</w:t>
                  </w:r>
                </w:p>
              </w:tc>
              <w:tc>
                <w:tcPr>
                  <w:tcW w:w="1845"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68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990"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4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45"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68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4" w:space="0"/>
                  </w:tcBorders>
                  <w:shd w:val="clear" w:color="auto" w:fill="F1F1F1"/>
                  <w:vAlign w:val="center"/>
                </w:tcPr>
                <w:p>
                  <w:pPr>
                    <w:jc w:val="center"/>
                    <w:rPr>
                      <w:rFonts w:hint="eastAsia" w:ascii="宋体" w:hAnsi="宋体" w:eastAsia="宋体" w:cs="宋体"/>
                      <w:i w:val="0"/>
                      <w:iCs w:val="0"/>
                      <w:color w:val="000000"/>
                      <w:sz w:val="22"/>
                      <w:szCs w:val="22"/>
                      <w:u w:val="none"/>
                    </w:rPr>
                  </w:pPr>
                </w:p>
              </w:tc>
              <w:tc>
                <w:tcPr>
                  <w:tcW w:w="1800" w:type="dxa"/>
                  <w:vMerge w:val="continue"/>
                  <w:tcBorders>
                    <w:top w:val="single" w:color="D4D4D4" w:sz="4" w:space="0"/>
                    <w:left w:val="single" w:color="D4D4D4" w:sz="4" w:space="0"/>
                    <w:bottom w:val="single" w:color="D4D4D4" w:sz="4" w:space="0"/>
                    <w:right w:val="single" w:color="D4D4D4" w:sz="12" w:space="0"/>
                  </w:tcBorders>
                  <w:shd w:val="clear" w:color="auto" w:fill="F1F1F1"/>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类</w:t>
                  </w:r>
                </w:p>
              </w:tc>
              <w:tc>
                <w:tcPr>
                  <w:tcW w:w="5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w:t>
                  </w:r>
                </w:p>
              </w:tc>
              <w:tc>
                <w:tcPr>
                  <w:tcW w:w="890" w:type="dxa"/>
                  <w:vMerge w:val="restart"/>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c>
                <w:tcPr>
                  <w:tcW w:w="184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168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00" w:type="dxa"/>
                  <w:tcBorders>
                    <w:top w:val="single" w:color="D4D4D4" w:sz="4" w:space="0"/>
                    <w:left w:val="single" w:color="D4D4D4" w:sz="4" w:space="0"/>
                    <w:bottom w:val="single" w:color="D4D4D4" w:sz="4" w:space="0"/>
                    <w:right w:val="single" w:color="D4D4D4" w:sz="4"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00" w:type="dxa"/>
                  <w:tcBorders>
                    <w:top w:val="single" w:color="D4D4D4" w:sz="4" w:space="0"/>
                    <w:left w:val="single" w:color="D4D4D4" w:sz="4" w:space="0"/>
                    <w:bottom w:val="single" w:color="D4D4D4" w:sz="4" w:space="0"/>
                    <w:right w:val="single" w:color="D4D4D4" w:sz="12" w:space="0"/>
                  </w:tcBorders>
                  <w:shd w:val="clear" w:color="auto" w:fill="F1F1F1"/>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5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890" w:type="dxa"/>
                  <w:vMerge w:val="continue"/>
                  <w:tcBorders>
                    <w:top w:val="single" w:color="D4D4D4" w:sz="4" w:space="0"/>
                    <w:left w:val="single" w:color="D4D4D4" w:sz="4" w:space="0"/>
                    <w:bottom w:val="single" w:color="D4D4D4" w:sz="4" w:space="0"/>
                    <w:right w:val="single" w:color="D4D4D4"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845" w:type="dxa"/>
                  <w:tcBorders>
                    <w:top w:val="single" w:color="D4D4D4" w:sz="4" w:space="0"/>
                    <w:left w:val="single" w:color="D4D4D4" w:sz="4" w:space="0"/>
                    <w:bottom w:val="single" w:color="D4D4D4" w:sz="4" w:space="0"/>
                    <w:right w:val="single" w:color="D4D4D4"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4,281.53</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4,281.53</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2050203</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初中教育</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2050204</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高中教育</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2050999</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其他教育费附加安排的支出</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2210302</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住房公积金管理</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90" w:type="dxa"/>
                  <w:gridSpan w:val="3"/>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1845" w:type="dxa"/>
                  <w:tcBorders>
                    <w:top w:val="single" w:color="D4D4D4" w:sz="4" w:space="0"/>
                    <w:left w:val="single" w:color="D4D4D4" w:sz="4" w:space="0"/>
                    <w:bottom w:val="single" w:color="D4D4D4" w:sz="4" w:space="0"/>
                    <w:right w:val="single" w:color="D4D4D4"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168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575.10</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575.10</w:t>
                  </w:r>
                </w:p>
              </w:tc>
              <w:tc>
                <w:tcPr>
                  <w:tcW w:w="1800" w:type="dxa"/>
                  <w:tcBorders>
                    <w:top w:val="single" w:color="D4D4D4" w:sz="4" w:space="0"/>
                    <w:left w:val="single" w:color="D4D4D4" w:sz="4" w:space="0"/>
                    <w:bottom w:val="single" w:color="D4D4D4" w:sz="4" w:space="0"/>
                    <w:right w:val="single" w:color="D4D4D4"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800" w:type="dxa"/>
                  <w:tcBorders>
                    <w:top w:val="single" w:color="D4D4D4" w:sz="4" w:space="0"/>
                    <w:left w:val="single" w:color="D4D4D4" w:sz="4" w:space="0"/>
                    <w:bottom w:val="single" w:color="D4D4D4" w:sz="4" w:space="0"/>
                    <w:right w:val="single" w:color="D4D4D4" w:sz="12"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keepNext w:val="0"/>
              <w:keepLines w:val="0"/>
              <w:widowControl/>
              <w:suppressLineNumbers w:val="0"/>
              <w:jc w:val="center"/>
              <w:textAlignment w:val="center"/>
              <w:rPr>
                <w:rFonts w:hint="eastAsia" w:ascii="宋体" w:hAnsi="宋体" w:eastAsia="宋体" w:cs="宋体"/>
                <w:b/>
                <w:bCs/>
                <w:i w:val="0"/>
                <w:iCs w:val="0"/>
                <w:color w:val="000000"/>
                <w:kern w:val="0"/>
                <w:sz w:val="40"/>
                <w:szCs w:val="40"/>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40"/>
                <w:szCs w:val="40"/>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40"/>
                <w:szCs w:val="40"/>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40"/>
                <w:szCs w:val="40"/>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416" w:type="dxa"/>
            <w:gridSpan w:val="16"/>
            <w:tcBorders>
              <w:top w:val="nil"/>
              <w:left w:val="nil"/>
              <w:bottom w:val="nil"/>
              <w:right w:val="nil"/>
            </w:tcBorders>
            <w:noWrap/>
            <w:vAlign w:val="center"/>
          </w:tcPr>
          <w:p>
            <w:pPr>
              <w:jc w:val="center"/>
              <w:rPr>
                <w:rFonts w:hint="eastAsia" w:ascii="宋体" w:hAnsi="宋体" w:eastAsia="宋体" w:cs="宋体"/>
                <w:i w:val="0"/>
                <w:iCs w:val="0"/>
                <w:color w:val="000000"/>
                <w:sz w:val="22"/>
                <w:szCs w:val="22"/>
                <w:u w:val="none"/>
              </w:rPr>
            </w:pPr>
          </w:p>
        </w:tc>
        <w:tc>
          <w:tcPr>
            <w:tcW w:w="1578" w:type="dxa"/>
            <w:gridSpan w:val="2"/>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525" w:type="dxa"/>
            <w:gridSpan w:val="4"/>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部门：信阳市第四高级中学</w:t>
            </w:r>
          </w:p>
        </w:tc>
        <w:tc>
          <w:tcPr>
            <w:tcW w:w="548"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8182" w:type="dxa"/>
            <w:gridSpan w:val="10"/>
            <w:tcBorders>
              <w:top w:val="nil"/>
              <w:left w:val="nil"/>
              <w:bottom w:val="nil"/>
              <w:right w:val="nil"/>
            </w:tcBorders>
            <w:noWrap/>
            <w:vAlign w:val="bottom"/>
          </w:tcPr>
          <w:p>
            <w:pPr>
              <w:keepNext w:val="0"/>
              <w:keepLines w:val="0"/>
              <w:widowControl/>
              <w:suppressLineNumbers w:val="0"/>
              <w:jc w:val="center"/>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年度</w:t>
            </w:r>
          </w:p>
        </w:tc>
        <w:tc>
          <w:tcPr>
            <w:tcW w:w="1161"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578" w:type="dxa"/>
            <w:gridSpan w:val="2"/>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17" w:type="dxa"/>
            <w:gridSpan w:val="7"/>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收     入</w:t>
            </w:r>
          </w:p>
        </w:tc>
        <w:tc>
          <w:tcPr>
            <w:tcW w:w="9677" w:type="dxa"/>
            <w:gridSpan w:val="11"/>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525" w:type="dxa"/>
            <w:gridSpan w:val="4"/>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8"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244" w:type="dxa"/>
            <w:gridSpan w:val="2"/>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w:t>
            </w:r>
          </w:p>
        </w:tc>
        <w:tc>
          <w:tcPr>
            <w:tcW w:w="3837" w:type="dxa"/>
            <w:gridSpan w:val="3"/>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548"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行次</w:t>
            </w:r>
          </w:p>
        </w:tc>
        <w:tc>
          <w:tcPr>
            <w:tcW w:w="1172" w:type="dxa"/>
            <w:gridSpan w:val="2"/>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1381" w:type="dxa"/>
            <w:gridSpan w:val="2"/>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一般公共预算财政拨款</w:t>
            </w:r>
          </w:p>
        </w:tc>
        <w:tc>
          <w:tcPr>
            <w:tcW w:w="1161"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政府性基金预算财政拨款</w:t>
            </w:r>
          </w:p>
        </w:tc>
        <w:tc>
          <w:tcPr>
            <w:tcW w:w="1578" w:type="dxa"/>
            <w:gridSpan w:val="2"/>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525" w:type="dxa"/>
            <w:gridSpan w:val="4"/>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548"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1244" w:type="dxa"/>
            <w:gridSpan w:val="2"/>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3837"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548"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1172" w:type="dxa"/>
            <w:gridSpan w:val="2"/>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381" w:type="dxa"/>
            <w:gridSpan w:val="2"/>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1161"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1578" w:type="dxa"/>
            <w:gridSpan w:val="2"/>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161"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3,907.96</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一、一般公共服务支出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二、政府性基金预算财政拨款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二、外交支出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三、国有资本经营预算财政拨款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三、国防支出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四、公共安全支出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五、教育支出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3194.55</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3194.55</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六、科学技术支出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七、文化旅游体育与传媒支出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八、社会保障和就业支出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九、卫生健康支出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十、节能环保支出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十一、城乡社区支出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十二、农林水支出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十三、交通运输支出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十四、资源勘探工业信息等支出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十五、商业服务业等支出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十六、金融支出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十七、援助其他地区支出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十八、自然资源海洋气象等支出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十九、住房保障支出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二十、粮油物资储备支出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二十一、国有资本经营预算支出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二十二、灾害防治及应急管理支出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二十三、其他支出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b/>
                <w:bCs/>
                <w:i w:val="0"/>
                <w:iCs w:val="0"/>
                <w:color w:val="000000"/>
                <w:sz w:val="20"/>
                <w:szCs w:val="20"/>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二十四、债务还本支出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二十五、债务付息支出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0"/>
                <w:szCs w:val="20"/>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二十六、抗疫特别国债安排的支出</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本年收入合计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3,907.96</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本年支出合计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3907.96</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3907.967</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年初财政拨款结转和结余</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年末财政拨款结转和结余</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一般公共预算财政拨款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政府性基金预算财政拨款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国有资本经营预算财政拨款</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2"/>
                <w:szCs w:val="22"/>
                <w:u w:val="none"/>
              </w:rPr>
            </w:pP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525" w:type="dxa"/>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244" w:type="dxa"/>
            <w:gridSpan w:val="2"/>
            <w:tcBorders>
              <w:top w:val="single" w:color="000000" w:sz="4" w:space="0"/>
              <w:left w:val="single" w:color="000000" w:sz="4" w:space="0"/>
              <w:bottom w:val="single" w:color="000000" w:sz="4" w:space="0"/>
              <w:right w:val="single" w:color="000000" w:sz="4" w:space="0"/>
            </w:tcBorders>
            <w:shd w:val="clear" w:color="auto" w:fill="D6F6EF"/>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3,907.96</w:t>
            </w:r>
          </w:p>
        </w:tc>
        <w:tc>
          <w:tcPr>
            <w:tcW w:w="3837"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总计</w:t>
            </w:r>
          </w:p>
        </w:tc>
        <w:tc>
          <w:tcPr>
            <w:tcW w:w="5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1172"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3907.96</w:t>
            </w:r>
          </w:p>
        </w:tc>
        <w:tc>
          <w:tcPr>
            <w:tcW w:w="1381"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3907.96</w:t>
            </w:r>
          </w:p>
        </w:tc>
        <w:tc>
          <w:tcPr>
            <w:tcW w:w="1161"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416" w:type="dxa"/>
            <w:gridSpan w:val="16"/>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left"/>
              <w:rPr>
                <w:rFonts w:hint="eastAsia" w:ascii="宋体" w:hAnsi="宋体" w:eastAsia="宋体" w:cs="宋体"/>
                <w:i w:val="0"/>
                <w:iCs w:val="0"/>
                <w:color w:val="000000"/>
                <w:sz w:val="20"/>
                <w:szCs w:val="20"/>
                <w:u w:val="none"/>
              </w:rPr>
            </w:pPr>
          </w:p>
        </w:tc>
      </w:tr>
    </w:tbl>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5"/>
        <w:tblW w:w="1184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29"/>
        <w:gridCol w:w="329"/>
        <w:gridCol w:w="329"/>
        <w:gridCol w:w="4336"/>
        <w:gridCol w:w="1726"/>
        <w:gridCol w:w="2370"/>
        <w:gridCol w:w="26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844" w:type="dxa"/>
            <w:gridSpan w:val="7"/>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0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274" w:type="dxa"/>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4"/>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部门：信阳市第四高级中学</w:t>
            </w:r>
          </w:p>
        </w:tc>
        <w:tc>
          <w:tcPr>
            <w:tcW w:w="0" w:type="auto"/>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04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274" w:type="dxa"/>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w:t>
            </w:r>
          </w:p>
        </w:tc>
        <w:tc>
          <w:tcPr>
            <w:tcW w:w="6296" w:type="dxa"/>
            <w:gridSpan w:val="3"/>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987" w:type="dxa"/>
            <w:gridSpan w:val="3"/>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科目代码</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科目名称</w:t>
            </w:r>
          </w:p>
        </w:tc>
        <w:tc>
          <w:tcPr>
            <w:tcW w:w="1980"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2042"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基本支出</w:t>
            </w:r>
          </w:p>
        </w:tc>
        <w:tc>
          <w:tcPr>
            <w:tcW w:w="2274"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2274"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0" w:hRule="atLeast"/>
        </w:trPr>
        <w:tc>
          <w:tcPr>
            <w:tcW w:w="987" w:type="dxa"/>
            <w:gridSpan w:val="3"/>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center"/>
              <w:rPr>
                <w:rFonts w:hint="eastAsia" w:ascii="宋体" w:hAnsi="宋体" w:eastAsia="宋体" w:cs="宋体"/>
                <w:i w:val="0"/>
                <w:iCs w:val="0"/>
                <w:color w:val="000000"/>
                <w:sz w:val="22"/>
                <w:szCs w:val="22"/>
                <w:u w:val="none"/>
              </w:rPr>
            </w:pPr>
          </w:p>
        </w:tc>
        <w:tc>
          <w:tcPr>
            <w:tcW w:w="1980"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2042"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c>
          <w:tcPr>
            <w:tcW w:w="2274"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栏次</w:t>
            </w:r>
          </w:p>
        </w:tc>
        <w:tc>
          <w:tcPr>
            <w:tcW w:w="0" w:type="auto"/>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204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74"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4"/>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3907.96</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3907.96</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cs="宋体"/>
                <w:b/>
                <w:bCs/>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eastAsia="zh-CN"/>
              </w:rPr>
            </w:pPr>
            <w:r>
              <w:rPr>
                <w:rFonts w:hint="eastAsia" w:ascii="宋体" w:hAnsi="宋体" w:cs="宋体"/>
                <w:i w:val="0"/>
                <w:iCs w:val="0"/>
                <w:color w:val="000000"/>
                <w:sz w:val="22"/>
                <w:szCs w:val="22"/>
                <w:u w:val="none"/>
                <w:lang w:val="en-US" w:eastAsia="zh-CN"/>
              </w:rPr>
              <w:t>3194.55</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sz w:val="22"/>
                <w:szCs w:val="22"/>
                <w:u w:val="none"/>
                <w:lang w:val="en-US" w:eastAsia="zh-CN"/>
              </w:rPr>
              <w:t>3194.55</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rPr>
            </w:pPr>
            <w:r>
              <w:rPr>
                <w:rFonts w:hint="eastAsia" w:ascii="宋体" w:hAnsi="宋体" w:cs="宋体"/>
                <w:i w:val="0"/>
                <w:iCs w:val="0"/>
                <w:color w:val="000000"/>
                <w:kern w:val="0"/>
                <w:sz w:val="22"/>
                <w:szCs w:val="22"/>
                <w:u w:val="none"/>
                <w:lang w:val="en-US" w:eastAsia="zh-CN" w:bidi="ar"/>
              </w:rPr>
              <w:t>3194.33</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3194.33</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初中教育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388.33</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2050204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高中教育</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2753.929</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2050299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其他普通教育支出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52.08</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教育费附加安排的支出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2050999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其他教育费附加安排的支出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0.22</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社会保障和就业支出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行政事业单位养老支出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2080505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机关事业单位基本养老保险缴费支出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264.31</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住房保障支出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城乡社区住宅</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2210302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住房公积金管理</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247.57</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2299999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其他支出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04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201.53</w:t>
            </w:r>
          </w:p>
        </w:tc>
        <w:tc>
          <w:tcPr>
            <w:tcW w:w="227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0" w:type="auto"/>
            <w:gridSpan w:val="7"/>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注：本表反映部门本年度一般公共预算财政拨款支出情况。</w:t>
            </w:r>
          </w:p>
        </w:tc>
      </w:tr>
    </w:tbl>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5"/>
        <w:tblW w:w="14692"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2"/>
        <w:gridCol w:w="3245"/>
        <w:gridCol w:w="1264"/>
        <w:gridCol w:w="866"/>
        <w:gridCol w:w="2248"/>
        <w:gridCol w:w="860"/>
        <w:gridCol w:w="752"/>
        <w:gridCol w:w="3473"/>
        <w:gridCol w:w="12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4692" w:type="dxa"/>
            <w:gridSpan w:val="9"/>
            <w:tcBorders>
              <w:top w:val="nil"/>
              <w:left w:val="nil"/>
              <w:bottom w:val="nil"/>
              <w:right w:val="nil"/>
            </w:tcBorders>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一般公共预算财政拨款基本支出决算明细表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3245"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264"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866"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248"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860"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75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3473"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232" w:type="dxa"/>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997" w:type="dxa"/>
            <w:gridSpan w:val="2"/>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部门：信阳市第四高级中学</w:t>
            </w:r>
          </w:p>
        </w:tc>
        <w:tc>
          <w:tcPr>
            <w:tcW w:w="1264"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866"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2248" w:type="dxa"/>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w:t>
            </w:r>
            <w:r>
              <w:rPr>
                <w:rFonts w:hint="eastAsia" w:ascii="宋体" w:hAnsi="宋体" w:cs="宋体"/>
                <w:i w:val="0"/>
                <w:iCs w:val="0"/>
                <w:color w:val="000000"/>
                <w:kern w:val="0"/>
                <w:sz w:val="18"/>
                <w:szCs w:val="18"/>
                <w:u w:val="none"/>
                <w:lang w:val="en-US" w:eastAsia="zh-CN" w:bidi="ar"/>
              </w:rPr>
              <w:t>4</w:t>
            </w:r>
            <w:r>
              <w:rPr>
                <w:rFonts w:hint="eastAsia" w:ascii="宋体" w:hAnsi="宋体" w:eastAsia="宋体" w:cs="宋体"/>
                <w:i w:val="0"/>
                <w:iCs w:val="0"/>
                <w:color w:val="000000"/>
                <w:kern w:val="0"/>
                <w:sz w:val="18"/>
                <w:szCs w:val="18"/>
                <w:u w:val="none"/>
                <w:lang w:val="en-US" w:eastAsia="zh-CN" w:bidi="ar"/>
              </w:rPr>
              <w:t>年度</w:t>
            </w:r>
          </w:p>
        </w:tc>
        <w:tc>
          <w:tcPr>
            <w:tcW w:w="860"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752"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3473" w:type="dxa"/>
            <w:tcBorders>
              <w:top w:val="nil"/>
              <w:left w:val="nil"/>
              <w:bottom w:val="nil"/>
              <w:right w:val="nil"/>
            </w:tcBorders>
            <w:noWrap/>
            <w:vAlign w:val="center"/>
          </w:tcPr>
          <w:p>
            <w:pPr>
              <w:rPr>
                <w:rFonts w:hint="eastAsia" w:ascii="宋体" w:hAnsi="宋体" w:eastAsia="宋体" w:cs="宋体"/>
                <w:i w:val="0"/>
                <w:iCs w:val="0"/>
                <w:color w:val="000000"/>
                <w:sz w:val="22"/>
                <w:szCs w:val="22"/>
                <w:u w:val="none"/>
              </w:rPr>
            </w:pPr>
          </w:p>
        </w:tc>
        <w:tc>
          <w:tcPr>
            <w:tcW w:w="1232" w:type="dxa"/>
            <w:tcBorders>
              <w:top w:val="nil"/>
              <w:left w:val="nil"/>
              <w:bottom w:val="nil"/>
              <w:right w:val="nil"/>
            </w:tcBorders>
            <w:noWrap/>
            <w:vAlign w:val="bottom"/>
          </w:tcPr>
          <w:p>
            <w:pPr>
              <w:keepNext w:val="0"/>
              <w:keepLines w:val="0"/>
              <w:widowControl/>
              <w:suppressLineNumbers w:val="0"/>
              <w:jc w:val="lef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261" w:type="dxa"/>
            <w:gridSpan w:val="3"/>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人员经费</w:t>
            </w:r>
          </w:p>
        </w:tc>
        <w:tc>
          <w:tcPr>
            <w:tcW w:w="9431" w:type="dxa"/>
            <w:gridSpan w:val="6"/>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科目代码</w:t>
            </w:r>
          </w:p>
        </w:tc>
        <w:tc>
          <w:tcPr>
            <w:tcW w:w="3245"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1264"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c>
          <w:tcPr>
            <w:tcW w:w="866"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科目代码</w:t>
            </w:r>
          </w:p>
        </w:tc>
        <w:tc>
          <w:tcPr>
            <w:tcW w:w="2248"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860"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c>
          <w:tcPr>
            <w:tcW w:w="752"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科目代码</w:t>
            </w:r>
          </w:p>
        </w:tc>
        <w:tc>
          <w:tcPr>
            <w:tcW w:w="3473"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科目名称</w:t>
            </w:r>
          </w:p>
        </w:tc>
        <w:tc>
          <w:tcPr>
            <w:tcW w:w="1232" w:type="dxa"/>
            <w:vMerge w:val="restart"/>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3245"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1264"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866"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2248"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860"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752"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3473"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c>
          <w:tcPr>
            <w:tcW w:w="1232" w:type="dxa"/>
            <w:vMerge w:val="continue"/>
            <w:tcBorders>
              <w:top w:val="single" w:color="000000" w:sz="4" w:space="0"/>
              <w:left w:val="single" w:color="000000" w:sz="4" w:space="0"/>
              <w:bottom w:val="single" w:color="000000" w:sz="4" w:space="0"/>
              <w:right w:val="single" w:color="000000" w:sz="4" w:space="0"/>
            </w:tcBorders>
            <w:shd w:val="clear" w:color="auto" w:fill="F1F1F1"/>
            <w:noWrap w:val="0"/>
            <w:vAlign w:val="center"/>
          </w:tcPr>
          <w:p>
            <w:pPr>
              <w:jc w:val="center"/>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工资福利支出</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3608.07</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商品和服务支出</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253.15</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债务利息及费用支出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30101</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基本工资</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1833.27</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30201</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办公费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30701</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国内债务付息</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30102</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津贴补贴</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279.61</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30202</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印刷费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30702</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国外债务付息</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30103</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奖金</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30203</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咨询费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资本性支出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12.44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30106</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伙食补助费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30204</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手续费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31001</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房屋建筑物购建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30107</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绩效工资</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448.41</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30205</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水费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34.96</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31002</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办公设备购置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30108</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机关事业单位基本养老保险缴费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403.8</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30206</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电费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106.87</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31003</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专用设备购置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30109</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职业年金缴费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115.37</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30207</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邮电费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31005</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基础设施建设</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30110</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职工基本医疗保险缴费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144.92</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30208</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取暖费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31006</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大型修缮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30111</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公务员医疗补助缴费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30209</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物业管理费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31007</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信息网络及软件购置更新</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30112</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其他社会保障缴费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13.61</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30211</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差旅费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0.59</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31008</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物资储备</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30113</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住房公积金</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369.08</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30212</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因公出国（境）费用</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31009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土地补偿</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30114</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医疗费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30213</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维修（护）费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31010</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安置补助</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30199</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其他工资福利支出</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30214</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租赁费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31011</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地上附着物和青苗补偿</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对个人和家庭的补助</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34.31</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30215</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会议费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31012</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拆迁补偿</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30301</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离休费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13.96</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30216</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培训费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0.22</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31013</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公务用车购置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30302</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退休费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2.36</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30217</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公务接待费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31019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其他交通工具购置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30303</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退职（役）费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30218</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专用材料费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31021</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文物和陈列品购置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30304</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抚恤金</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30224</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被装购置费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31022</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无形资产购置</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30305</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生活补助</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10.18</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30225</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专用燃料费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31099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其他资本性支出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30306</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救济费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30226</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劳务费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6.74</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30307</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医疗费补助</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30227</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委托业务费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100.23</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39907</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国家赔偿费用支出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30308</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助学金</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30228</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工会经费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39908</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对民间非营利组织和群众性自治组织补贴</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30309</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奖励金</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30229</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福利费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39909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经常性赠与</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30310</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个人农业生产补贴</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30231</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公务用车运行维护费</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39910</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资本性赠与</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30311</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代缴社会保险费</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30239</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其他交通费用</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39999</w:t>
            </w: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其他支出</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30399</w:t>
            </w: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其他对个人和家庭的补助</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7.81</w:t>
            </w: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30240</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税金及附加费用</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0.00</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3245"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1"/>
                <w:szCs w:val="21"/>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30299</w:t>
            </w:r>
          </w:p>
        </w:tc>
        <w:tc>
          <w:tcPr>
            <w:tcW w:w="2248"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其他商品和服务支出</w:t>
            </w:r>
          </w:p>
        </w:tc>
        <w:tc>
          <w:tcPr>
            <w:tcW w:w="86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3.54</w:t>
            </w:r>
          </w:p>
        </w:tc>
        <w:tc>
          <w:tcPr>
            <w:tcW w:w="752"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3473" w:type="dxa"/>
            <w:tcBorders>
              <w:top w:val="single" w:color="000000" w:sz="4" w:space="0"/>
              <w:left w:val="single" w:color="000000" w:sz="4" w:space="0"/>
              <w:bottom w:val="single" w:color="000000" w:sz="4" w:space="0"/>
              <w:right w:val="single" w:color="000000" w:sz="4" w:space="0"/>
            </w:tcBorders>
            <w:shd w:val="clear" w:color="auto" w:fill="F1F1F1"/>
            <w:noWrap/>
            <w:vAlign w:val="center"/>
          </w:tcPr>
          <w:p>
            <w:pPr>
              <w:jc w:val="left"/>
              <w:rPr>
                <w:rFonts w:hint="eastAsia" w:ascii="宋体" w:hAnsi="宋体" w:eastAsia="宋体" w:cs="宋体"/>
                <w:i w:val="0"/>
                <w:iCs w:val="0"/>
                <w:color w:val="000000"/>
                <w:sz w:val="21"/>
                <w:szCs w:val="21"/>
                <w:u w:val="none"/>
              </w:rPr>
            </w:pP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right"/>
              <w:rPr>
                <w:rFonts w:hint="eastAsia" w:ascii="宋体" w:hAnsi="宋体" w:eastAsia="宋体" w:cs="宋体"/>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997" w:type="dxa"/>
            <w:gridSpan w:val="2"/>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人员经费合计</w:t>
            </w:r>
          </w:p>
        </w:tc>
        <w:tc>
          <w:tcPr>
            <w:tcW w:w="126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3642.37</w:t>
            </w:r>
          </w:p>
        </w:tc>
        <w:tc>
          <w:tcPr>
            <w:tcW w:w="8199" w:type="dxa"/>
            <w:gridSpan w:val="5"/>
            <w:tcBorders>
              <w:top w:val="single" w:color="000000" w:sz="4" w:space="0"/>
              <w:left w:val="single" w:color="000000" w:sz="4" w:space="0"/>
              <w:bottom w:val="single" w:color="000000" w:sz="4" w:space="0"/>
              <w:right w:val="single" w:color="000000" w:sz="4" w:space="0"/>
            </w:tcBorders>
            <w:shd w:val="clear" w:color="auto" w:fill="F1F1F1"/>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公用经费合计</w:t>
            </w:r>
          </w:p>
        </w:tc>
        <w:tc>
          <w:tcPr>
            <w:tcW w:w="123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keepNext w:val="0"/>
              <w:keepLines w:val="0"/>
              <w:widowControl/>
              <w:suppressLineNumbers w:val="0"/>
              <w:jc w:val="right"/>
              <w:textAlignment w:val="center"/>
              <w:rPr>
                <w:rFonts w:hint="default"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265.59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4692" w:type="dxa"/>
            <w:gridSpan w:val="9"/>
            <w:tcBorders>
              <w:top w:val="nil"/>
              <w:left w:val="nil"/>
              <w:bottom w:val="nil"/>
              <w:right w:val="nil"/>
            </w:tcBorders>
            <w:shd w:val="clear" w:color="auto"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注：本表反映部门本年度一般公共预算财政拨款基本支出明细情况。</w:t>
            </w:r>
          </w:p>
        </w:tc>
      </w:tr>
    </w:tbl>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tbl>
      <w:tblPr>
        <w:tblStyle w:val="5"/>
        <w:tblW w:w="14175" w:type="dxa"/>
        <w:tblInd w:w="0" w:type="dxa"/>
        <w:tblLayout w:type="fixed"/>
        <w:tblCellMar>
          <w:top w:w="0" w:type="dxa"/>
          <w:left w:w="0" w:type="dxa"/>
          <w:bottom w:w="0" w:type="dxa"/>
          <w:right w:w="0" w:type="dxa"/>
        </w:tblCellMar>
      </w:tblPr>
      <w:tblGrid>
        <w:gridCol w:w="612"/>
        <w:gridCol w:w="536"/>
        <w:gridCol w:w="1276"/>
        <w:gridCol w:w="1926"/>
        <w:gridCol w:w="30"/>
        <w:gridCol w:w="1896"/>
        <w:gridCol w:w="30"/>
        <w:gridCol w:w="1896"/>
        <w:gridCol w:w="30"/>
        <w:gridCol w:w="1897"/>
        <w:gridCol w:w="30"/>
        <w:gridCol w:w="1607"/>
        <w:gridCol w:w="2409"/>
      </w:tblGrid>
      <w:tr>
        <w:tblPrEx>
          <w:tblCellMar>
            <w:top w:w="0" w:type="dxa"/>
            <w:left w:w="0" w:type="dxa"/>
            <w:bottom w:w="0" w:type="dxa"/>
            <w:right w:w="0" w:type="dxa"/>
          </w:tblCellMar>
        </w:tblPrEx>
        <w:trPr>
          <w:trHeight w:val="600" w:hRule="atLeast"/>
        </w:trPr>
        <w:tc>
          <w:tcPr>
            <w:tcW w:w="14175" w:type="dxa"/>
            <w:gridSpan w:val="13"/>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政府性基金预算财政拨款收入支出决算表</w:t>
            </w:r>
          </w:p>
        </w:tc>
      </w:tr>
      <w:tr>
        <w:tblPrEx>
          <w:tblCellMar>
            <w:top w:w="0" w:type="dxa"/>
            <w:left w:w="0" w:type="dxa"/>
            <w:bottom w:w="0" w:type="dxa"/>
            <w:right w:w="0" w:type="dxa"/>
          </w:tblCellMar>
        </w:tblPrEx>
        <w:trPr>
          <w:trHeight w:val="222" w:hRule="atLeast"/>
        </w:trPr>
        <w:tc>
          <w:tcPr>
            <w:tcW w:w="612"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53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nil"/>
              <w:left w:val="nil"/>
              <w:bottom w:val="nil"/>
              <w:right w:val="nil"/>
            </w:tcBorders>
            <w:shd w:val="clear" w:color="auto" w:fill="FFFFFF"/>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Fonts w:ascii="宋体" w:hAnsi="宋体" w:cs="宋体"/>
                <w:color w:val="000000"/>
                <w:kern w:val="0"/>
                <w:sz w:val="20"/>
                <w:szCs w:val="20"/>
                <w:lang w:bidi="ar"/>
              </w:rPr>
              <w:t>7</w:t>
            </w:r>
            <w:r>
              <w:rPr>
                <w:rFonts w:hint="eastAsia" w:ascii="宋体" w:hAnsi="宋体" w:cs="宋体"/>
                <w:color w:val="000000"/>
                <w:kern w:val="0"/>
                <w:sz w:val="20"/>
                <w:szCs w:val="20"/>
                <w:lang w:bidi="ar"/>
              </w:rPr>
              <w:t>表</w:t>
            </w:r>
          </w:p>
        </w:tc>
      </w:tr>
      <w:tr>
        <w:tblPrEx>
          <w:tblCellMar>
            <w:top w:w="0" w:type="dxa"/>
            <w:left w:w="0" w:type="dxa"/>
            <w:bottom w:w="0" w:type="dxa"/>
            <w:right w:w="0" w:type="dxa"/>
          </w:tblCellMar>
        </w:tblPrEx>
        <w:trPr>
          <w:trHeight w:val="300" w:hRule="atLeast"/>
        </w:trPr>
        <w:tc>
          <w:tcPr>
            <w:tcW w:w="4380" w:type="dxa"/>
            <w:gridSpan w:val="5"/>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s="宋体"/>
                <w:color w:val="000000"/>
                <w:sz w:val="20"/>
                <w:szCs w:val="20"/>
              </w:rPr>
            </w:pPr>
            <w:r>
              <w:rPr>
                <w:rFonts w:hint="eastAsia" w:ascii="宋体" w:hAnsi="宋体" w:cs="宋体"/>
                <w:color w:val="000000"/>
                <w:kern w:val="0"/>
                <w:sz w:val="20"/>
                <w:szCs w:val="20"/>
                <w:lang w:bidi="ar"/>
              </w:rPr>
              <w:t>单位：信阳市第四高级中学</w:t>
            </w:r>
          </w:p>
        </w:tc>
        <w:tc>
          <w:tcPr>
            <w:tcW w:w="1926" w:type="dxa"/>
            <w:gridSpan w:val="2"/>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607"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405" w:hRule="atLeast"/>
        </w:trPr>
        <w:tc>
          <w:tcPr>
            <w:tcW w:w="2424" w:type="dxa"/>
            <w:gridSpan w:val="3"/>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    目</w:t>
            </w:r>
          </w:p>
        </w:tc>
        <w:tc>
          <w:tcPr>
            <w:tcW w:w="1926" w:type="dxa"/>
            <w:vMerge w:val="restart"/>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年初结转和结余</w:t>
            </w:r>
          </w:p>
        </w:tc>
        <w:tc>
          <w:tcPr>
            <w:tcW w:w="1926" w:type="dxa"/>
            <w:gridSpan w:val="2"/>
            <w:vMerge w:val="restart"/>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本年收入</w:t>
            </w:r>
          </w:p>
        </w:tc>
        <w:tc>
          <w:tcPr>
            <w:tcW w:w="5490" w:type="dxa"/>
            <w:gridSpan w:val="6"/>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本年支出</w:t>
            </w:r>
          </w:p>
        </w:tc>
        <w:tc>
          <w:tcPr>
            <w:tcW w:w="2409" w:type="dxa"/>
            <w:vMerge w:val="restart"/>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年末结转和结余</w:t>
            </w:r>
          </w:p>
        </w:tc>
      </w:tr>
      <w:tr>
        <w:tblPrEx>
          <w:tblCellMar>
            <w:top w:w="0" w:type="dxa"/>
            <w:left w:w="0" w:type="dxa"/>
            <w:bottom w:w="0" w:type="dxa"/>
            <w:right w:w="0" w:type="dxa"/>
          </w:tblCellMar>
        </w:tblPrEx>
        <w:trPr>
          <w:trHeight w:val="540" w:hRule="atLeast"/>
        </w:trPr>
        <w:tc>
          <w:tcPr>
            <w:tcW w:w="1148" w:type="dxa"/>
            <w:gridSpan w:val="2"/>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功能分类</w:t>
            </w:r>
          </w:p>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科目编码</w:t>
            </w:r>
          </w:p>
        </w:tc>
        <w:tc>
          <w:tcPr>
            <w:tcW w:w="1276"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科目名称</w:t>
            </w: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927" w:type="dxa"/>
            <w:gridSpan w:val="2"/>
            <w:vMerge w:val="restart"/>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基本支出</w:t>
            </w:r>
          </w:p>
        </w:tc>
        <w:tc>
          <w:tcPr>
            <w:tcW w:w="1637" w:type="dxa"/>
            <w:gridSpan w:val="2"/>
            <w:vMerge w:val="restart"/>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项目支出</w:t>
            </w: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36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637" w:type="dxa"/>
            <w:gridSpan w:val="2"/>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vMerge w:val="continue"/>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6"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927" w:type="dxa"/>
            <w:gridSpan w:val="2"/>
            <w:vMerge w:val="continue"/>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637" w:type="dxa"/>
            <w:gridSpan w:val="2"/>
            <w:vMerge w:val="continue"/>
            <w:tcBorders>
              <w:top w:val="nil"/>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2409" w:type="dxa"/>
            <w:vMerge w:val="continue"/>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2424" w:type="dxa"/>
            <w:gridSpan w:val="3"/>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栏次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tblPrEx>
          <w:tblCellMar>
            <w:top w:w="0" w:type="dxa"/>
            <w:left w:w="0" w:type="dxa"/>
            <w:bottom w:w="0" w:type="dxa"/>
            <w:right w:w="0" w:type="dxa"/>
          </w:tblCellMar>
        </w:tblPrEx>
        <w:trPr>
          <w:trHeight w:val="450" w:hRule="atLeast"/>
        </w:trPr>
        <w:tc>
          <w:tcPr>
            <w:tcW w:w="2424" w:type="dxa"/>
            <w:gridSpan w:val="3"/>
            <w:tcBorders>
              <w:top w:val="nil"/>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450" w:hRule="atLeast"/>
        </w:trPr>
        <w:tc>
          <w:tcPr>
            <w:tcW w:w="1148" w:type="dxa"/>
            <w:gridSpan w:val="2"/>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27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6"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927"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1637" w:type="dxa"/>
            <w:gridSpan w:val="2"/>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c>
          <w:tcPr>
            <w:tcW w:w="2409"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rPr>
                <w:rFonts w:hint="eastAsia" w:ascii="宋体" w:hAnsi="宋体" w:cs="宋体"/>
                <w:color w:val="000000"/>
                <w:sz w:val="20"/>
                <w:szCs w:val="20"/>
              </w:rPr>
            </w:pPr>
          </w:p>
        </w:tc>
      </w:tr>
      <w:tr>
        <w:tblPrEx>
          <w:tblCellMar>
            <w:top w:w="0" w:type="dxa"/>
            <w:left w:w="0" w:type="dxa"/>
            <w:bottom w:w="0" w:type="dxa"/>
            <w:right w:w="0" w:type="dxa"/>
          </w:tblCellMar>
        </w:tblPrEx>
        <w:trPr>
          <w:trHeight w:val="645" w:hRule="atLeast"/>
        </w:trPr>
        <w:tc>
          <w:tcPr>
            <w:tcW w:w="14175" w:type="dxa"/>
            <w:gridSpan w:val="13"/>
            <w:tcBorders>
              <w:left w:val="nil"/>
              <w:bottom w:val="nil"/>
              <w:right w:val="nil"/>
            </w:tcBorders>
            <w:noWrap w:val="0"/>
            <w:tcMar>
              <w:top w:w="15" w:type="dxa"/>
              <w:left w:w="15" w:type="dxa"/>
              <w:right w:w="15" w:type="dxa"/>
            </w:tcMar>
            <w:vAlign w:val="center"/>
          </w:tcPr>
          <w:p>
            <w:pPr>
              <w:widowControl/>
              <w:jc w:val="left"/>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注：本表反映单位本年度政府性基金预算财政拨款收入、支出及结转和结余情况。</w:t>
            </w:r>
          </w:p>
          <w:p>
            <w:pPr>
              <w:widowControl/>
              <w:jc w:val="left"/>
              <w:textAlignment w:val="center"/>
              <w:rPr>
                <w:rFonts w:ascii="宋体" w:hAnsi="宋体" w:cs="宋体"/>
                <w:color w:val="000000"/>
                <w:sz w:val="22"/>
              </w:rPr>
            </w:pPr>
            <w:r>
              <w:rPr>
                <w:rFonts w:hint="eastAsia" w:ascii="宋体" w:hAnsi="宋体" w:cs="宋体"/>
                <w:color w:val="000000"/>
                <w:sz w:val="22"/>
              </w:rPr>
              <w:t>说明：我单位没有政府性基金收入，也没有使用政府性基金安排的支出，故本表无数据。</w:t>
            </w:r>
          </w:p>
          <w:p>
            <w:pPr>
              <w:widowControl/>
              <w:jc w:val="left"/>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tbl>
            <w:tblPr>
              <w:tblStyle w:val="5"/>
              <w:tblW w:w="11980" w:type="dxa"/>
              <w:tblInd w:w="868" w:type="dxa"/>
              <w:tblLayout w:type="fixed"/>
              <w:tblCellMar>
                <w:top w:w="0" w:type="dxa"/>
                <w:left w:w="108" w:type="dxa"/>
                <w:bottom w:w="0" w:type="dxa"/>
                <w:right w:w="108" w:type="dxa"/>
              </w:tblCellMar>
            </w:tblPr>
            <w:tblGrid>
              <w:gridCol w:w="1060"/>
              <w:gridCol w:w="560"/>
              <w:gridCol w:w="1820"/>
              <w:gridCol w:w="2620"/>
              <w:gridCol w:w="2620"/>
              <w:gridCol w:w="3300"/>
            </w:tblGrid>
            <w:tr>
              <w:tblPrEx>
                <w:tblCellMar>
                  <w:top w:w="0" w:type="dxa"/>
                  <w:left w:w="108" w:type="dxa"/>
                  <w:bottom w:w="0" w:type="dxa"/>
                  <w:right w:w="108" w:type="dxa"/>
                </w:tblCellMar>
              </w:tblPrEx>
              <w:trPr>
                <w:trHeight w:val="720" w:hRule="atLeast"/>
              </w:trPr>
              <w:tc>
                <w:tcPr>
                  <w:tcW w:w="11980" w:type="dxa"/>
                  <w:gridSpan w:val="6"/>
                  <w:tcBorders>
                    <w:top w:val="nil"/>
                    <w:left w:val="nil"/>
                    <w:bottom w:val="nil"/>
                    <w:right w:val="nil"/>
                  </w:tcBorders>
                  <w:shd w:val="clear" w:color="000000" w:fill="FFFFFF"/>
                  <w:noWrap w:val="0"/>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56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1820" w:type="dxa"/>
                  <w:tcBorders>
                    <w:top w:val="nil"/>
                    <w:left w:val="nil"/>
                    <w:bottom w:val="nil"/>
                    <w:right w:val="nil"/>
                  </w:tcBorders>
                  <w:shd w:val="clear" w:color="000000" w:fill="FFFFFF"/>
                  <w:noWrap w:val="0"/>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300" w:type="dxa"/>
                  <w:tcBorders>
                    <w:top w:val="nil"/>
                    <w:left w:val="nil"/>
                    <w:bottom w:val="nil"/>
                    <w:right w:val="nil"/>
                  </w:tcBorders>
                  <w:shd w:val="clear" w:color="000000" w:fill="FFFFFF"/>
                  <w:noWrap/>
                  <w:vAlign w:val="center"/>
                </w:tcPr>
                <w:p>
                  <w:pPr>
                    <w:widowControl/>
                    <w:jc w:val="right"/>
                    <w:rPr>
                      <w:rFonts w:hint="eastAsia" w:ascii="宋体" w:hAnsi="宋体" w:cs="宋体"/>
                      <w:color w:val="000000"/>
                      <w:kern w:val="0"/>
                      <w:sz w:val="20"/>
                      <w:szCs w:val="20"/>
                    </w:rPr>
                  </w:pPr>
                  <w:r>
                    <w:rPr>
                      <w:rFonts w:hint="eastAsia" w:ascii="宋体" w:hAnsi="宋体" w:cs="宋体"/>
                      <w:color w:val="000000"/>
                      <w:kern w:val="0"/>
                      <w:sz w:val="20"/>
                      <w:szCs w:val="20"/>
                    </w:rPr>
                    <w:t>公开08表</w:t>
                  </w:r>
                </w:p>
              </w:tc>
            </w:tr>
            <w:tr>
              <w:tblPrEx>
                <w:tblCellMar>
                  <w:top w:w="0" w:type="dxa"/>
                  <w:left w:w="108" w:type="dxa"/>
                  <w:bottom w:w="0" w:type="dxa"/>
                  <w:right w:w="108" w:type="dxa"/>
                </w:tblCellMar>
              </w:tblPrEx>
              <w:trPr>
                <w:trHeight w:val="285" w:hRule="atLeast"/>
              </w:trPr>
              <w:tc>
                <w:tcPr>
                  <w:tcW w:w="3440" w:type="dxa"/>
                  <w:gridSpan w:val="3"/>
                  <w:tcBorders>
                    <w:top w:val="nil"/>
                    <w:left w:val="nil"/>
                    <w:bottom w:val="nil"/>
                    <w:right w:val="nil"/>
                  </w:tcBorders>
                  <w:shd w:val="clear" w:color="000000" w:fill="FFFFFF"/>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单位：信阳市第四高级中学</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nil"/>
                    <w:right w:val="nil"/>
                  </w:tcBorders>
                  <w:shd w:val="clear" w:color="000000" w:fill="FFFFFF"/>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300" w:type="dxa"/>
                  <w:tcBorders>
                    <w:top w:val="nil"/>
                    <w:left w:val="nil"/>
                    <w:bottom w:val="nil"/>
                    <w:right w:val="nil"/>
                  </w:tcBorders>
                  <w:shd w:val="clear" w:color="000000" w:fill="FFFFFF"/>
                  <w:noWrap/>
                  <w:vAlign w:val="center"/>
                </w:tcPr>
                <w:p>
                  <w:pPr>
                    <w:widowControl/>
                    <w:jc w:val="right"/>
                    <w:rPr>
                      <w:rFonts w:hint="eastAsia" w:ascii="宋体" w:hAnsi="宋体" w:cs="宋体"/>
                      <w:color w:val="000000"/>
                      <w:kern w:val="0"/>
                      <w:sz w:val="20"/>
                      <w:szCs w:val="20"/>
                    </w:rPr>
                  </w:pPr>
                  <w:r>
                    <w:rPr>
                      <w:rFonts w:hint="eastAsia" w:ascii="宋体" w:hAnsi="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xml:space="preserve">项 </w:t>
                  </w:r>
                  <w:r>
                    <w:rPr>
                      <w:rFonts w:hint="eastAsia" w:ascii="宋体" w:hAnsi="宋体" w:cs="宋体"/>
                      <w:color w:val="000000"/>
                      <w:kern w:val="0"/>
                      <w:sz w:val="22"/>
                    </w:rPr>
                    <w:t xml:space="preserve">   </w:t>
                  </w:r>
                  <w:r>
                    <w:rPr>
                      <w:rFonts w:hint="eastAsia" w:ascii="宋体" w:hAnsi="宋体" w:cs="宋体"/>
                      <w:kern w:val="0"/>
                      <w:sz w:val="24"/>
                      <w:szCs w:val="24"/>
                    </w:rPr>
                    <w:t>目</w:t>
                  </w:r>
                </w:p>
              </w:tc>
              <w:tc>
                <w:tcPr>
                  <w:tcW w:w="8540" w:type="dxa"/>
                  <w:gridSpan w:val="3"/>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本年支出</w:t>
                  </w:r>
                </w:p>
              </w:tc>
            </w:tr>
            <w:tr>
              <w:tblPrEx>
                <w:tblCellMar>
                  <w:top w:w="0" w:type="dxa"/>
                  <w:left w:w="108" w:type="dxa"/>
                  <w:bottom w:w="0" w:type="dxa"/>
                  <w:right w:w="108" w:type="dxa"/>
                </w:tblCellMar>
              </w:tblPrEx>
              <w:trPr>
                <w:trHeight w:val="402" w:hRule="atLeast"/>
              </w:trPr>
              <w:tc>
                <w:tcPr>
                  <w:tcW w:w="162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科目代码</w:t>
                  </w:r>
                </w:p>
              </w:tc>
              <w:tc>
                <w:tcPr>
                  <w:tcW w:w="18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科目名称</w:t>
                  </w:r>
                </w:p>
              </w:tc>
              <w:tc>
                <w:tcPr>
                  <w:tcW w:w="26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合计</w:t>
                  </w:r>
                </w:p>
              </w:tc>
              <w:tc>
                <w:tcPr>
                  <w:tcW w:w="262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xml:space="preserve">基本支出  </w:t>
                  </w:r>
                </w:p>
              </w:tc>
              <w:tc>
                <w:tcPr>
                  <w:tcW w:w="3300" w:type="dxa"/>
                  <w:vMerge w:val="restart"/>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项目支出</w:t>
                  </w:r>
                </w:p>
              </w:tc>
            </w:tr>
            <w:tr>
              <w:tblPrEx>
                <w:tblCellMar>
                  <w:top w:w="0" w:type="dxa"/>
                  <w:left w:w="108" w:type="dxa"/>
                  <w:bottom w:w="0" w:type="dxa"/>
                  <w:right w:w="108" w:type="dxa"/>
                </w:tblCellMar>
              </w:tblPrEx>
              <w:trPr>
                <w:trHeight w:val="402" w:hRule="atLeast"/>
              </w:trPr>
              <w:tc>
                <w:tcPr>
                  <w:tcW w:w="162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18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33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r>
            <w:tr>
              <w:tblPrEx>
                <w:tblCellMar>
                  <w:top w:w="0" w:type="dxa"/>
                  <w:left w:w="108" w:type="dxa"/>
                  <w:bottom w:w="0" w:type="dxa"/>
                  <w:right w:w="108" w:type="dxa"/>
                </w:tblCellMar>
              </w:tblPrEx>
              <w:trPr>
                <w:trHeight w:val="402" w:hRule="atLeast"/>
              </w:trPr>
              <w:tc>
                <w:tcPr>
                  <w:tcW w:w="162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18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262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c>
                <w:tcPr>
                  <w:tcW w:w="3300"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kern w:val="0"/>
                      <w:sz w:val="24"/>
                      <w:szCs w:val="24"/>
                    </w:rPr>
                  </w:pP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栏次</w:t>
                  </w:r>
                </w:p>
              </w:tc>
              <w:tc>
                <w:tcPr>
                  <w:tcW w:w="262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1</w:t>
                  </w:r>
                </w:p>
              </w:tc>
              <w:tc>
                <w:tcPr>
                  <w:tcW w:w="262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2</w:t>
                  </w:r>
                </w:p>
              </w:tc>
              <w:tc>
                <w:tcPr>
                  <w:tcW w:w="330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3</w:t>
                  </w:r>
                </w:p>
              </w:tc>
            </w:tr>
            <w:tr>
              <w:tblPrEx>
                <w:tblCellMar>
                  <w:top w:w="0" w:type="dxa"/>
                  <w:left w:w="108" w:type="dxa"/>
                  <w:bottom w:w="0" w:type="dxa"/>
                  <w:right w:w="108" w:type="dxa"/>
                </w:tblCellMar>
              </w:tblPrEx>
              <w:trPr>
                <w:trHeight w:val="402" w:hRule="atLeast"/>
              </w:trPr>
              <w:tc>
                <w:tcPr>
                  <w:tcW w:w="3440"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合计</w:t>
                  </w:r>
                </w:p>
              </w:tc>
              <w:tc>
                <w:tcPr>
                  <w:tcW w:w="262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lang w:val="en-US" w:eastAsia="zh-CN"/>
                    </w:rPr>
                    <w:t>0</w:t>
                  </w: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lang w:val="en-US" w:eastAsia="zh-CN"/>
                    </w:rPr>
                    <w:t>0</w:t>
                  </w: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4"/>
                      <w:szCs w:val="24"/>
                      <w:lang w:val="en-US" w:eastAsia="zh-CN"/>
                    </w:rPr>
                  </w:pPr>
                  <w:r>
                    <w:rPr>
                      <w:rFonts w:hint="eastAsia" w:ascii="宋体" w:hAnsi="宋体" w:cs="宋体"/>
                      <w:kern w:val="0"/>
                      <w:sz w:val="24"/>
                      <w:szCs w:val="24"/>
                    </w:rPr>
                    <w:t>　</w:t>
                  </w:r>
                  <w:r>
                    <w:rPr>
                      <w:rFonts w:hint="eastAsia" w:ascii="宋体" w:hAnsi="宋体" w:cs="宋体"/>
                      <w:kern w:val="0"/>
                      <w:sz w:val="24"/>
                      <w:szCs w:val="24"/>
                      <w:lang w:val="en-US" w:eastAsia="zh-CN"/>
                    </w:rPr>
                    <w:t>0</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szCs w:val="24"/>
                    </w:rPr>
                  </w:pPr>
                  <w:r>
                    <w:rPr>
                      <w:rFonts w:hint="eastAsia" w:ascii="宋体" w:hAnsi="宋体" w:cs="宋体"/>
                      <w:kern w:val="0"/>
                      <w:sz w:val="24"/>
                      <w:szCs w:val="24"/>
                    </w:rPr>
                    <w:t>　</w:t>
                  </w:r>
                </w:p>
              </w:tc>
              <w:tc>
                <w:tcPr>
                  <w:tcW w:w="18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262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c>
                <w:tcPr>
                  <w:tcW w:w="3300" w:type="dxa"/>
                  <w:tcBorders>
                    <w:top w:val="nil"/>
                    <w:left w:val="nil"/>
                    <w:bottom w:val="single" w:color="auto" w:sz="4" w:space="0"/>
                    <w:right w:val="single" w:color="auto" w:sz="4" w:space="0"/>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　</w:t>
                  </w:r>
                </w:p>
              </w:tc>
            </w:tr>
            <w:tr>
              <w:tblPrEx>
                <w:tblCellMar>
                  <w:top w:w="0" w:type="dxa"/>
                  <w:left w:w="108" w:type="dxa"/>
                  <w:bottom w:w="0" w:type="dxa"/>
                  <w:right w:w="108" w:type="dxa"/>
                </w:tblCellMar>
              </w:tblPrEx>
              <w:trPr>
                <w:trHeight w:val="720" w:hRule="atLeast"/>
              </w:trPr>
              <w:tc>
                <w:tcPr>
                  <w:tcW w:w="11980" w:type="dxa"/>
                  <w:gridSpan w:val="6"/>
                  <w:tcBorders>
                    <w:top w:val="nil"/>
                    <w:left w:val="nil"/>
                    <w:bottom w:val="nil"/>
                    <w:right w:val="nil"/>
                  </w:tcBorders>
                  <w:noWrap w:val="0"/>
                  <w:vAlign w:val="center"/>
                </w:tcPr>
                <w:p>
                  <w:pPr>
                    <w:widowControl/>
                    <w:jc w:val="left"/>
                    <w:rPr>
                      <w:rFonts w:hint="eastAsia" w:ascii="宋体" w:hAnsi="宋体" w:cs="宋体"/>
                      <w:kern w:val="0"/>
                      <w:sz w:val="24"/>
                      <w:szCs w:val="24"/>
                    </w:rPr>
                  </w:pPr>
                  <w:r>
                    <w:rPr>
                      <w:rFonts w:hint="eastAsia" w:ascii="宋体" w:hAnsi="宋体" w:cs="宋体"/>
                      <w:kern w:val="0"/>
                      <w:sz w:val="24"/>
                      <w:szCs w:val="24"/>
                    </w:rPr>
                    <w:t>注：本表反映单位本年度国有资本经营预算财政拨款支出情况。</w:t>
                  </w:r>
                </w:p>
              </w:tc>
            </w:tr>
            <w:tr>
              <w:tblPrEx>
                <w:tblCellMar>
                  <w:top w:w="0" w:type="dxa"/>
                  <w:left w:w="108" w:type="dxa"/>
                  <w:bottom w:w="0" w:type="dxa"/>
                  <w:right w:w="108" w:type="dxa"/>
                </w:tblCellMar>
              </w:tblPrEx>
              <w:trPr>
                <w:trHeight w:val="285" w:hRule="atLeast"/>
              </w:trPr>
              <w:tc>
                <w:tcPr>
                  <w:tcW w:w="11980" w:type="dxa"/>
                  <w:gridSpan w:val="6"/>
                  <w:tcBorders>
                    <w:top w:val="nil"/>
                    <w:left w:val="nil"/>
                    <w:bottom w:val="nil"/>
                    <w:right w:val="nil"/>
                  </w:tcBorders>
                  <w:noWrap w:val="0"/>
                  <w:vAlign w:val="center"/>
                </w:tcPr>
                <w:p>
                  <w:pPr>
                    <w:widowControl/>
                    <w:jc w:val="left"/>
                    <w:rPr>
                      <w:rFonts w:hint="eastAsia" w:ascii="宋体" w:hAnsi="宋体" w:cs="宋体"/>
                      <w:bCs/>
                      <w:kern w:val="0"/>
                      <w:sz w:val="24"/>
                      <w:szCs w:val="24"/>
                    </w:rPr>
                  </w:pPr>
                  <w:r>
                    <w:rPr>
                      <w:rFonts w:hint="eastAsia" w:ascii="宋体" w:hAnsi="宋体" w:cs="宋体"/>
                      <w:bCs/>
                      <w:kern w:val="0"/>
                      <w:sz w:val="24"/>
                      <w:szCs w:val="24"/>
                    </w:rPr>
                    <w:t>说明：我单位没有使用国有资本经营预算安排的支出，故本表无数据。</w:t>
                  </w:r>
                </w:p>
              </w:tc>
            </w:tr>
          </w:tbl>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hint="eastAsia" w:ascii="宋体" w:hAnsi="宋体" w:cs="宋体"/>
                <w:color w:val="000000"/>
                <w:sz w:val="20"/>
                <w:szCs w:val="20"/>
              </w:rPr>
            </w:pPr>
          </w:p>
          <w:tbl>
            <w:tblPr>
              <w:tblStyle w:val="5"/>
              <w:tblW w:w="0" w:type="auto"/>
              <w:tblInd w:w="0" w:type="dxa"/>
              <w:tblLayout w:type="fixed"/>
              <w:tblCellMar>
                <w:top w:w="0" w:type="dxa"/>
                <w:left w:w="0" w:type="dxa"/>
                <w:bottom w:w="0" w:type="dxa"/>
                <w:right w:w="0" w:type="dxa"/>
              </w:tblCellMar>
            </w:tblPr>
            <w:tblGrid>
              <w:gridCol w:w="1151"/>
              <w:gridCol w:w="1149"/>
              <w:gridCol w:w="1150"/>
              <w:gridCol w:w="1150"/>
              <w:gridCol w:w="1151"/>
              <w:gridCol w:w="1150"/>
              <w:gridCol w:w="1151"/>
              <w:gridCol w:w="1151"/>
              <w:gridCol w:w="1151"/>
              <w:gridCol w:w="1151"/>
              <w:gridCol w:w="1151"/>
              <w:gridCol w:w="1151"/>
            </w:tblGrid>
            <w:tr>
              <w:tblPrEx>
                <w:tblCellMar>
                  <w:top w:w="0" w:type="dxa"/>
                  <w:left w:w="0" w:type="dxa"/>
                  <w:bottom w:w="0" w:type="dxa"/>
                  <w:right w:w="0" w:type="dxa"/>
                </w:tblCellMar>
              </w:tblPrEx>
              <w:trPr>
                <w:trHeight w:val="600" w:hRule="atLeast"/>
              </w:trPr>
              <w:tc>
                <w:tcPr>
                  <w:tcW w:w="13807" w:type="dxa"/>
                  <w:gridSpan w:val="12"/>
                  <w:tcBorders>
                    <w:top w:val="nil"/>
                    <w:left w:val="nil"/>
                    <w:bottom w:val="nil"/>
                    <w:right w:val="nil"/>
                  </w:tcBorders>
                  <w:shd w:val="clear" w:color="auto" w:fill="FFFFFF"/>
                  <w:noWrap w:val="0"/>
                  <w:tcMar>
                    <w:top w:w="15" w:type="dxa"/>
                    <w:left w:w="15" w:type="dxa"/>
                    <w:right w:w="15" w:type="dxa"/>
                  </w:tcMar>
                  <w:vAlign w:val="center"/>
                </w:tcPr>
                <w:p>
                  <w:pPr>
                    <w:widowControl/>
                    <w:jc w:val="center"/>
                    <w:textAlignment w:val="center"/>
                    <w:rPr>
                      <w:rFonts w:ascii="华文中宋" w:hAnsi="华文中宋" w:eastAsia="华文中宋" w:cs="华文中宋"/>
                      <w:color w:val="000000"/>
                      <w:sz w:val="32"/>
                      <w:szCs w:val="32"/>
                    </w:rPr>
                  </w:pPr>
                  <w:r>
                    <w:rPr>
                      <w:rFonts w:hint="eastAsia" w:ascii="华文中宋" w:hAnsi="华文中宋" w:eastAsia="华文中宋" w:cs="华文中宋"/>
                      <w:color w:val="000000"/>
                      <w:kern w:val="0"/>
                      <w:sz w:val="32"/>
                      <w:szCs w:val="32"/>
                      <w:lang w:bidi="ar"/>
                    </w:rPr>
                    <w:t>财政拨款“三公”经费支出决算表</w:t>
                  </w:r>
                </w:p>
              </w:tc>
            </w:tr>
            <w:tr>
              <w:tblPrEx>
                <w:tblCellMar>
                  <w:top w:w="0" w:type="dxa"/>
                  <w:left w:w="0" w:type="dxa"/>
                  <w:bottom w:w="0" w:type="dxa"/>
                  <w:right w:w="0" w:type="dxa"/>
                </w:tblCellMar>
              </w:tblPrEx>
              <w:trPr>
                <w:trHeight w:val="222" w:hRule="atLeast"/>
              </w:trPr>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49"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公开0</w:t>
                  </w:r>
                  <w:r>
                    <w:rPr>
                      <w:rFonts w:ascii="宋体" w:hAnsi="宋体" w:cs="宋体"/>
                      <w:color w:val="000000"/>
                      <w:kern w:val="0"/>
                      <w:sz w:val="20"/>
                      <w:szCs w:val="20"/>
                      <w:lang w:bidi="ar"/>
                    </w:rPr>
                    <w:t>9</w:t>
                  </w:r>
                  <w:r>
                    <w:rPr>
                      <w:rFonts w:hint="eastAsia" w:ascii="宋体" w:hAnsi="宋体" w:cs="宋体"/>
                      <w:color w:val="000000"/>
                      <w:kern w:val="0"/>
                      <w:sz w:val="20"/>
                      <w:szCs w:val="20"/>
                      <w:lang w:bidi="ar"/>
                    </w:rPr>
                    <w:t>表</w:t>
                  </w:r>
                </w:p>
              </w:tc>
            </w:tr>
            <w:tr>
              <w:tblPrEx>
                <w:tblCellMar>
                  <w:top w:w="0" w:type="dxa"/>
                  <w:left w:w="0" w:type="dxa"/>
                  <w:bottom w:w="0" w:type="dxa"/>
                  <w:right w:w="0" w:type="dxa"/>
                </w:tblCellMar>
              </w:tblPrEx>
              <w:trPr>
                <w:trHeight w:val="300" w:hRule="atLeast"/>
              </w:trPr>
              <w:tc>
                <w:tcPr>
                  <w:tcW w:w="3450" w:type="dxa"/>
                  <w:gridSpan w:val="3"/>
                  <w:tcBorders>
                    <w:top w:val="nil"/>
                    <w:left w:val="nil"/>
                    <w:bottom w:val="nil"/>
                    <w:right w:val="nil"/>
                  </w:tcBorders>
                  <w:shd w:val="clear" w:color="auto" w:fill="FFFFFF"/>
                  <w:noWrap/>
                  <w:tcMar>
                    <w:top w:w="15" w:type="dxa"/>
                    <w:left w:w="15" w:type="dxa"/>
                    <w:right w:w="15" w:type="dxa"/>
                  </w:tcMar>
                  <w:vAlign w:val="center"/>
                </w:tcPr>
                <w:p>
                  <w:pPr>
                    <w:rPr>
                      <w:rFonts w:hint="eastAsia" w:ascii="宋体" w:hAnsi="宋体" w:cs="宋体"/>
                      <w:color w:val="000000"/>
                      <w:sz w:val="20"/>
                      <w:szCs w:val="20"/>
                    </w:rPr>
                  </w:pPr>
                  <w:r>
                    <w:rPr>
                      <w:rFonts w:hint="eastAsia" w:ascii="宋体" w:hAnsi="宋体" w:cs="宋体"/>
                      <w:color w:val="000000"/>
                      <w:kern w:val="0"/>
                      <w:sz w:val="20"/>
                      <w:szCs w:val="20"/>
                      <w:lang w:bidi="ar"/>
                    </w:rPr>
                    <w:t>单位：信阳市第四高级中学</w:t>
                  </w:r>
                </w:p>
              </w:tc>
              <w:tc>
                <w:tcPr>
                  <w:tcW w:w="1150"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0"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single" w:color="000000" w:sz="8" w:space="0"/>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val="0"/>
                  <w:tcMar>
                    <w:top w:w="15" w:type="dxa"/>
                    <w:left w:w="15" w:type="dxa"/>
                    <w:right w:w="15" w:type="dxa"/>
                  </w:tcMar>
                  <w:vAlign w:val="center"/>
                </w:tcPr>
                <w:p>
                  <w:pPr>
                    <w:rPr>
                      <w:rFonts w:hint="eastAsia" w:ascii="宋体" w:hAnsi="宋体" w:cs="宋体"/>
                      <w:color w:val="000000"/>
                      <w:sz w:val="20"/>
                      <w:szCs w:val="20"/>
                    </w:rPr>
                  </w:pPr>
                </w:p>
              </w:tc>
              <w:tc>
                <w:tcPr>
                  <w:tcW w:w="1151" w:type="dxa"/>
                  <w:tcBorders>
                    <w:top w:val="nil"/>
                    <w:left w:val="nil"/>
                    <w:bottom w:val="nil"/>
                    <w:right w:val="nil"/>
                  </w:tcBorders>
                  <w:shd w:val="clear" w:color="auto" w:fill="FFFFFF"/>
                  <w:noWrap/>
                  <w:tcMar>
                    <w:top w:w="15" w:type="dxa"/>
                    <w:left w:w="15" w:type="dxa"/>
                    <w:right w:w="15" w:type="dxa"/>
                  </w:tcMar>
                  <w:vAlign w:val="center"/>
                </w:tcPr>
                <w:p>
                  <w:pPr>
                    <w:widowControl/>
                    <w:jc w:val="righ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单位：万元</w:t>
                  </w:r>
                </w:p>
              </w:tc>
            </w:tr>
            <w:tr>
              <w:tblPrEx>
                <w:tblCellMar>
                  <w:top w:w="0" w:type="dxa"/>
                  <w:left w:w="0" w:type="dxa"/>
                  <w:bottom w:w="0" w:type="dxa"/>
                  <w:right w:w="0" w:type="dxa"/>
                </w:tblCellMar>
              </w:tblPrEx>
              <w:trPr>
                <w:trHeight w:val="559" w:hRule="atLeast"/>
              </w:trPr>
              <w:tc>
                <w:tcPr>
                  <w:tcW w:w="6901" w:type="dxa"/>
                  <w:gridSpan w:val="6"/>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预算数</w:t>
                  </w:r>
                </w:p>
              </w:tc>
              <w:tc>
                <w:tcPr>
                  <w:tcW w:w="6906" w:type="dxa"/>
                  <w:gridSpan w:val="6"/>
                  <w:tcBorders>
                    <w:top w:val="single" w:color="000000" w:sz="8"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决算数</w:t>
                  </w:r>
                </w:p>
              </w:tc>
            </w:tr>
            <w:tr>
              <w:tblPrEx>
                <w:tblCellMar>
                  <w:top w:w="0" w:type="dxa"/>
                  <w:left w:w="0" w:type="dxa"/>
                  <w:bottom w:w="0" w:type="dxa"/>
                  <w:right w:w="0" w:type="dxa"/>
                </w:tblCellMar>
              </w:tblPrEx>
              <w:trPr>
                <w:trHeight w:val="600" w:hRule="atLeast"/>
              </w:trPr>
              <w:tc>
                <w:tcPr>
                  <w:tcW w:w="1151" w:type="dxa"/>
                  <w:vMerge w:val="restart"/>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49"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1"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公务用车购置及运行维护费</w:t>
                  </w:r>
                </w:p>
              </w:tc>
              <w:tc>
                <w:tcPr>
                  <w:tcW w:w="1150"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公务接待费</w:t>
                  </w:r>
                </w:p>
              </w:tc>
              <w:tc>
                <w:tcPr>
                  <w:tcW w:w="1151" w:type="dxa"/>
                  <w:vMerge w:val="restart"/>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51" w:type="dxa"/>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因公出国（境）费</w:t>
                  </w:r>
                </w:p>
              </w:tc>
              <w:tc>
                <w:tcPr>
                  <w:tcW w:w="3453" w:type="dxa"/>
                  <w:gridSpan w:val="3"/>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公务用车购置及运行维护费</w:t>
                  </w:r>
                </w:p>
              </w:tc>
              <w:tc>
                <w:tcPr>
                  <w:tcW w:w="1151" w:type="dxa"/>
                  <w:vMerge w:val="restart"/>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公务接待费</w:t>
                  </w:r>
                </w:p>
              </w:tc>
            </w:tr>
            <w:tr>
              <w:tblPrEx>
                <w:tblCellMar>
                  <w:top w:w="0" w:type="dxa"/>
                  <w:left w:w="0" w:type="dxa"/>
                  <w:bottom w:w="0" w:type="dxa"/>
                  <w:right w:w="0" w:type="dxa"/>
                </w:tblCellMar>
              </w:tblPrEx>
              <w:trPr>
                <w:trHeight w:val="600" w:hRule="atLeast"/>
              </w:trPr>
              <w:tc>
                <w:tcPr>
                  <w:tcW w:w="1151" w:type="dxa"/>
                  <w:vMerge w:val="continue"/>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49"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15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运行维护费</w:t>
                  </w:r>
                </w:p>
              </w:tc>
              <w:tc>
                <w:tcPr>
                  <w:tcW w:w="1150"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vMerge w:val="continue"/>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小计</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购置费</w:t>
                  </w:r>
                </w:p>
              </w:tc>
              <w:tc>
                <w:tcPr>
                  <w:tcW w:w="1151"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公务用车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运行维护费</w:t>
                  </w:r>
                </w:p>
              </w:tc>
              <w:tc>
                <w:tcPr>
                  <w:tcW w:w="1151" w:type="dxa"/>
                  <w:vMerge w:val="continue"/>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jc w:val="center"/>
                    <w:rPr>
                      <w:rFonts w:hint="eastAsia" w:ascii="宋体" w:hAnsi="宋体" w:cs="宋体"/>
                      <w:color w:val="000000"/>
                      <w:sz w:val="20"/>
                      <w:szCs w:val="20"/>
                    </w:rPr>
                  </w:pPr>
                </w:p>
              </w:tc>
            </w:tr>
            <w:tr>
              <w:tblPrEx>
                <w:tblCellMar>
                  <w:top w:w="0" w:type="dxa"/>
                  <w:left w:w="0" w:type="dxa"/>
                  <w:bottom w:w="0" w:type="dxa"/>
                  <w:right w:w="0" w:type="dxa"/>
                </w:tblCellMar>
              </w:tblPrEx>
              <w:trPr>
                <w:trHeight w:val="559" w:hRule="atLeast"/>
              </w:trPr>
              <w:tc>
                <w:tcPr>
                  <w:tcW w:w="1151" w:type="dxa"/>
                  <w:tcBorders>
                    <w:top w:val="single" w:color="000000" w:sz="4" w:space="0"/>
                    <w:left w:val="single" w:color="000000" w:sz="8"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w:t>
                  </w:r>
                </w:p>
              </w:tc>
              <w:tc>
                <w:tcPr>
                  <w:tcW w:w="114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115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1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151" w:type="dxa"/>
                  <w:tcBorders>
                    <w:top w:val="single" w:color="000000" w:sz="4" w:space="0"/>
                    <w:left w:val="single" w:color="000000" w:sz="4" w:space="0"/>
                    <w:bottom w:val="single" w:color="000000" w:sz="4" w:space="0"/>
                    <w:right w:val="single" w:color="000000" w:sz="8" w:space="0"/>
                  </w:tcBorders>
                  <w:noWrap w:val="0"/>
                  <w:tcMar>
                    <w:top w:w="15" w:type="dxa"/>
                    <w:left w:w="15" w:type="dxa"/>
                    <w:right w:w="15" w:type="dxa"/>
                  </w:tcMar>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tblPrEx>
                <w:tblCellMar>
                  <w:top w:w="0" w:type="dxa"/>
                  <w:left w:w="0" w:type="dxa"/>
                  <w:bottom w:w="0" w:type="dxa"/>
                  <w:right w:w="0" w:type="dxa"/>
                </w:tblCellMar>
              </w:tblPrEx>
              <w:trPr>
                <w:trHeight w:val="855" w:hRule="atLeast"/>
              </w:trPr>
              <w:tc>
                <w:tcPr>
                  <w:tcW w:w="1151" w:type="dxa"/>
                  <w:tcBorders>
                    <w:top w:val="single" w:color="000000" w:sz="4" w:space="0"/>
                    <w:left w:val="single" w:color="000000" w:sz="8"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49"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0"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4"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nil"/>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c>
                <w:tcPr>
                  <w:tcW w:w="1151" w:type="dxa"/>
                  <w:tcBorders>
                    <w:top w:val="single" w:color="000000" w:sz="4" w:space="0"/>
                    <w:left w:val="single" w:color="000000" w:sz="4" w:space="0"/>
                    <w:bottom w:val="single" w:color="000000" w:sz="8" w:space="0"/>
                    <w:right w:val="single" w:color="000000" w:sz="8" w:space="0"/>
                  </w:tcBorders>
                  <w:noWrap w:val="0"/>
                  <w:tcMar>
                    <w:top w:w="15" w:type="dxa"/>
                    <w:left w:w="15" w:type="dxa"/>
                    <w:right w:w="15" w:type="dxa"/>
                  </w:tcMar>
                  <w:vAlign w:val="center"/>
                </w:tcPr>
                <w:p>
                  <w:pPr>
                    <w:jc w:val="center"/>
                    <w:rPr>
                      <w:rFonts w:hint="eastAsia" w:ascii="宋体" w:hAnsi="宋体" w:eastAsia="宋体" w:cs="宋体"/>
                      <w:color w:val="000000"/>
                      <w:sz w:val="20"/>
                      <w:szCs w:val="20"/>
                      <w:lang w:val="en-US" w:eastAsia="zh-CN"/>
                    </w:rPr>
                  </w:pPr>
                  <w:r>
                    <w:rPr>
                      <w:rFonts w:hint="eastAsia" w:ascii="宋体" w:hAnsi="宋体" w:cs="宋体"/>
                      <w:color w:val="000000"/>
                      <w:sz w:val="20"/>
                      <w:szCs w:val="20"/>
                      <w:lang w:val="en-US" w:eastAsia="zh-CN"/>
                    </w:rPr>
                    <w:t>0</w:t>
                  </w:r>
                </w:p>
              </w:tc>
            </w:tr>
            <w:tr>
              <w:tblPrEx>
                <w:tblCellMar>
                  <w:top w:w="0" w:type="dxa"/>
                  <w:left w:w="0" w:type="dxa"/>
                  <w:bottom w:w="0" w:type="dxa"/>
                  <w:right w:w="0" w:type="dxa"/>
                </w:tblCellMar>
              </w:tblPrEx>
              <w:trPr>
                <w:trHeight w:val="900" w:hRule="atLeast"/>
              </w:trPr>
              <w:tc>
                <w:tcPr>
                  <w:tcW w:w="13807" w:type="dxa"/>
                  <w:gridSpan w:val="12"/>
                  <w:tcBorders>
                    <w:top w:val="single" w:color="000000" w:sz="8" w:space="0"/>
                    <w:left w:val="nil"/>
                    <w:bottom w:val="nil"/>
                    <w:right w:val="nil"/>
                  </w:tcBorders>
                  <w:noWrap w:val="0"/>
                  <w:tcMar>
                    <w:top w:w="15" w:type="dxa"/>
                    <w:left w:w="15" w:type="dxa"/>
                    <w:right w:w="15" w:type="dxa"/>
                  </w:tcMar>
                  <w:vAlign w:val="center"/>
                </w:tcPr>
                <w:p>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注：本表反映单位本年度财政拨款“三公”经费支出预决算情况。其中，预算数为“三公”经费全年预算数，反映按规定程序调整后的预算数；决算数是包括当年财政拨款和以前年度结转资金安排的实际支出。本表金额转换为万元时，因四舍五入可能存在尾差。</w:t>
                  </w:r>
                </w:p>
              </w:tc>
            </w:tr>
          </w:tbl>
          <w:p>
            <w:pPr>
              <w:widowControl/>
              <w:jc w:val="center"/>
              <w:textAlignment w:val="center"/>
              <w:rPr>
                <w:rFonts w:ascii="宋体" w:hAnsi="宋体" w:cs="宋体"/>
                <w:color w:val="000000"/>
                <w:sz w:val="20"/>
                <w:szCs w:val="20"/>
              </w:rPr>
            </w:pPr>
          </w:p>
          <w:p>
            <w:pPr>
              <w:widowControl/>
              <w:jc w:val="center"/>
              <w:textAlignment w:val="center"/>
              <w:rPr>
                <w:rFonts w:ascii="宋体" w:hAnsi="宋体" w:cs="宋体"/>
                <w:color w:val="000000"/>
                <w:sz w:val="20"/>
                <w:szCs w:val="20"/>
              </w:rPr>
            </w:pPr>
          </w:p>
          <w:p>
            <w:pPr>
              <w:widowControl/>
              <w:jc w:val="center"/>
              <w:textAlignment w:val="center"/>
              <w:rPr>
                <w:rFonts w:hint="eastAsia" w:ascii="宋体" w:hAnsi="宋体" w:cs="宋体"/>
                <w:color w:val="000000"/>
                <w:sz w:val="20"/>
                <w:szCs w:val="20"/>
              </w:rPr>
            </w:pPr>
          </w:p>
        </w:tc>
      </w:tr>
    </w:tbl>
    <w:p>
      <w:pPr>
        <w:rPr>
          <w:rFonts w:hint="eastAsia" w:ascii="仿宋_GB2312" w:hAnsi="仿宋_GB2312" w:eastAsia="仿宋_GB2312" w:cs="仿宋_GB2312"/>
          <w:sz w:val="32"/>
          <w:szCs w:val="32"/>
        </w:rPr>
      </w:pPr>
    </w:p>
    <w:tbl>
      <w:tblPr>
        <w:tblStyle w:val="5"/>
        <w:tblW w:w="14332" w:type="dxa"/>
        <w:tblInd w:w="0" w:type="dxa"/>
        <w:tblLayout w:type="fixed"/>
        <w:tblCellMar>
          <w:top w:w="0" w:type="dxa"/>
          <w:left w:w="0" w:type="dxa"/>
          <w:bottom w:w="0" w:type="dxa"/>
          <w:right w:w="0" w:type="dxa"/>
        </w:tblCellMar>
      </w:tblPr>
      <w:tblGrid>
        <w:gridCol w:w="14332"/>
      </w:tblGrid>
      <w:tr>
        <w:tblPrEx>
          <w:tblCellMar>
            <w:top w:w="0" w:type="dxa"/>
            <w:left w:w="0" w:type="dxa"/>
            <w:bottom w:w="0" w:type="dxa"/>
            <w:right w:w="0" w:type="dxa"/>
          </w:tblCellMar>
        </w:tblPrEx>
        <w:trPr>
          <w:trHeight w:val="390" w:hRule="atLeast"/>
        </w:trPr>
        <w:tc>
          <w:tcPr>
            <w:tcW w:w="14332" w:type="dxa"/>
            <w:tcBorders>
              <w:top w:val="nil"/>
              <w:left w:val="nil"/>
              <w:bottom w:val="nil"/>
              <w:right w:val="nil"/>
            </w:tcBorders>
            <w:noWrap/>
            <w:tcMar>
              <w:top w:w="15" w:type="dxa"/>
              <w:left w:w="15" w:type="dxa"/>
              <w:right w:w="15" w:type="dxa"/>
            </w:tcMar>
            <w:vAlign w:val="center"/>
          </w:tcPr>
          <w:p>
            <w:pPr>
              <w:widowControl/>
              <w:jc w:val="left"/>
              <w:textAlignment w:val="center"/>
              <w:rPr>
                <w:rFonts w:hint="eastAsia" w:ascii="宋体" w:hAnsi="宋体" w:cs="宋体"/>
                <w:color w:val="000000"/>
                <w:kern w:val="0"/>
                <w:sz w:val="20"/>
                <w:szCs w:val="20"/>
                <w:lang w:bidi="ar"/>
              </w:rPr>
            </w:pPr>
          </w:p>
          <w:p>
            <w:pPr>
              <w:widowControl/>
              <w:jc w:val="left"/>
              <w:textAlignment w:val="center"/>
              <w:rPr>
                <w:rFonts w:hint="eastAsia" w:ascii="宋体" w:hAnsi="宋体" w:cs="宋体"/>
                <w:color w:val="000000"/>
                <w:sz w:val="20"/>
                <w:szCs w:val="20"/>
              </w:rPr>
            </w:pPr>
          </w:p>
        </w:tc>
      </w:tr>
    </w:tbl>
    <w:p>
      <w:pPr>
        <w:rPr>
          <w:rFonts w:hint="eastAsia" w:ascii="仿宋_GB2312" w:hAnsi="仿宋_GB2312" w:eastAsia="仿宋_GB2312" w:cs="仿宋_GB2312"/>
          <w:sz w:val="32"/>
          <w:szCs w:val="32"/>
        </w:rPr>
        <w:sectPr>
          <w:pgSz w:w="16838" w:h="11906" w:orient="landscape"/>
          <w:pgMar w:top="1800" w:right="1440" w:bottom="1800" w:left="1440" w:header="720" w:footer="720" w:gutter="0"/>
          <w:pgNumType w:fmt="numberInDash"/>
          <w:cols w:space="720" w:num="1"/>
          <w:docGrid w:type="lines" w:linePitch="312" w:charSpace="0"/>
        </w:sectPr>
      </w:pPr>
    </w:p>
    <w:p>
      <w:pPr>
        <w:tabs>
          <w:tab w:val="left" w:pos="5665"/>
        </w:tabs>
        <w:rPr>
          <w:rFonts w:ascii="仿宋_GB2312" w:hAnsi="仿宋_GB2312" w:eastAsia="仿宋_GB2312" w:cs="仿宋_GB2312"/>
          <w:sz w:val="32"/>
          <w:szCs w:val="32"/>
        </w:rPr>
      </w:pPr>
    </w:p>
    <w:p>
      <w:pPr>
        <w:tabs>
          <w:tab w:val="left" w:pos="5665"/>
        </w:tabs>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ascii="黑体" w:hAnsi="宋体" w:eastAsia="黑体" w:cs="宋体"/>
          <w:kern w:val="0"/>
          <w:sz w:val="28"/>
          <w:szCs w:val="28"/>
        </w:rPr>
      </w:pPr>
    </w:p>
    <w:p>
      <w:pPr>
        <w:widowControl/>
        <w:jc w:val="left"/>
        <w:rPr>
          <w:rFonts w:hint="eastAsia" w:ascii="黑体" w:hAnsi="宋体" w:eastAsia="黑体" w:cs="宋体"/>
          <w:kern w:val="0"/>
          <w:sz w:val="28"/>
          <w:szCs w:val="28"/>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第三部分 202</w:t>
      </w:r>
      <w:r>
        <w:rPr>
          <w:rFonts w:hint="eastAsia" w:ascii="黑体" w:hAnsi="黑体" w:eastAsia="黑体" w:cs="黑体"/>
          <w:sz w:val="48"/>
          <w:szCs w:val="48"/>
          <w:lang w:val="en-US" w:eastAsia="zh-CN"/>
        </w:rPr>
        <w:t>4</w:t>
      </w:r>
      <w:r>
        <w:rPr>
          <w:rFonts w:hint="eastAsia" w:ascii="黑体" w:hAnsi="黑体" w:eastAsia="黑体" w:cs="黑体"/>
          <w:sz w:val="48"/>
          <w:szCs w:val="48"/>
        </w:rPr>
        <w:t>年度</w:t>
      </w:r>
      <w:r>
        <w:rPr>
          <w:rFonts w:hint="eastAsia" w:ascii="黑体" w:hAnsi="黑体" w:eastAsia="黑体" w:cs="黑体"/>
          <w:sz w:val="48"/>
          <w:szCs w:val="48"/>
          <w:lang w:val="en-US" w:eastAsia="zh-CN"/>
        </w:rPr>
        <w:t>单位</w:t>
      </w:r>
      <w:r>
        <w:rPr>
          <w:rFonts w:hint="eastAsia" w:ascii="黑体" w:hAnsi="黑体" w:eastAsia="黑体" w:cs="黑体"/>
          <w:sz w:val="48"/>
          <w:szCs w:val="48"/>
        </w:rPr>
        <w:t>决算情况说明</w:t>
      </w:r>
    </w:p>
    <w:p>
      <w:pPr>
        <w:widowControl/>
        <w:jc w:val="left"/>
        <w:rPr>
          <w:rFonts w:hint="eastAsia" w:ascii="黑体" w:hAnsi="黑体" w:eastAsia="黑体" w:cs="黑体"/>
          <w:sz w:val="48"/>
          <w:szCs w:val="48"/>
        </w:rPr>
        <w:sectPr>
          <w:pgSz w:w="11906" w:h="16838"/>
          <w:pgMar w:top="1440" w:right="1800" w:bottom="1440" w:left="1800" w:header="720" w:footer="720" w:gutter="0"/>
          <w:pgNumType w:fmt="numberInDash"/>
          <w:cols w:space="720" w:num="1"/>
          <w:docGrid w:type="lines" w:linePitch="312" w:charSpace="0"/>
        </w:sect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一、收入支出决算总体情况说明</w:t>
      </w:r>
    </w:p>
    <w:p>
      <w:pPr>
        <w:widowControl/>
        <w:spacing w:line="590" w:lineRule="exact"/>
        <w:ind w:firstLine="640" w:firstLineChars="200"/>
        <w:rPr>
          <w:rFonts w:hint="eastAsia" w:ascii="黑体" w:hAnsi="黑体" w:eastAsia="黑体" w:cs="黑体"/>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年度收、支总计均为</w:t>
      </w:r>
      <w:r>
        <w:rPr>
          <w:rFonts w:hint="eastAsia" w:ascii="仿宋_GB2312" w:hAnsi="仿宋_GB2312" w:eastAsia="仿宋_GB2312" w:cs="仿宋_GB2312"/>
          <w:sz w:val="32"/>
          <w:szCs w:val="32"/>
          <w:lang w:val="en-US" w:eastAsia="zh-CN"/>
        </w:rPr>
        <w:t>4281.53</w:t>
      </w:r>
      <w:r>
        <w:rPr>
          <w:rFonts w:hint="eastAsia" w:ascii="仿宋_GB2312" w:hAnsi="仿宋_GB2312" w:eastAsia="仿宋_GB2312" w:cs="仿宋_GB2312"/>
          <w:sz w:val="32"/>
          <w:szCs w:val="32"/>
        </w:rPr>
        <w:t>万元。与上年度相比，收、支总计各减少</w:t>
      </w:r>
      <w:r>
        <w:rPr>
          <w:rFonts w:hint="eastAsia" w:ascii="仿宋_GB2312" w:hAnsi="仿宋_GB2312" w:eastAsia="仿宋_GB2312" w:cs="仿宋_GB2312"/>
          <w:sz w:val="32"/>
          <w:szCs w:val="32"/>
          <w:lang w:val="en-US" w:eastAsia="zh-CN"/>
        </w:rPr>
        <w:t>258.3</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2"/>
          <w:lang w:val="en-US" w:eastAsia="zh-CN"/>
        </w:rPr>
        <w:t>5.69</w:t>
      </w:r>
      <w:r>
        <w:rPr>
          <w:rFonts w:hint="eastAsia" w:ascii="仿宋_GB2312" w:hAnsi="仿宋_GB2312" w:eastAsia="仿宋_GB2312" w:cs="仿宋_GB2312"/>
          <w:sz w:val="32"/>
          <w:szCs w:val="32"/>
        </w:rPr>
        <w:t>%。主要原因是</w:t>
      </w:r>
      <w:r>
        <w:rPr>
          <w:rFonts w:hint="eastAsia" w:ascii="仿宋_GB2312" w:eastAsia="仿宋_GB2312"/>
          <w:sz w:val="32"/>
          <w:szCs w:val="32"/>
        </w:rPr>
        <w:t>人员工资、社保、公积金</w:t>
      </w:r>
      <w:r>
        <w:rPr>
          <w:rFonts w:hint="eastAsia" w:ascii="仿宋_GB2312" w:eastAsia="仿宋_GB2312"/>
          <w:sz w:val="32"/>
          <w:szCs w:val="32"/>
          <w:lang w:val="en-US" w:eastAsia="zh-CN"/>
        </w:rPr>
        <w:t>减少</w:t>
      </w:r>
      <w:r>
        <w:rPr>
          <w:rFonts w:hint="eastAsia" w:ascii="仿宋_GB2312" w:eastAsia="仿宋_GB2312"/>
          <w:sz w:val="32"/>
          <w:szCs w:val="32"/>
        </w:rPr>
        <w:t>以及</w:t>
      </w:r>
      <w:r>
        <w:rPr>
          <w:rFonts w:hint="eastAsia" w:ascii="仿宋_GB2312" w:hAnsi="仿宋_GB2312" w:eastAsia="仿宋_GB2312" w:cs="仿宋_GB2312"/>
          <w:sz w:val="32"/>
          <w:szCs w:val="32"/>
        </w:rPr>
        <w:t>本年度相关业务</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导致收支</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二、收入决算情况说明</w:t>
      </w:r>
    </w:p>
    <w:p>
      <w:pPr>
        <w:widowControl/>
        <w:spacing w:line="590" w:lineRule="exact"/>
        <w:ind w:firstLine="640" w:firstLineChars="200"/>
        <w:rPr>
          <w:rFonts w:hint="eastAsia" w:ascii="黑体" w:hAnsi="黑体" w:eastAsia="黑体" w:cs="黑体"/>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4281.53</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91.28</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322.48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7.53</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%；附属单位上缴收入0万元，占0%；其他收入</w:t>
      </w:r>
      <w:r>
        <w:rPr>
          <w:rFonts w:hint="eastAsia" w:ascii="仿宋_GB2312" w:hAnsi="仿宋_GB2312" w:eastAsia="仿宋_GB2312" w:cs="仿宋_GB2312"/>
          <w:sz w:val="32"/>
          <w:szCs w:val="32"/>
          <w:lang w:val="en-US" w:eastAsia="zh-CN"/>
        </w:rPr>
        <w:t>51.09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1.19</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4281.53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4281.53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四、财政拨款收入支出决算总体情况说明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年度财政拨款收、支总计均为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万元。与上年度相比，财政拨款收、支总计各</w:t>
      </w:r>
      <w:r>
        <w:rPr>
          <w:rFonts w:hint="eastAsia" w:ascii="仿宋_GB2312" w:hAnsi="仿宋_GB2312" w:eastAsia="仿宋_GB2312" w:cs="仿宋_GB2312"/>
          <w:sz w:val="32"/>
          <w:szCs w:val="32"/>
          <w:lang w:val="en-US" w:eastAsia="zh-CN"/>
        </w:rPr>
        <w:t>减少549.11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减少4.76</w:t>
      </w:r>
      <w:r>
        <w:rPr>
          <w:rFonts w:hint="eastAsia" w:ascii="仿宋_GB2312" w:hAnsi="仿宋_GB2312" w:eastAsia="仿宋_GB2312" w:cs="仿宋_GB2312"/>
          <w:sz w:val="32"/>
          <w:szCs w:val="32"/>
        </w:rPr>
        <w:t>%。主要原因是我单位本年度相关业务</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导致收支</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五、一般公共预算财政拨款支出决算情况说明</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（一）总体情况。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万元，占支出合计的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%。与上年度相比，一般公共预算财政拨款支出</w:t>
      </w:r>
      <w:r>
        <w:rPr>
          <w:rFonts w:hint="eastAsia" w:ascii="仿宋_GB2312" w:hAnsi="仿宋_GB2312" w:eastAsia="仿宋_GB2312" w:cs="仿宋_GB2312"/>
          <w:sz w:val="32"/>
          <w:szCs w:val="32"/>
          <w:lang w:val="en-US" w:eastAsia="zh-CN"/>
        </w:rPr>
        <w:t>减少549.11</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减少4.76</w:t>
      </w:r>
      <w:r>
        <w:rPr>
          <w:rFonts w:hint="eastAsia" w:ascii="仿宋_GB2312" w:hAnsi="仿宋_GB2312" w:eastAsia="仿宋_GB2312" w:cs="仿宋_GB2312"/>
          <w:sz w:val="32"/>
          <w:szCs w:val="32"/>
        </w:rPr>
        <w:t>%。主要原因是我单位本年度相关业务</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导致收支</w:t>
      </w:r>
      <w:r>
        <w:rPr>
          <w:rFonts w:hint="eastAsia" w:ascii="仿宋_GB2312" w:hAnsi="仿宋_GB2312" w:eastAsia="仿宋_GB2312" w:cs="仿宋_GB2312"/>
          <w:sz w:val="32"/>
          <w:szCs w:val="32"/>
          <w:lang w:val="en-US" w:eastAsia="zh-CN"/>
        </w:rPr>
        <w:t>减少</w:t>
      </w:r>
      <w:r>
        <w:rPr>
          <w:rFonts w:hint="eastAsia" w:ascii="仿宋_GB2312" w:hAnsi="仿宋_GB2312" w:eastAsia="仿宋_GB2312" w:cs="仿宋_GB2312"/>
          <w:sz w:val="32"/>
          <w:szCs w:val="32"/>
        </w:rPr>
        <w:t>。</w:t>
      </w: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（二）结构情况。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年度一般公共预算财政拨款支出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万元，主要用于以下方面：教育（类）支出</w:t>
      </w:r>
      <w:r>
        <w:rPr>
          <w:rFonts w:hint="eastAsia" w:ascii="仿宋_GB2312" w:hAnsi="仿宋_GB2312" w:eastAsia="仿宋_GB2312" w:cs="仿宋_GB2312"/>
          <w:sz w:val="32"/>
          <w:szCs w:val="32"/>
          <w:lang w:val="en-US" w:eastAsia="zh-CN"/>
        </w:rPr>
        <w:t>3194.55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81.74</w:t>
      </w:r>
      <w:r>
        <w:rPr>
          <w:rFonts w:hint="eastAsia" w:ascii="仿宋_GB2312" w:hAnsi="仿宋_GB2312" w:eastAsia="仿宋_GB2312" w:cs="仿宋_GB2312"/>
          <w:sz w:val="32"/>
          <w:szCs w:val="32"/>
        </w:rPr>
        <w:t>%；社会保障和就业（类）支出</w:t>
      </w:r>
      <w:r>
        <w:rPr>
          <w:rFonts w:hint="eastAsia" w:ascii="仿宋_GB2312" w:hAnsi="仿宋_GB2312" w:eastAsia="仿宋_GB2312" w:cs="仿宋_GB2312"/>
          <w:sz w:val="32"/>
          <w:szCs w:val="32"/>
          <w:lang w:val="en-US" w:eastAsia="zh-CN"/>
        </w:rPr>
        <w:t>264.31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6.76</w:t>
      </w:r>
      <w:r>
        <w:rPr>
          <w:rFonts w:hint="eastAsia" w:ascii="仿宋_GB2312" w:hAnsi="仿宋_GB2312" w:eastAsia="仿宋_GB2312" w:cs="仿宋_GB2312"/>
          <w:sz w:val="32"/>
          <w:szCs w:val="32"/>
        </w:rPr>
        <w:t>%；住房保障（类）支出</w:t>
      </w:r>
      <w:r>
        <w:rPr>
          <w:rFonts w:hint="eastAsia" w:ascii="仿宋_GB2312" w:hAnsi="仿宋_GB2312" w:eastAsia="仿宋_GB2312" w:cs="仿宋_GB2312"/>
          <w:sz w:val="32"/>
          <w:szCs w:val="32"/>
          <w:lang w:val="en-US" w:eastAsia="zh-CN"/>
        </w:rPr>
        <w:t>247.57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6.34</w:t>
      </w:r>
      <w:r>
        <w:rPr>
          <w:rFonts w:hint="eastAsia" w:ascii="仿宋_GB2312" w:hAnsi="仿宋_GB2312" w:eastAsia="仿宋_GB2312" w:cs="仿宋_GB2312"/>
          <w:sz w:val="32"/>
          <w:szCs w:val="32"/>
        </w:rPr>
        <w:t>%；其他（类）支出</w:t>
      </w:r>
      <w:r>
        <w:rPr>
          <w:rFonts w:hint="eastAsia" w:ascii="仿宋_GB2312" w:hAnsi="仿宋_GB2312" w:eastAsia="仿宋_GB2312" w:cs="仿宋_GB2312"/>
          <w:sz w:val="32"/>
          <w:szCs w:val="32"/>
          <w:lang w:val="en-US" w:eastAsia="zh-CN"/>
        </w:rPr>
        <w:t>201.53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5.16</w:t>
      </w:r>
      <w:r>
        <w:rPr>
          <w:rFonts w:hint="eastAsia" w:ascii="仿宋_GB2312" w:hAnsi="仿宋_GB2312" w:eastAsia="仿宋_GB2312" w:cs="仿宋_GB2312"/>
          <w:sz w:val="32"/>
          <w:szCs w:val="32"/>
        </w:rPr>
        <w:t>%。</w:t>
      </w:r>
    </w:p>
    <w:p>
      <w:pPr>
        <w:widowControl/>
        <w:spacing w:line="590" w:lineRule="exact"/>
        <w:ind w:firstLine="640" w:firstLineChars="200"/>
        <w:rPr>
          <w:rFonts w:hint="eastAsia" w:ascii="仿宋_GB2312" w:hAnsi="仿宋_GB2312" w:eastAsia="仿宋_GB2312" w:cs="仿宋_GB2312"/>
          <w:sz w:val="32"/>
          <w:szCs w:val="32"/>
        </w:rPr>
      </w:pPr>
    </w:p>
    <w:p>
      <w:pPr>
        <w:widowControl/>
        <w:spacing w:line="59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（三）具体情况。</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年度一般公共预算财政拨款支出年初预算为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1．教育支出（类）普通教育（款）高中教育（项）。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2753.92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2753.92</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%。决算数与年初预算数不存在差异。</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2．教育支出（类）普通教育（款）其他普通教育支出（项）。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52.08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52.08</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%。决算数与年初预算数不存在差异。</w:t>
      </w:r>
    </w:p>
    <w:p>
      <w:pPr>
        <w:widowControl/>
        <w:spacing w:line="590" w:lineRule="exact"/>
        <w:ind w:firstLine="643" w:firstLineChars="200"/>
        <w:rPr>
          <w:rFonts w:hint="eastAsia" w:ascii="仿宋_GB2312" w:hAnsi="仿宋_GB2312" w:eastAsia="仿宋_GB2312" w:cs="仿宋_GB2312"/>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．社会保障和就业支出（类）行政事业单位养老支出（款）机关事业单位基本养老保险缴费支出（项）。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264.31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264.31</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%。决算数与年初预算数不存在差异。</w:t>
      </w:r>
    </w:p>
    <w:p>
      <w:pPr>
        <w:widowControl/>
        <w:spacing w:line="590" w:lineRule="exact"/>
        <w:ind w:firstLine="643" w:firstLineChars="200"/>
        <w:rPr>
          <w:rFonts w:hint="eastAsia" w:ascii="仿宋_GB2312" w:hAnsi="仿宋_GB2312" w:eastAsia="仿宋_GB2312" w:cs="仿宋_GB2312"/>
          <w:sz w:val="32"/>
          <w:szCs w:val="32"/>
        </w:rPr>
      </w:pPr>
      <w:r>
        <w:rPr>
          <w:rFonts w:ascii="仿宋_GB2312" w:hAnsi="仿宋_GB2312" w:eastAsia="仿宋_GB2312" w:cs="仿宋_GB2312"/>
          <w:b/>
          <w:bCs/>
          <w:sz w:val="32"/>
          <w:szCs w:val="32"/>
        </w:rPr>
        <w:t>4</w:t>
      </w:r>
      <w:r>
        <w:rPr>
          <w:rFonts w:hint="eastAsia" w:ascii="仿宋_GB2312" w:hAnsi="仿宋_GB2312" w:eastAsia="仿宋_GB2312" w:cs="仿宋_GB2312"/>
          <w:b/>
          <w:bCs/>
          <w:sz w:val="32"/>
          <w:szCs w:val="32"/>
        </w:rPr>
        <w:t>．住房保障支出（类）城乡社区住宅（款）住房公积金管理（项）。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247.57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247.57</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%。决算数与年初预算数不存在差异。</w:t>
      </w:r>
    </w:p>
    <w:p>
      <w:pPr>
        <w:widowControl/>
        <w:spacing w:line="590" w:lineRule="exact"/>
        <w:ind w:firstLine="643" w:firstLineChars="200"/>
        <w:rPr>
          <w:rFonts w:hint="eastAsia" w:ascii="仿宋_GB2312" w:hAnsi="仿宋_GB2312" w:eastAsia="仿宋_GB2312" w:cs="仿宋_GB2312"/>
          <w:sz w:val="32"/>
          <w:szCs w:val="32"/>
        </w:rPr>
      </w:pPr>
      <w:r>
        <w:rPr>
          <w:rFonts w:ascii="仿宋_GB2312" w:hAnsi="仿宋_GB2312" w:eastAsia="仿宋_GB2312" w:cs="仿宋_GB2312"/>
          <w:b/>
          <w:bCs/>
          <w:sz w:val="32"/>
          <w:szCs w:val="32"/>
        </w:rPr>
        <w:t>5</w:t>
      </w:r>
      <w:r>
        <w:rPr>
          <w:rFonts w:hint="eastAsia" w:ascii="仿宋_GB2312" w:hAnsi="仿宋_GB2312" w:eastAsia="仿宋_GB2312" w:cs="仿宋_GB2312"/>
          <w:b/>
          <w:bCs/>
          <w:sz w:val="32"/>
          <w:szCs w:val="32"/>
        </w:rPr>
        <w:t>．其他支出（类）其他支出（款）其他支出（项）。</w:t>
      </w: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201.53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201.53</w:t>
      </w:r>
      <w:r>
        <w:rPr>
          <w:rFonts w:hint="eastAsia" w:ascii="仿宋_GB2312" w:hAnsi="仿宋_GB2312" w:eastAsia="仿宋_GB2312" w:cs="仿宋_GB2312"/>
          <w:sz w:val="32"/>
          <w:szCs w:val="32"/>
        </w:rPr>
        <w:t>万元，完成年初预算的1</w:t>
      </w:r>
      <w:r>
        <w:rPr>
          <w:rFonts w:ascii="仿宋_GB2312" w:hAnsi="仿宋_GB2312" w:eastAsia="仿宋_GB2312" w:cs="仿宋_GB2312"/>
          <w:sz w:val="32"/>
          <w:szCs w:val="32"/>
        </w:rPr>
        <w:t>00</w:t>
      </w:r>
      <w:r>
        <w:rPr>
          <w:rFonts w:hint="eastAsia" w:ascii="仿宋_GB2312" w:hAnsi="仿宋_GB2312" w:eastAsia="仿宋_GB2312" w:cs="仿宋_GB2312"/>
          <w:sz w:val="32"/>
          <w:szCs w:val="32"/>
        </w:rPr>
        <w:t>%。决算数与年初预算数不存在差异。</w:t>
      </w:r>
    </w:p>
    <w:p>
      <w:pPr>
        <w:widowControl/>
        <w:spacing w:line="590" w:lineRule="exact"/>
        <w:ind w:firstLine="640" w:firstLineChars="200"/>
        <w:rPr>
          <w:rFonts w:hint="eastAsia" w:ascii="仿宋_GB2312" w:hAnsi="仿宋_GB2312" w:eastAsia="仿宋_GB2312" w:cs="仿宋_GB2312"/>
          <w:sz w:val="32"/>
          <w:szCs w:val="32"/>
        </w:rPr>
      </w:pP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六、一般公共预算财政拨款基本支出决算情况说明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年度一般公共预算财政拨款基本支出</w:t>
      </w:r>
      <w:r>
        <w:rPr>
          <w:rFonts w:hint="eastAsia" w:ascii="仿宋_GB2312" w:hAnsi="仿宋_GB2312" w:eastAsia="仿宋_GB2312" w:cs="仿宋_GB2312"/>
          <w:sz w:val="32"/>
          <w:szCs w:val="32"/>
          <w:lang w:val="en-US" w:eastAsia="zh-CN"/>
        </w:rPr>
        <w:t>3907.96</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3642.37</w:t>
      </w:r>
      <w:r>
        <w:rPr>
          <w:rFonts w:hint="eastAsia" w:ascii="仿宋_GB2312" w:hAnsi="仿宋_GB2312" w:eastAsia="仿宋_GB2312" w:cs="仿宋_GB2312"/>
          <w:sz w:val="32"/>
          <w:szCs w:val="32"/>
        </w:rPr>
        <w:t>万元，主要包括：基本工资、津贴补贴、伙食补助费、绩效工资、机关事业单位基本养老保险缴费、职业年金缴费、其他社会保障缴费、其他工资福利支出、离休费、退休费、抚恤金、生活补助、医疗费、奖励金、住房公积金、采暖补贴、物业服务补贴、其他对个人和家庭的补助支出；公用经费</w:t>
      </w:r>
      <w:r>
        <w:rPr>
          <w:rFonts w:hint="eastAsia" w:ascii="仿宋_GB2312" w:hAnsi="仿宋_GB2312" w:eastAsia="仿宋_GB2312" w:cs="仿宋_GB2312"/>
          <w:sz w:val="32"/>
          <w:szCs w:val="32"/>
          <w:lang w:val="en-US" w:eastAsia="zh-CN"/>
        </w:rPr>
        <w:t>265.59</w:t>
      </w:r>
      <w:r>
        <w:rPr>
          <w:rFonts w:hint="eastAsia" w:ascii="仿宋_GB2312" w:hAnsi="仿宋_GB2312" w:eastAsia="仿宋_GB2312" w:cs="仿宋_GB2312"/>
          <w:sz w:val="32"/>
          <w:szCs w:val="32"/>
        </w:rPr>
        <w:t>万元，主要包括：办公费、印刷费、咨询费、手续费、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其他资本性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年度政府性基金预算财政拨款支出年初预算为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%。主要原因我单位本年度没有政府性基金预算财政拨款收入、支出及结转和结余情况。</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w:t>
      </w:r>
      <w:r>
        <w:rPr>
          <w:rFonts w:ascii="黑体" w:hAnsi="黑体" w:eastAsia="黑体" w:cs="黑体"/>
          <w:sz w:val="32"/>
          <w:szCs w:val="32"/>
        </w:rPr>
        <w:t>经营</w:t>
      </w:r>
      <w:r>
        <w:rPr>
          <w:rFonts w:hint="eastAsia" w:ascii="黑体" w:hAnsi="黑体" w:eastAsia="黑体" w:cs="黑体"/>
          <w:sz w:val="32"/>
          <w:szCs w:val="32"/>
        </w:rPr>
        <w:t>预算财政拨款支出决算情况说明</w:t>
      </w:r>
    </w:p>
    <w:p>
      <w:pPr>
        <w:widowControl/>
        <w:spacing w:line="59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年度国有资本</w:t>
      </w:r>
      <w:r>
        <w:rPr>
          <w:rFonts w:ascii="仿宋_GB2312" w:hAnsi="仿宋_GB2312" w:eastAsia="仿宋_GB2312" w:cs="仿宋_GB2312"/>
          <w:sz w:val="32"/>
          <w:szCs w:val="32"/>
        </w:rPr>
        <w:t>经营</w:t>
      </w:r>
      <w:r>
        <w:rPr>
          <w:rFonts w:hint="eastAsia" w:ascii="仿宋_GB2312" w:hAnsi="仿宋_GB2312" w:eastAsia="仿宋_GB2312" w:cs="仿宋_GB2312"/>
          <w:sz w:val="32"/>
          <w:szCs w:val="32"/>
        </w:rPr>
        <w:t>预算财政拨款支出年初预算为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%。主要原因：我单位没有使用国有资本经营预算安排的支出。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九、财政拨款“三公”经费支出决算情况说明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（一）“三公”经费财政拨款支出决算总体情况说明。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年度“三公”经费财政拨款支出预算为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年度“三公”经费支出决算数与预算数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（二）“三公”经费财政拨款支出决算具体情况说明。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年度“三公”经费财政拨款支出决算中，因公出国（境）费支出决算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%；公务用车购置及运行费支出决算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%；公务接待费支出决算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%。具体情况如下：</w:t>
      </w:r>
    </w:p>
    <w:p>
      <w:pPr>
        <w:widowControl/>
        <w:spacing w:line="590" w:lineRule="exact"/>
        <w:ind w:firstLine="643"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1．因公出国（境）费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w:t>
      </w:r>
      <w:r>
        <w:rPr>
          <w:rFonts w:hint="eastAsia" w:ascii="仿宋_GB2312" w:hAnsi="仿宋_GB2312" w:eastAsia="仿宋_GB2312" w:cs="仿宋_GB2312"/>
          <w:sz w:val="32"/>
          <w:szCs w:val="32"/>
          <w:lang w:eastAsia="zh-CN"/>
        </w:rPr>
        <w:t>。</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2．公务用车购置及运行费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公务用车购置支出</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万元，购置车辆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公务用车运行维护支出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年期末，单位开支财政拨款的公务用车保有量为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量。</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3.公务接待费</w:t>
      </w:r>
      <w:r>
        <w:rPr>
          <w:rFonts w:hint="eastAsia" w:ascii="仿宋_GB2312" w:hAnsi="仿宋_GB2312" w:eastAsia="仿宋_GB2312" w:cs="仿宋_GB2312"/>
          <w:sz w:val="32"/>
          <w:szCs w:val="32"/>
        </w:rPr>
        <w:t>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%。决算数与预算数</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rPr>
        <w:t>存在差异。其中：</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外宾接待支出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年共接待国（境）外来访团组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个、来访外宾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其他国内公务接待支出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年共接待国内来访团组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十、机关运行经费支出情况说明</w:t>
      </w:r>
    </w:p>
    <w:p>
      <w:pPr>
        <w:widowControl/>
        <w:spacing w:line="590" w:lineRule="exact"/>
        <w:ind w:firstLine="640" w:firstLineChars="200"/>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我单位不是行政机关，也不是参照公务员管理事业单位，没有机关运行经费支出。</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十一、政府采购支出情况说明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万元，占授予中小</w:t>
      </w:r>
      <w:r>
        <w:rPr>
          <w:rFonts w:ascii="仿宋_GB2312" w:hAnsi="仿宋_GB2312" w:eastAsia="仿宋_GB2312" w:cs="仿宋_GB2312"/>
          <w:sz w:val="32"/>
          <w:szCs w:val="32"/>
        </w:rPr>
        <w:t>企业合同金额</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十二、国有资产占用情况说明</w:t>
      </w:r>
    </w:p>
    <w:p>
      <w:pPr>
        <w:widowControl/>
        <w:spacing w:line="590" w:lineRule="exact"/>
        <w:ind w:firstLine="640" w:firstLineChars="200"/>
        <w:rPr>
          <w:rFonts w:hint="eastAsia" w:ascii="仿宋_GB2312" w:hAnsi="仿宋_GB2312" w:eastAsia="仿宋_GB2312" w:cs="仿宋_GB2312"/>
          <w:sz w:val="32"/>
          <w:szCs w:val="32"/>
        </w:rPr>
      </w:pP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年期末，我单位共有车辆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辆，其中：省级领导干部用车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辆、主要领导干部用车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辆、应急保障车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辆、执法执勤用车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辆、特种专业技术用车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辆、离退休干部用车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辆、其他用车</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辆；单位价值100万元（含）以上设备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p>
    <w:p>
      <w:pPr>
        <w:widowControl/>
        <w:spacing w:line="59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十三、预算绩效情况说明</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（一）绩效管理工作开展情况。</w:t>
      </w:r>
    </w:p>
    <w:p>
      <w:pPr>
        <w:widowControl/>
        <w:spacing w:line="590" w:lineRule="exact"/>
        <w:ind w:firstLine="640" w:firstLineChars="200"/>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年预算项目均按要求编制了绩效目标，从项目产出、项目效益、满意度等方面设置了绩效指标，综合反映项目预期完成的数量、实效、质量，预期达到的社会经济效益、可持续影响以及服务对象满意度等情况。</w:t>
      </w:r>
    </w:p>
    <w:p>
      <w:pPr>
        <w:widowControl/>
        <w:spacing w:line="590" w:lineRule="exact"/>
        <w:ind w:firstLine="643" w:firstLineChars="200"/>
        <w:outlineLvl w:val="2"/>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（二）项目绩效自评结果。</w:t>
      </w:r>
    </w:p>
    <w:p>
      <w:pPr>
        <w:widowControl/>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年度，经预算绩效自评，信阳市第四高级中学预算资金使用高效，充分发挥了财政资金合理安排的使用。</w:t>
      </w: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widowControl/>
        <w:jc w:val="left"/>
        <w:rPr>
          <w:rFonts w:hint="eastAsia" w:ascii="仿宋_GB2312" w:hAnsi="仿宋_GB2312" w:eastAsia="仿宋_GB2312" w:cs="仿宋_GB2312"/>
          <w:sz w:val="32"/>
          <w:szCs w:val="32"/>
        </w:rPr>
      </w:pPr>
    </w:p>
    <w:p>
      <w:pPr>
        <w:jc w:val="center"/>
        <w:outlineLvl w:val="0"/>
        <w:rPr>
          <w:rFonts w:hint="eastAsia" w:ascii="黑体" w:hAnsi="黑体" w:eastAsia="黑体" w:cs="黑体"/>
          <w:sz w:val="48"/>
          <w:szCs w:val="48"/>
        </w:rPr>
      </w:pPr>
      <w:r>
        <w:rPr>
          <w:rFonts w:hint="eastAsia" w:ascii="黑体" w:hAnsi="黑体" w:eastAsia="黑体" w:cs="黑体"/>
          <w:sz w:val="48"/>
          <w:szCs w:val="48"/>
        </w:rPr>
        <w:t>第四部分  名词解释</w:t>
      </w:r>
    </w:p>
    <w:p>
      <w:pPr>
        <w:jc w:val="center"/>
        <w:rPr>
          <w:rFonts w:hint="eastAsia" w:ascii="黑体" w:hAnsi="黑体" w:eastAsia="黑体" w:cs="黑体"/>
          <w:sz w:val="48"/>
          <w:szCs w:val="48"/>
        </w:rPr>
      </w:pPr>
    </w:p>
    <w:p>
      <w:pPr>
        <w:jc w:val="center"/>
        <w:outlineLvl w:val="0"/>
        <w:rPr>
          <w:rFonts w:hint="eastAsia" w:ascii="黑体" w:hAnsi="黑体" w:eastAsia="黑体" w:cs="黑体"/>
          <w:sz w:val="48"/>
          <w:szCs w:val="48"/>
        </w:rPr>
        <w:sectPr>
          <w:pgSz w:w="11906" w:h="16838"/>
          <w:pgMar w:top="1440" w:right="1531" w:bottom="1440" w:left="1587" w:header="850" w:footer="992" w:gutter="0"/>
          <w:pgNumType w:fmt="numberInDash"/>
          <w:cols w:space="720" w:num="1"/>
          <w:docGrid w:type="lines" w:linePitch="317" w:charSpace="0"/>
        </w:sectPr>
      </w:pP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一、财政拨款收入：单位从同级政府财政部门取得的财政预算资金。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二、事业收入：事业单位开展专业业务活动及其辅助活动取得的收入。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三、上级补助收入：事业单位从主管部门和上级单位取得的非财政补助收入。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四、附属单位上缴收入：事业单位取得附属独立核算单位根据有关规定上缴的收入。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五、经营收入：事业单位在专业业务活动及其辅助活动之外开展非独立核算经营活动取得的收入。</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六、其他收入：单位取得的除“财政拨款收入”、“事业收入”、“上级补助收入”、“附属单位上缴收入”、“经营收入”以外的各项收入。</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七、使用非财政拨款结余：指事业单位使用以前年度积累的非财政拨款结余弥补当年收支差额的金额。</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年初结转和结余：指单位以前年度尚未完成、结转到本年仍按原规定用途继续使用的资金，或项目已完成等产生的结余资金。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九、基本支出：为保障机构正常运转、完成日常工作任务而发生的人员支出和公用支出。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十、项目支出：基本支出之外为完成特定行政任务和事业发展目标所发生的支出。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w:t>
      </w:r>
      <w:r>
        <w:rPr>
          <w:rFonts w:ascii="仿宋_GB2312" w:hAnsi="仿宋_GB2312" w:eastAsia="仿宋_GB2312" w:cs="仿宋_GB2312"/>
          <w:sz w:val="32"/>
          <w:szCs w:val="32"/>
        </w:rPr>
        <w:t>、经营支出：指事业单位在专业业务活动及其辅助活动之外开展非独立核算经营活动发生的支出。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十二、工资福利支出：单位支付给在职职工和编制外长期聘用人员的各类劳动报酬，以及为上述人员缴纳的各项社会保险费等。</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十三、商品和服务支出：单位购买商品和服务的支出。</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十四、对个人和家庭的补助支出：单位用于对个人和家庭的补助支出。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w:t>
      </w:r>
      <w:r>
        <w:rPr>
          <w:rFonts w:ascii="仿宋_GB2312" w:hAnsi="仿宋_GB2312" w:eastAsia="仿宋_GB2312" w:cs="仿宋_GB2312"/>
          <w:sz w:val="32"/>
          <w:szCs w:val="32"/>
        </w:rPr>
        <w:t>结余分配：指事业单位按照会计制度规定缴纳的所得税、提取的专用结余以及转入非财政拨款结余的金额等。</w:t>
      </w:r>
    </w:p>
    <w:p>
      <w:pPr>
        <w:widowControl/>
        <w:spacing w:line="59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十六、年末结转和</w:t>
      </w:r>
      <w:r>
        <w:rPr>
          <w:rFonts w:ascii="仿宋_GB2312" w:hAnsi="仿宋_GB2312" w:eastAsia="仿宋_GB2312" w:cs="仿宋_GB2312"/>
          <w:sz w:val="32"/>
          <w:szCs w:val="32"/>
        </w:rPr>
        <w:t>结余</w:t>
      </w:r>
      <w:r>
        <w:rPr>
          <w:rFonts w:hint="eastAsia" w:ascii="仿宋_GB2312" w:hAnsi="仿宋_GB2312" w:eastAsia="仿宋_GB2312" w:cs="仿宋_GB2312"/>
          <w:sz w:val="32"/>
          <w:szCs w:val="32"/>
        </w:rPr>
        <w:t>：指</w:t>
      </w:r>
      <w:r>
        <w:rPr>
          <w:rFonts w:ascii="仿宋_GB2312" w:hAnsi="仿宋_GB2312" w:eastAsia="仿宋_GB2312" w:cs="仿宋_GB2312"/>
          <w:sz w:val="32"/>
          <w:szCs w:val="32"/>
        </w:rPr>
        <w:t>单位按有关规定结转到下年或以后年度</w:t>
      </w:r>
      <w:r>
        <w:rPr>
          <w:rFonts w:hint="eastAsia" w:ascii="仿宋_GB2312" w:hAnsi="仿宋_GB2312" w:eastAsia="仿宋_GB2312" w:cs="仿宋_GB2312"/>
          <w:sz w:val="32"/>
          <w:szCs w:val="32"/>
        </w:rPr>
        <w:t>继续</w:t>
      </w:r>
      <w:r>
        <w:rPr>
          <w:rFonts w:ascii="仿宋_GB2312" w:hAnsi="仿宋_GB2312" w:eastAsia="仿宋_GB2312" w:cs="仿宋_GB2312"/>
          <w:sz w:val="32"/>
          <w:szCs w:val="32"/>
        </w:rPr>
        <w:t>使用的资金，或项目已完成等产生的结余资金。</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三公”经费：纳入同级财政预决算管理“三公”经费，指单位使用财政拨款安排的因公出国（境）费、公务用车购置及运行费和公务接待费。其中，因公出国（境）费反映单位公务出国（境）的国际旅费、国外城市间交通费、住宿费、伙食费、培训费、公杂费等支出；公务用车购置及运行费反映反映单位公务用车车辆购置支出（含车辆购置税）及租用费、燃料费、维修费、过路过桥费、保险费、安全奖励费用等支出；公务接待费反映单位按规定开支的各类公务接待（含外宾接待）支出。</w:t>
      </w:r>
    </w:p>
    <w:p>
      <w:pPr>
        <w:widowControl/>
        <w:spacing w:line="59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90" w:lineRule="exact"/>
        <w:ind w:firstLine="643" w:firstLineChars="200"/>
        <w:jc w:val="left"/>
        <w:rPr>
          <w:rFonts w:hint="eastAsia" w:ascii="仿宋_GB2312" w:hAnsi="仿宋_GB2312" w:eastAsia="仿宋_GB2312" w:cs="仿宋_GB2312"/>
          <w:b/>
          <w:sz w:val="32"/>
          <w:szCs w:val="32"/>
        </w:rPr>
      </w:pPr>
    </w:p>
    <w:sectPr>
      <w:pgSz w:w="11906" w:h="16838"/>
      <w:pgMar w:top="1928" w:right="1474" w:bottom="170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- 31 -</w:t>
                          </w:r>
                          <w:r>
                            <w:rPr>
                              <w:rFonts w:hint="eastAsia"/>
                              <w:sz w:val="18"/>
                            </w:rP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D4j/V8cBAACZ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- 31 -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eastAsia"/>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2Exc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B2ExcoBAACcAwAADgAAAAAAAAABACAAAAAeAQAAZHJzL2Uyb0Rv&#10;Yy54bWxQSwUGAAAAAAYABgBZAQAAWgU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- 30 -</w:t>
                          </w:r>
                          <w:r>
                            <w:rPr>
                              <w:rFonts w:hint="eastAsia"/>
                              <w:sz w:val="18"/>
                            </w:rP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ITyRccBAACaAwAADgAAAGRycy9lMm9Eb2MueG1srVNNrtMwEN4jcQfL&#10;e+q0Eq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SpZF&#10;nz5AjWkPARPT8MYPuDVZt+wHdGbag4o2f5EQwTiqe76qK4dERH60Xq3XFYYExuYL4rDb8xAhvZXe&#10;kmw0NOL4iqr89B7SmDqn5GrO32tjygiN+8uBmNnDbj1mKw37YWp879sz8ulx8g11uOiUmHcOhc1L&#10;MhtxNvazcQxRH7qyRbkehNfHhE2U3nKFEXYqjCMr7Kb1yjvx571k3X6p7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zITyRccBAACaAwAADgAAAAAAAAABACAAAAAeAQAAZHJzL2Uyb0RvYy54&#10;bWxQSwUGAAAAAAYABgBZAQAAVw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- 30 -</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wps:txbx>
                    <wps:bodyPr wrap="none" lIns="0" tIns="0" rIns="0" bIns="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W1TIQyQEAAJkDAAAOAAAAAAAAAAEAIAAAAB4BAABkcnMvZTJvRG9j&#10;LnhtbFBLBQYAAAAABgAGAFkBAABZ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- 23 -</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eastAsia"/>
                            </w:rPr>
                          </w:pP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TCrejLAQAAnAMAAA4AAAAAAAAAAQAgAAAAHgEAAGRycy9lMm9E&#10;b2MueG1sUEsFBgAAAAAGAAYAWQEAAFsFAAAAAA==&#10;">
              <v:fill on="f" focussize="0,0"/>
              <v:stroke on="f"/>
              <v:imagedata o:title=""/>
              <o:lock v:ext="edit" aspectratio="f"/>
              <v:textbox inset="0mm,0mm,0mm,0mm" style="mso-fit-shape-to-text:t;">
                <w:txbxContent>
                  <w:p>
                    <w:pPr>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XXqVLIAQAAmQMAAA4AAAAAAAAAAQAgAAAAHgEAAGRycy9lMm9Eb2Mu&#10;eG1sUEsFBgAAAAAGAAYAWQEAAFgFA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- 24 -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BE17"/>
    <w:multiLevelType w:val="singleLevel"/>
    <w:tmpl w:val="5971BE17"/>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yOGI2ZmI5Y2IzNDdjYjVjNTRlNzFhMGQ3ODY2MjkifQ=="/>
  </w:docVars>
  <w:rsids>
    <w:rsidRoot w:val="000270E8"/>
    <w:rsid w:val="0001341A"/>
    <w:rsid w:val="00014590"/>
    <w:rsid w:val="000270E8"/>
    <w:rsid w:val="000335B5"/>
    <w:rsid w:val="00041339"/>
    <w:rsid w:val="00050C58"/>
    <w:rsid w:val="000536D4"/>
    <w:rsid w:val="00057AFD"/>
    <w:rsid w:val="000760A2"/>
    <w:rsid w:val="00076410"/>
    <w:rsid w:val="00081835"/>
    <w:rsid w:val="000904B3"/>
    <w:rsid w:val="000C073B"/>
    <w:rsid w:val="000C1142"/>
    <w:rsid w:val="000F6973"/>
    <w:rsid w:val="001003F8"/>
    <w:rsid w:val="001153DF"/>
    <w:rsid w:val="00144159"/>
    <w:rsid w:val="00153782"/>
    <w:rsid w:val="001718A8"/>
    <w:rsid w:val="00182842"/>
    <w:rsid w:val="00184D53"/>
    <w:rsid w:val="001905F2"/>
    <w:rsid w:val="00197592"/>
    <w:rsid w:val="001C32F0"/>
    <w:rsid w:val="001D16C4"/>
    <w:rsid w:val="001D61B1"/>
    <w:rsid w:val="001F5040"/>
    <w:rsid w:val="002006EB"/>
    <w:rsid w:val="00213D0B"/>
    <w:rsid w:val="00214AE1"/>
    <w:rsid w:val="00260D70"/>
    <w:rsid w:val="00281114"/>
    <w:rsid w:val="00282C7F"/>
    <w:rsid w:val="00287811"/>
    <w:rsid w:val="00292B4B"/>
    <w:rsid w:val="002A6352"/>
    <w:rsid w:val="002B3F94"/>
    <w:rsid w:val="002C171D"/>
    <w:rsid w:val="002E6A86"/>
    <w:rsid w:val="00304D04"/>
    <w:rsid w:val="00305B88"/>
    <w:rsid w:val="00315FEB"/>
    <w:rsid w:val="00317A3F"/>
    <w:rsid w:val="004006EF"/>
    <w:rsid w:val="00406392"/>
    <w:rsid w:val="0041489C"/>
    <w:rsid w:val="004207C5"/>
    <w:rsid w:val="0042585F"/>
    <w:rsid w:val="00426114"/>
    <w:rsid w:val="00445CAC"/>
    <w:rsid w:val="00472E19"/>
    <w:rsid w:val="004824E1"/>
    <w:rsid w:val="00487869"/>
    <w:rsid w:val="004D5275"/>
    <w:rsid w:val="004F63DB"/>
    <w:rsid w:val="00505190"/>
    <w:rsid w:val="00507364"/>
    <w:rsid w:val="00546F7C"/>
    <w:rsid w:val="005A0C2F"/>
    <w:rsid w:val="005B1AE2"/>
    <w:rsid w:val="005E3397"/>
    <w:rsid w:val="005E4B20"/>
    <w:rsid w:val="0060785B"/>
    <w:rsid w:val="00607D67"/>
    <w:rsid w:val="006228C4"/>
    <w:rsid w:val="00636C37"/>
    <w:rsid w:val="006512DD"/>
    <w:rsid w:val="00656BEF"/>
    <w:rsid w:val="00656D75"/>
    <w:rsid w:val="00657E86"/>
    <w:rsid w:val="00673EF7"/>
    <w:rsid w:val="00674086"/>
    <w:rsid w:val="006841E9"/>
    <w:rsid w:val="0069449E"/>
    <w:rsid w:val="006B3267"/>
    <w:rsid w:val="006C07F0"/>
    <w:rsid w:val="006C644A"/>
    <w:rsid w:val="006C7D84"/>
    <w:rsid w:val="007148E8"/>
    <w:rsid w:val="00733DAA"/>
    <w:rsid w:val="00742BA0"/>
    <w:rsid w:val="00753545"/>
    <w:rsid w:val="00764156"/>
    <w:rsid w:val="007706D7"/>
    <w:rsid w:val="007879ED"/>
    <w:rsid w:val="007A48A3"/>
    <w:rsid w:val="007C029F"/>
    <w:rsid w:val="007C7F49"/>
    <w:rsid w:val="007D2A21"/>
    <w:rsid w:val="00835830"/>
    <w:rsid w:val="00843461"/>
    <w:rsid w:val="008651E7"/>
    <w:rsid w:val="00872946"/>
    <w:rsid w:val="0088023A"/>
    <w:rsid w:val="008858FB"/>
    <w:rsid w:val="00894B41"/>
    <w:rsid w:val="008B5427"/>
    <w:rsid w:val="008C79C3"/>
    <w:rsid w:val="008C7CD0"/>
    <w:rsid w:val="00903F6B"/>
    <w:rsid w:val="009173F9"/>
    <w:rsid w:val="009308CB"/>
    <w:rsid w:val="00950270"/>
    <w:rsid w:val="00955EB5"/>
    <w:rsid w:val="00962F58"/>
    <w:rsid w:val="00972F3F"/>
    <w:rsid w:val="00975A04"/>
    <w:rsid w:val="009850F4"/>
    <w:rsid w:val="00987E71"/>
    <w:rsid w:val="009F0FBB"/>
    <w:rsid w:val="009F546E"/>
    <w:rsid w:val="00A079F0"/>
    <w:rsid w:val="00A21DB3"/>
    <w:rsid w:val="00A42F43"/>
    <w:rsid w:val="00A47596"/>
    <w:rsid w:val="00A51982"/>
    <w:rsid w:val="00A57BF7"/>
    <w:rsid w:val="00A60EC5"/>
    <w:rsid w:val="00A71DC1"/>
    <w:rsid w:val="00A83D8A"/>
    <w:rsid w:val="00A93E7D"/>
    <w:rsid w:val="00AA260E"/>
    <w:rsid w:val="00AA44CB"/>
    <w:rsid w:val="00AA67CD"/>
    <w:rsid w:val="00AD6761"/>
    <w:rsid w:val="00AE2FEA"/>
    <w:rsid w:val="00AE600E"/>
    <w:rsid w:val="00B0083B"/>
    <w:rsid w:val="00B040BC"/>
    <w:rsid w:val="00B209B8"/>
    <w:rsid w:val="00B20BBC"/>
    <w:rsid w:val="00B249F3"/>
    <w:rsid w:val="00B649BE"/>
    <w:rsid w:val="00B653A5"/>
    <w:rsid w:val="00B65A14"/>
    <w:rsid w:val="00B710DD"/>
    <w:rsid w:val="00B8061A"/>
    <w:rsid w:val="00BE5A85"/>
    <w:rsid w:val="00BF4E6A"/>
    <w:rsid w:val="00BF5718"/>
    <w:rsid w:val="00C07681"/>
    <w:rsid w:val="00C13474"/>
    <w:rsid w:val="00C3106E"/>
    <w:rsid w:val="00C60609"/>
    <w:rsid w:val="00C95CC1"/>
    <w:rsid w:val="00CA3F44"/>
    <w:rsid w:val="00CB03ED"/>
    <w:rsid w:val="00CB72D1"/>
    <w:rsid w:val="00CE212D"/>
    <w:rsid w:val="00CE4B38"/>
    <w:rsid w:val="00D1321A"/>
    <w:rsid w:val="00D23FC6"/>
    <w:rsid w:val="00D30ADF"/>
    <w:rsid w:val="00D33CF8"/>
    <w:rsid w:val="00D6315E"/>
    <w:rsid w:val="00D635ED"/>
    <w:rsid w:val="00D652C2"/>
    <w:rsid w:val="00D74EE2"/>
    <w:rsid w:val="00D83E19"/>
    <w:rsid w:val="00D86CAD"/>
    <w:rsid w:val="00DA00C9"/>
    <w:rsid w:val="00DB200E"/>
    <w:rsid w:val="00DB65F5"/>
    <w:rsid w:val="00E01C3E"/>
    <w:rsid w:val="00E11655"/>
    <w:rsid w:val="00E13099"/>
    <w:rsid w:val="00E4339F"/>
    <w:rsid w:val="00E60B05"/>
    <w:rsid w:val="00E629EA"/>
    <w:rsid w:val="00E6777C"/>
    <w:rsid w:val="00E87A51"/>
    <w:rsid w:val="00EB05A3"/>
    <w:rsid w:val="00ED38B7"/>
    <w:rsid w:val="00EE051D"/>
    <w:rsid w:val="00F0082A"/>
    <w:rsid w:val="00F0131A"/>
    <w:rsid w:val="00F14C17"/>
    <w:rsid w:val="00F17041"/>
    <w:rsid w:val="00F218CF"/>
    <w:rsid w:val="00F44937"/>
    <w:rsid w:val="00F51D42"/>
    <w:rsid w:val="00F61A47"/>
    <w:rsid w:val="00F84422"/>
    <w:rsid w:val="00F95455"/>
    <w:rsid w:val="00FA574D"/>
    <w:rsid w:val="00FC2588"/>
    <w:rsid w:val="00FE7AD9"/>
    <w:rsid w:val="011C7A6A"/>
    <w:rsid w:val="01322275"/>
    <w:rsid w:val="01DC6F05"/>
    <w:rsid w:val="02A3489A"/>
    <w:rsid w:val="02CA138D"/>
    <w:rsid w:val="033646FC"/>
    <w:rsid w:val="03C75F80"/>
    <w:rsid w:val="0478364D"/>
    <w:rsid w:val="053D4C0D"/>
    <w:rsid w:val="0557532E"/>
    <w:rsid w:val="0799329C"/>
    <w:rsid w:val="086F16A7"/>
    <w:rsid w:val="09A17D30"/>
    <w:rsid w:val="0A0F7225"/>
    <w:rsid w:val="0A2B7D82"/>
    <w:rsid w:val="0ADC40E9"/>
    <w:rsid w:val="0AE607F4"/>
    <w:rsid w:val="0B451598"/>
    <w:rsid w:val="0BEC73F4"/>
    <w:rsid w:val="0C392698"/>
    <w:rsid w:val="10BD36F6"/>
    <w:rsid w:val="11BF0649"/>
    <w:rsid w:val="123E3E08"/>
    <w:rsid w:val="13D22E22"/>
    <w:rsid w:val="1574770A"/>
    <w:rsid w:val="161C2DFF"/>
    <w:rsid w:val="16373578"/>
    <w:rsid w:val="16D3336B"/>
    <w:rsid w:val="17806C36"/>
    <w:rsid w:val="17A74F62"/>
    <w:rsid w:val="18A47774"/>
    <w:rsid w:val="1B2E6FD8"/>
    <w:rsid w:val="1B877D21"/>
    <w:rsid w:val="1C4319A9"/>
    <w:rsid w:val="1E443B4B"/>
    <w:rsid w:val="1E994F4A"/>
    <w:rsid w:val="1EAF0224"/>
    <w:rsid w:val="1F2230A4"/>
    <w:rsid w:val="20210932"/>
    <w:rsid w:val="202448E0"/>
    <w:rsid w:val="21302EEA"/>
    <w:rsid w:val="22376FB5"/>
    <w:rsid w:val="23E152D7"/>
    <w:rsid w:val="255D43C8"/>
    <w:rsid w:val="26876BDD"/>
    <w:rsid w:val="2714632A"/>
    <w:rsid w:val="27B0539E"/>
    <w:rsid w:val="29365CF8"/>
    <w:rsid w:val="299469B3"/>
    <w:rsid w:val="2A805789"/>
    <w:rsid w:val="2ADC0D75"/>
    <w:rsid w:val="2B4A0E52"/>
    <w:rsid w:val="2C8B3B75"/>
    <w:rsid w:val="2C975890"/>
    <w:rsid w:val="2DEF21BB"/>
    <w:rsid w:val="2E4A2F05"/>
    <w:rsid w:val="2ECC1061"/>
    <w:rsid w:val="2FA476AD"/>
    <w:rsid w:val="303F7540"/>
    <w:rsid w:val="31DD00BF"/>
    <w:rsid w:val="3293174C"/>
    <w:rsid w:val="32BB38D4"/>
    <w:rsid w:val="32C9376D"/>
    <w:rsid w:val="33780472"/>
    <w:rsid w:val="33AF0905"/>
    <w:rsid w:val="355932F4"/>
    <w:rsid w:val="35611882"/>
    <w:rsid w:val="36746FC3"/>
    <w:rsid w:val="368763AE"/>
    <w:rsid w:val="395D59E7"/>
    <w:rsid w:val="39A93932"/>
    <w:rsid w:val="3A915562"/>
    <w:rsid w:val="3B8D4765"/>
    <w:rsid w:val="3C000DBA"/>
    <w:rsid w:val="3C6D3F75"/>
    <w:rsid w:val="3DC045D3"/>
    <w:rsid w:val="3E504FFB"/>
    <w:rsid w:val="3E615CD0"/>
    <w:rsid w:val="3E8C435E"/>
    <w:rsid w:val="3E9C47F6"/>
    <w:rsid w:val="3F8B0112"/>
    <w:rsid w:val="3FAB3095"/>
    <w:rsid w:val="3FE45947"/>
    <w:rsid w:val="41242965"/>
    <w:rsid w:val="435671EA"/>
    <w:rsid w:val="440809E9"/>
    <w:rsid w:val="442407A6"/>
    <w:rsid w:val="44805EA1"/>
    <w:rsid w:val="45710696"/>
    <w:rsid w:val="46142B1B"/>
    <w:rsid w:val="47E60DD0"/>
    <w:rsid w:val="48735039"/>
    <w:rsid w:val="492C684B"/>
    <w:rsid w:val="49500594"/>
    <w:rsid w:val="49E7604E"/>
    <w:rsid w:val="4BF67CDD"/>
    <w:rsid w:val="4D173441"/>
    <w:rsid w:val="4D603DD6"/>
    <w:rsid w:val="4EBF010F"/>
    <w:rsid w:val="4F471EB0"/>
    <w:rsid w:val="51331326"/>
    <w:rsid w:val="51740A7F"/>
    <w:rsid w:val="51A5541E"/>
    <w:rsid w:val="51C96242"/>
    <w:rsid w:val="53906AE1"/>
    <w:rsid w:val="54F46F60"/>
    <w:rsid w:val="55A37BEA"/>
    <w:rsid w:val="56362CD2"/>
    <w:rsid w:val="5784687B"/>
    <w:rsid w:val="57846959"/>
    <w:rsid w:val="578E6A87"/>
    <w:rsid w:val="5AC2203A"/>
    <w:rsid w:val="5B7F5B48"/>
    <w:rsid w:val="5CBB3334"/>
    <w:rsid w:val="5D115FAF"/>
    <w:rsid w:val="5FA221E0"/>
    <w:rsid w:val="61F651DA"/>
    <w:rsid w:val="62811722"/>
    <w:rsid w:val="62E75A72"/>
    <w:rsid w:val="64571880"/>
    <w:rsid w:val="649125B6"/>
    <w:rsid w:val="652F4C1A"/>
    <w:rsid w:val="666D37F1"/>
    <w:rsid w:val="67087D8F"/>
    <w:rsid w:val="671F687E"/>
    <w:rsid w:val="67F415F8"/>
    <w:rsid w:val="682640D1"/>
    <w:rsid w:val="684B73E5"/>
    <w:rsid w:val="690767C6"/>
    <w:rsid w:val="6A047A2A"/>
    <w:rsid w:val="6CD119C9"/>
    <w:rsid w:val="6DA819E7"/>
    <w:rsid w:val="6EFB7548"/>
    <w:rsid w:val="6F3831C3"/>
    <w:rsid w:val="6F8B71C1"/>
    <w:rsid w:val="70753482"/>
    <w:rsid w:val="707B522A"/>
    <w:rsid w:val="70D80585"/>
    <w:rsid w:val="73194D05"/>
    <w:rsid w:val="73A83B0E"/>
    <w:rsid w:val="744D3EF9"/>
    <w:rsid w:val="74794411"/>
    <w:rsid w:val="75867C40"/>
    <w:rsid w:val="75B10B26"/>
    <w:rsid w:val="76432199"/>
    <w:rsid w:val="76F44829"/>
    <w:rsid w:val="77A267C0"/>
    <w:rsid w:val="78882278"/>
    <w:rsid w:val="78B118A6"/>
    <w:rsid w:val="79135044"/>
    <w:rsid w:val="7A7D0F99"/>
    <w:rsid w:val="7DEE790D"/>
    <w:rsid w:val="7E4A0E7C"/>
    <w:rsid w:val="7EFD44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unhideWhenUsed/>
    <w:qFormat/>
    <w:uiPriority w:val="99"/>
    <w:rPr>
      <w:color w:val="800080"/>
      <w:u w:val="single"/>
    </w:rPr>
  </w:style>
  <w:style w:type="character" w:styleId="9">
    <w:name w:val="Hyperlink"/>
    <w:unhideWhenUsed/>
    <w:qFormat/>
    <w:uiPriority w:val="99"/>
    <w:rPr>
      <w:color w:val="0000FF"/>
      <w:u w:val="single"/>
    </w:rPr>
  </w:style>
  <w:style w:type="character" w:customStyle="1" w:styleId="10">
    <w:name w:val="批注框文本 Char"/>
    <w:link w:val="2"/>
    <w:semiHidden/>
    <w:qFormat/>
    <w:uiPriority w:val="99"/>
    <w:rPr>
      <w:kern w:val="2"/>
      <w:sz w:val="18"/>
      <w:szCs w:val="18"/>
    </w:rPr>
  </w:style>
  <w:style w:type="character" w:customStyle="1" w:styleId="11">
    <w:name w:val="页脚 Char"/>
    <w:link w:val="3"/>
    <w:qFormat/>
    <w:uiPriority w:val="99"/>
    <w:rPr>
      <w:kern w:val="2"/>
      <w:sz w:val="18"/>
      <w:szCs w:val="18"/>
    </w:rPr>
  </w:style>
  <w:style w:type="character" w:customStyle="1" w:styleId="12">
    <w:name w:val="页眉 Char"/>
    <w:link w:val="4"/>
    <w:qFormat/>
    <w:uiPriority w:val="99"/>
    <w:rPr>
      <w:kern w:val="2"/>
      <w:sz w:val="18"/>
      <w:szCs w:val="18"/>
    </w:rPr>
  </w:style>
  <w:style w:type="character" w:customStyle="1" w:styleId="13">
    <w:name w:val="font01"/>
    <w:qFormat/>
    <w:uiPriority w:val="0"/>
    <w:rPr>
      <w:rFonts w:hint="eastAsia" w:ascii="宋体" w:hAnsi="宋体" w:eastAsia="宋体" w:cs="宋体"/>
      <w:color w:val="000000"/>
      <w:sz w:val="22"/>
      <w:szCs w:val="22"/>
      <w:u w:val="none"/>
    </w:rPr>
  </w:style>
  <w:style w:type="character" w:customStyle="1" w:styleId="14">
    <w:name w:val="font21"/>
    <w:qFormat/>
    <w:uiPriority w:val="0"/>
    <w:rPr>
      <w:rFonts w:hint="eastAsia" w:ascii="宋体" w:hAnsi="宋体" w:eastAsia="宋体" w:cs="宋体"/>
      <w:color w:val="000000"/>
      <w:sz w:val="22"/>
      <w:szCs w:val="22"/>
      <w:u w:val="none"/>
    </w:rPr>
  </w:style>
  <w:style w:type="character" w:customStyle="1" w:styleId="15">
    <w:name w:val="font51"/>
    <w:qFormat/>
    <w:uiPriority w:val="0"/>
    <w:rPr>
      <w:rFonts w:hint="eastAsia" w:ascii="宋体" w:hAnsi="宋体" w:eastAsia="宋体" w:cs="宋体"/>
      <w:color w:val="000000"/>
      <w:sz w:val="24"/>
      <w:szCs w:val="24"/>
      <w:u w:val="none"/>
    </w:rPr>
  </w:style>
  <w:style w:type="character" w:customStyle="1" w:styleId="16">
    <w:name w:val="font11"/>
    <w:qFormat/>
    <w:uiPriority w:val="0"/>
    <w:rPr>
      <w:rFonts w:hint="eastAsia" w:ascii="宋体" w:hAnsi="宋体" w:eastAsia="宋体" w:cs="宋体"/>
      <w:color w:val="000000"/>
      <w:sz w:val="20"/>
      <w:szCs w:val="20"/>
      <w:u w:val="none"/>
    </w:rPr>
  </w:style>
  <w:style w:type="character" w:customStyle="1" w:styleId="17">
    <w:name w:val="font4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 User</Company>
  <Pages>30</Pages>
  <Words>613</Words>
  <Characters>625</Characters>
  <Lines>64</Lines>
  <Paragraphs>18</Paragraphs>
  <TotalTime>0</TotalTime>
  <ScaleCrop>false</ScaleCrop>
  <LinksUpToDate>false</LinksUpToDate>
  <CharactersWithSpaces>637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2007-11-29T03:41:00Z</dcterms:created>
  <dc:creator>管理者</dc:creator>
  <cp:lastModifiedBy>Administrator</cp:lastModifiedBy>
  <cp:lastPrinted>2023-07-28T02:40:00Z</cp:lastPrinted>
  <dcterms:modified xsi:type="dcterms:W3CDTF">2025-12-02T06:55:57Z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A14C45E086FD42F58C980C33B5499280_13</vt:lpwstr>
  </property>
  <property fmtid="{D5CDD505-2E9C-101B-9397-08002B2CF9AE}" pid="4" name="KSOTemplateDocerSaveRecord">
    <vt:lpwstr>eyJoZGlkIjoiM2IxOTYxNTQ0ODcxNzBlNjg0NTZmNjc4ODJjZTIzMDQiLCJ1c2VySWQiOiIzNzUzMTA4ODQifQ==</vt:lpwstr>
  </property>
</Properties>
</file>