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2BFC4">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w:t>
      </w:r>
      <w:r>
        <w:rPr>
          <w:rFonts w:hint="eastAsia" w:ascii="Times New Roman" w:hAnsi="Times New Roman" w:eastAsia="黑体" w:cs="Times New Roman"/>
          <w:color w:val="auto"/>
          <w:kern w:val="2"/>
          <w:sz w:val="32"/>
          <w:szCs w:val="32"/>
          <w:lang w:val="en-US" w:eastAsia="zh-CN" w:bidi="ar-SA"/>
        </w:rPr>
        <w:t xml:space="preserve">  </w:t>
      </w:r>
      <w:r>
        <w:rPr>
          <w:rFonts w:hint="default" w:ascii="Times New Roman" w:hAnsi="Times New Roman" w:eastAsia="黑体" w:cs="Times New Roman"/>
          <w:color w:val="auto"/>
          <w:kern w:val="2"/>
          <w:sz w:val="32"/>
          <w:szCs w:val="32"/>
          <w:lang w:val="en-US" w:eastAsia="zh-CN" w:bidi="ar-SA"/>
        </w:rPr>
        <w:t>件</w:t>
      </w:r>
    </w:p>
    <w:p w14:paraId="132876CD">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default" w:ascii="Times New Roman" w:hAnsi="Times New Roman" w:eastAsia="黑体" w:cs="Times New Roman"/>
          <w:color w:val="auto"/>
          <w:kern w:val="2"/>
          <w:sz w:val="32"/>
          <w:szCs w:val="32"/>
          <w:lang w:val="en-US" w:eastAsia="zh-CN" w:bidi="ar-SA"/>
        </w:rPr>
      </w:pPr>
    </w:p>
    <w:p w14:paraId="5CCCC756">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default" w:ascii="Times New Roman" w:hAnsi="Times New Roman" w:eastAsia="黑体" w:cs="Times New Roman"/>
          <w:color w:val="auto"/>
          <w:kern w:val="2"/>
          <w:sz w:val="32"/>
          <w:szCs w:val="32"/>
          <w:lang w:val="en-US" w:eastAsia="zh-CN" w:bidi="ar-SA"/>
        </w:rPr>
      </w:pPr>
    </w:p>
    <w:p w14:paraId="7D25A166">
      <w:pPr>
        <w:spacing w:line="600" w:lineRule="exact"/>
        <w:jc w:val="center"/>
        <w:textAlignment w:val="auto"/>
        <w:outlineLvl w:val="9"/>
        <w:rPr>
          <w:rFonts w:hint="eastAsia" w:ascii="Times New Roman" w:hAnsi="Times New Roman" w:eastAsia="方正小标宋简体" w:cs="Times New Roman"/>
          <w:color w:val="auto"/>
          <w:kern w:val="2"/>
          <w:sz w:val="44"/>
          <w:szCs w:val="44"/>
          <w:lang w:val="en-US" w:eastAsia="zh-CN" w:bidi="ar-SA"/>
        </w:rPr>
      </w:pPr>
    </w:p>
    <w:p w14:paraId="19B64C58">
      <w:pPr>
        <w:spacing w:line="900" w:lineRule="exact"/>
        <w:jc w:val="center"/>
        <w:textAlignment w:val="auto"/>
        <w:outlineLvl w:val="9"/>
        <w:rPr>
          <w:rFonts w:hint="eastAsia" w:ascii="Times New Roman" w:hAnsi="Times New Roman" w:eastAsia="方正小标宋简体" w:cs="Times New Roman"/>
          <w:kern w:val="2"/>
          <w:sz w:val="56"/>
          <w:szCs w:val="56"/>
          <w:lang w:val="en-US" w:eastAsia="zh-CN" w:bidi="ar-SA"/>
        </w:rPr>
      </w:pPr>
      <w:r>
        <w:rPr>
          <w:rFonts w:hint="eastAsia" w:ascii="Times New Roman" w:hAnsi="Times New Roman" w:eastAsia="方正小标宋简体" w:cs="Times New Roman"/>
          <w:color w:val="auto"/>
          <w:kern w:val="2"/>
          <w:sz w:val="56"/>
          <w:szCs w:val="56"/>
          <w:lang w:val="en-US" w:eastAsia="zh-CN" w:bidi="ar-SA"/>
        </w:rPr>
        <w:t>河南融入服务全国统一大市场</w:t>
      </w:r>
    </w:p>
    <w:p w14:paraId="6ADE6DE4">
      <w:pPr>
        <w:spacing w:line="900" w:lineRule="exact"/>
        <w:jc w:val="center"/>
        <w:textAlignment w:val="auto"/>
        <w:outlineLvl w:val="9"/>
        <w:rPr>
          <w:rFonts w:hint="eastAsia" w:ascii="Times New Roman" w:hAnsi="Times New Roman" w:eastAsia="方正小标宋简体" w:cs="Times New Roman"/>
          <w:color w:val="auto"/>
          <w:kern w:val="2"/>
          <w:sz w:val="56"/>
          <w:szCs w:val="56"/>
          <w:lang w:val="en-US" w:eastAsia="zh-CN" w:bidi="ar-SA"/>
        </w:rPr>
      </w:pPr>
      <w:r>
        <w:rPr>
          <w:rFonts w:hint="eastAsia" w:ascii="Times New Roman" w:hAnsi="Times New Roman" w:eastAsia="方正小标宋简体" w:cs="Times New Roman"/>
          <w:color w:val="auto"/>
          <w:kern w:val="2"/>
          <w:sz w:val="56"/>
          <w:szCs w:val="56"/>
          <w:lang w:val="en-US" w:eastAsia="zh-CN" w:bidi="ar-SA"/>
        </w:rPr>
        <w:t>第二批改革典型案例</w:t>
      </w:r>
    </w:p>
    <w:p w14:paraId="154C8A1B">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default" w:ascii="Times New Roman" w:hAnsi="Times New Roman" w:eastAsia="黑体" w:cs="Times New Roman"/>
          <w:color w:val="auto"/>
          <w:kern w:val="2"/>
          <w:sz w:val="32"/>
          <w:szCs w:val="32"/>
          <w:lang w:val="en-US" w:eastAsia="zh-CN" w:bidi="ar-SA"/>
        </w:rPr>
      </w:pPr>
    </w:p>
    <w:p w14:paraId="56E2870D">
      <w:pPr>
        <w:pStyle w:val="8"/>
        <w:keepNext w:val="0"/>
        <w:keepLines w:val="0"/>
        <w:pageBreakBefore w:val="0"/>
        <w:widowControl w:val="0"/>
        <w:kinsoku/>
        <w:wordWrap/>
        <w:overflowPunct/>
        <w:topLinePunct w:val="0"/>
        <w:autoSpaceDE/>
        <w:autoSpaceDN/>
        <w:bidi w:val="0"/>
        <w:adjustRightInd/>
        <w:snapToGrid/>
        <w:spacing w:line="240" w:lineRule="auto"/>
        <w:ind w:left="0" w:right="0" w:rightChars="0"/>
        <w:jc w:val="both"/>
        <w:textAlignment w:val="baseline"/>
        <w:outlineLvl w:val="9"/>
        <w:rPr>
          <w:rFonts w:hint="eastAsia" w:ascii="Times New Roman" w:hAnsi="Times New Roman" w:eastAsia="仿宋_GB2312" w:cs="Times New Roman"/>
          <w:color w:val="auto"/>
          <w:kern w:val="2"/>
          <w:sz w:val="32"/>
          <w:szCs w:val="32"/>
          <w:lang w:val="en-US" w:eastAsia="zh-CN" w:bidi="ar-SA"/>
        </w:rPr>
      </w:pPr>
      <w:bookmarkStart w:id="0" w:name="_GoBack"/>
      <w:bookmarkEnd w:id="0"/>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案例1</w:t>
      </w:r>
      <w:r>
        <w:rPr>
          <w:rFonts w:hint="eastAsia" w:ascii="Times New Roman" w:hAnsi="Times New Roman" w:eastAsia="仿宋_GB2312" w:cs="Times New Roman"/>
          <w:color w:val="auto"/>
          <w:kern w:val="2"/>
          <w:sz w:val="32"/>
          <w:szCs w:val="32"/>
          <w:lang w:val="en-US" w:eastAsia="zh-CN" w:bidi="ar-SA"/>
        </w:rPr>
        <w:t xml:space="preserve">                             </w:t>
      </w:r>
    </w:p>
    <w:p w14:paraId="65F78D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lang w:val="en-US" w:eastAsia="zh-CN"/>
        </w:rPr>
      </w:pPr>
    </w:p>
    <w:p w14:paraId="509FE1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河南省发展和改革委员会</w:t>
      </w:r>
    </w:p>
    <w:p w14:paraId="2FDBAA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推行专项信用报告代替无违法违规记录证明</w:t>
      </w:r>
    </w:p>
    <w:p w14:paraId="08FB1B8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小标宋简体"/>
          <w:sz w:val="44"/>
          <w:szCs w:val="44"/>
        </w:rPr>
      </w:pPr>
      <w:r>
        <w:rPr>
          <w:rFonts w:hint="eastAsia" w:ascii="Times New Roman" w:hAnsi="Times New Roman" w:eastAsia="方正小标宋简体"/>
          <w:sz w:val="44"/>
          <w:szCs w:val="44"/>
        </w:rPr>
        <w:t>助力经营主体降本增效</w:t>
      </w:r>
    </w:p>
    <w:p w14:paraId="42DC371B">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textAlignment w:val="auto"/>
        <w:outlineLvl w:val="9"/>
        <w:rPr>
          <w:rFonts w:hint="default"/>
        </w:rPr>
      </w:pPr>
    </w:p>
    <w:p w14:paraId="438E83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imes New Roman" w:hAnsi="Times New Roman" w:eastAsia="楷体_GB2312" w:cs="楷体_GB2312"/>
          <w:sz w:val="32"/>
          <w:szCs w:val="32"/>
          <w:lang w:val="en-US" w:eastAsia="zh-CN"/>
        </w:rPr>
      </w:pPr>
      <w:r>
        <w:rPr>
          <w:rFonts w:hint="eastAsia" w:ascii="黑体" w:hAnsi="黑体" w:eastAsia="黑体" w:cs="黑体"/>
          <w:sz w:val="32"/>
          <w:szCs w:val="32"/>
          <w:lang w:val="en-US" w:eastAsia="zh-CN"/>
        </w:rPr>
        <w:t>推荐词：</w:t>
      </w:r>
      <w:r>
        <w:rPr>
          <w:rFonts w:hint="eastAsia" w:ascii="Times New Roman" w:hAnsi="Times New Roman" w:eastAsia="楷体_GB2312" w:cs="楷体_GB2312"/>
          <w:sz w:val="32"/>
          <w:szCs w:val="32"/>
          <w:lang w:val="en-US" w:eastAsia="zh-CN"/>
        </w:rPr>
        <w:t>河南省发展和改革委员会针对无违法违规证明开具繁、久、难的突出问题，加快提升全省信用信息归集共享水平，以推行专项信用报告代替无违法违规记录证明改革为切口，依托“信用中国（河南）”网站免费为市场主体出具专项信用报告，代替省内47个领域出具的无违法违规记录证明，适用于融资、政策支持、行政管理、商务、评优评先等事项，大幅降低了企业的制度性成本，提高了行政服务整体效能。</w:t>
      </w:r>
    </w:p>
    <w:p w14:paraId="50413BA5">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实施背景</w:t>
      </w:r>
    </w:p>
    <w:p w14:paraId="749FE9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无违法违规证明是企业申请上市、开展再融资、参与招投标、申请政策优惠等市场经营活动中的必备材料之一，</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lang w:val="en-US" w:eastAsia="zh-CN"/>
        </w:rPr>
        <w:t>耗费大量的人力和时间成本</w:t>
      </w:r>
      <w:r>
        <w:rPr>
          <w:rFonts w:hint="eastAsia" w:ascii="Times New Roman" w:hAnsi="Times New Roman" w:eastAsia="仿宋_GB2312" w:cs="Times New Roman"/>
          <w:sz w:val="32"/>
          <w:szCs w:val="32"/>
          <w:lang w:val="en-US" w:eastAsia="zh-CN"/>
        </w:rPr>
        <w:t>，赴</w:t>
      </w:r>
      <w:r>
        <w:rPr>
          <w:rFonts w:hint="default" w:ascii="Times New Roman" w:hAnsi="Times New Roman" w:eastAsia="仿宋_GB2312" w:cs="Times New Roman"/>
          <w:sz w:val="32"/>
          <w:szCs w:val="32"/>
          <w:lang w:val="en-US" w:eastAsia="zh-CN"/>
        </w:rPr>
        <w:t>各个职能部门开具，面临着提交场</w:t>
      </w:r>
      <w:r>
        <w:rPr>
          <w:rFonts w:hint="default" w:ascii="Times New Roman" w:hAnsi="Times New Roman" w:eastAsia="仿宋_GB2312" w:cs="仿宋_GB2312"/>
          <w:sz w:val="32"/>
          <w:szCs w:val="32"/>
          <w:lang w:val="en-US" w:eastAsia="zh-CN"/>
        </w:rPr>
        <w:t>景多、开具数量多、办理部门多、耗费时间长</w:t>
      </w:r>
      <w:r>
        <w:rPr>
          <w:rFonts w:hint="eastAsia" w:ascii="仿宋_GB2312" w:hAnsi="仿宋_GB2312" w:eastAsia="仿宋_GB2312" w:cs="仿宋_GB2312"/>
          <w:sz w:val="32"/>
          <w:szCs w:val="32"/>
          <w:lang w:val="en-US" w:eastAsia="zh-CN"/>
        </w:rPr>
        <w:t>等“三多一长”</w:t>
      </w:r>
      <w:r>
        <w:rPr>
          <w:rFonts w:hint="default" w:ascii="Times New Roman" w:hAnsi="Times New Roman" w:eastAsia="仿宋_GB2312" w:cs="仿宋_GB2312"/>
          <w:sz w:val="32"/>
          <w:szCs w:val="32"/>
          <w:lang w:val="en-US" w:eastAsia="zh-CN"/>
        </w:rPr>
        <w:t>问题。</w:t>
      </w:r>
      <w:r>
        <w:rPr>
          <w:rFonts w:hint="eastAsia" w:ascii="Times New Roman" w:hAnsi="Times New Roman" w:eastAsia="仿宋_GB2312" w:cs="仿宋_GB2312"/>
          <w:sz w:val="32"/>
          <w:szCs w:val="32"/>
          <w:lang w:val="en-US" w:eastAsia="zh-CN"/>
        </w:rPr>
        <w:t>省发展改革委</w:t>
      </w:r>
      <w:r>
        <w:rPr>
          <w:rFonts w:hint="default" w:ascii="Times New Roman" w:hAnsi="Times New Roman" w:eastAsia="仿宋_GB2312" w:cs="仿宋_GB2312"/>
          <w:sz w:val="32"/>
          <w:szCs w:val="32"/>
          <w:lang w:val="en-US" w:eastAsia="zh-CN"/>
        </w:rPr>
        <w:t>在深入调研座谈、赴先行省份考察学习、广泛征求意见建议的基础上，</w:t>
      </w:r>
      <w:r>
        <w:rPr>
          <w:rFonts w:hint="eastAsia" w:ascii="Times New Roman" w:hAnsi="Times New Roman" w:eastAsia="仿宋_GB2312" w:cs="仿宋_GB2312"/>
          <w:sz w:val="32"/>
          <w:szCs w:val="32"/>
          <w:lang w:val="en-US" w:eastAsia="zh-CN"/>
        </w:rPr>
        <w:t>充分发挥我省高水平信用信息归集共享优势，推行专项信用报告代替无违法违规记录证明改革，大大减少了企业的办事成本和人力成本，有效促进了企业健康发展。</w:t>
      </w:r>
    </w:p>
    <w:p w14:paraId="22B3A1A8">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kern w:val="0"/>
          <w:sz w:val="32"/>
          <w:szCs w:val="32"/>
          <w:lang w:eastAsia="zh-CN" w:bidi="ar"/>
        </w:rPr>
        <w:t>主要</w:t>
      </w:r>
      <w:r>
        <w:rPr>
          <w:rFonts w:hint="default" w:ascii="Times New Roman" w:hAnsi="Times New Roman" w:eastAsia="黑体" w:cs="Times New Roman"/>
          <w:kern w:val="0"/>
          <w:sz w:val="32"/>
          <w:szCs w:val="32"/>
          <w:lang w:bidi="ar"/>
        </w:rPr>
        <w:t>做法</w:t>
      </w:r>
    </w:p>
    <w:p w14:paraId="3111D98A">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val="en-US" w:eastAsia="zh-CN"/>
        </w:rPr>
        <w:t>出台实施方案，全省范围推行。</w:t>
      </w:r>
      <w:r>
        <w:rPr>
          <w:rFonts w:hint="eastAsia" w:ascii="Times New Roman" w:hAnsi="Times New Roman" w:eastAsia="仿宋_GB2312" w:cs="Times New Roman"/>
          <w:sz w:val="32"/>
          <w:szCs w:val="32"/>
          <w:lang w:val="en-US" w:eastAsia="zh-CN"/>
        </w:rPr>
        <w:t>在充分借鉴先行省份典型经验、</w:t>
      </w:r>
      <w:r>
        <w:rPr>
          <w:rFonts w:hint="default" w:ascii="Times New Roman" w:hAnsi="Times New Roman" w:eastAsia="仿宋_GB2312" w:cs="Times New Roman"/>
          <w:sz w:val="32"/>
          <w:szCs w:val="32"/>
          <w:lang w:val="en-US" w:eastAsia="zh-CN"/>
        </w:rPr>
        <w:t>分析研判实施改革可行性</w:t>
      </w:r>
      <w:r>
        <w:rPr>
          <w:rFonts w:hint="eastAsia" w:ascii="Times New Roman" w:hAnsi="Times New Roman" w:eastAsia="仿宋_GB2312" w:cs="Times New Roman"/>
          <w:sz w:val="32"/>
          <w:szCs w:val="32"/>
          <w:lang w:val="en-US" w:eastAsia="zh-CN"/>
        </w:rPr>
        <w:t>基础上，研究起草我省推进专项信用报告代替无违法违规记录证明的实施方案。依托省信用信息平台开发信用报告查询系统，并在“信用中国（河南）”网站进行为期一个月的试运行，总结分析运行效果，调整矫正实施路径，修改完善实施方案。在报请省政府审议后，实施方案以省政府办公厅文件印发，并在全省范围内推行一纸报告代替一摞证明。</w:t>
      </w:r>
    </w:p>
    <w:p w14:paraId="2097F3BE">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楷体_GB2312" w:cs="Times New Roman"/>
          <w:sz w:val="32"/>
          <w:szCs w:val="32"/>
          <w:lang w:val="en-US" w:eastAsia="zh-CN"/>
        </w:rPr>
        <w:t>（二）打通数据壁垒，扩大代替领域和应用场景。</w:t>
      </w:r>
      <w:r>
        <w:rPr>
          <w:rFonts w:hint="default" w:ascii="Times New Roman" w:hAnsi="Times New Roman" w:eastAsia="仿宋_GB2312" w:cs="Times New Roman"/>
          <w:sz w:val="32"/>
          <w:szCs w:val="32"/>
          <w:lang w:eastAsia="zh-CN" w:bidi="ar"/>
        </w:rPr>
        <w:t>加快</w:t>
      </w:r>
      <w:r>
        <w:rPr>
          <w:rFonts w:hint="default" w:ascii="Times New Roman" w:hAnsi="Times New Roman" w:eastAsia="仿宋_GB2312" w:cs="Times New Roman"/>
          <w:sz w:val="32"/>
          <w:szCs w:val="32"/>
          <w:lang w:val="en-US" w:eastAsia="zh-CN" w:bidi="ar"/>
        </w:rPr>
        <w:t>构建全省一体化</w:t>
      </w:r>
      <w:r>
        <w:rPr>
          <w:rFonts w:hint="default" w:ascii="Times New Roman" w:hAnsi="Times New Roman" w:eastAsia="仿宋_GB2312" w:cs="Times New Roman"/>
          <w:sz w:val="32"/>
          <w:szCs w:val="32"/>
          <w:lang w:eastAsia="zh-CN" w:bidi="ar"/>
        </w:rPr>
        <w:t>信用信息平台，</w:t>
      </w:r>
      <w:r>
        <w:rPr>
          <w:rFonts w:hint="eastAsia" w:ascii="Times New Roman" w:hAnsi="Times New Roman" w:eastAsia="仿宋_GB2312" w:cs="Times New Roman"/>
          <w:sz w:val="32"/>
          <w:szCs w:val="32"/>
          <w:lang w:val="en-US" w:eastAsia="zh-CN" w:bidi="ar"/>
        </w:rPr>
        <w:t>打通各部门信用信息共享渠道，优化完善共享机制，省信用信息平台</w:t>
      </w:r>
      <w:r>
        <w:rPr>
          <w:rFonts w:hint="default" w:ascii="Times New Roman" w:hAnsi="Times New Roman" w:eastAsia="仿宋_GB2312" w:cs="Times New Roman"/>
          <w:sz w:val="32"/>
          <w:szCs w:val="32"/>
          <w:lang w:eastAsia="zh-CN" w:bidi="ar"/>
        </w:rPr>
        <w:t>归集</w:t>
      </w:r>
      <w:r>
        <w:rPr>
          <w:rFonts w:hint="eastAsia" w:ascii="Times New Roman" w:hAnsi="Times New Roman" w:eastAsia="仿宋_GB2312" w:cs="Times New Roman"/>
          <w:sz w:val="32"/>
          <w:szCs w:val="32"/>
          <w:lang w:val="en-US" w:eastAsia="zh-CN" w:bidi="ar"/>
        </w:rPr>
        <w:t>全省</w:t>
      </w:r>
      <w:r>
        <w:rPr>
          <w:rFonts w:hint="default" w:ascii="Times New Roman" w:hAnsi="Times New Roman" w:eastAsia="仿宋_GB2312" w:cs="Times New Roman"/>
          <w:sz w:val="32"/>
          <w:szCs w:val="32"/>
          <w:lang w:eastAsia="zh-CN" w:bidi="ar"/>
        </w:rPr>
        <w:t>50多个领域</w:t>
      </w:r>
      <w:r>
        <w:rPr>
          <w:rFonts w:hint="default" w:ascii="Times New Roman" w:hAnsi="Times New Roman" w:cs="Times New Roman"/>
          <w:sz w:val="32"/>
          <w:szCs w:val="32"/>
          <w:lang w:eastAsia="zh-CN" w:bidi="ar"/>
        </w:rPr>
        <w:t>、</w:t>
      </w:r>
      <w:r>
        <w:rPr>
          <w:rFonts w:hint="default" w:ascii="Times New Roman" w:hAnsi="Times New Roman" w:eastAsia="仿宋_GB2312" w:cs="Times New Roman"/>
          <w:sz w:val="32"/>
          <w:szCs w:val="32"/>
          <w:lang w:eastAsia="zh-CN" w:bidi="ar"/>
        </w:rPr>
        <w:t>140</w:t>
      </w:r>
      <w:r>
        <w:rPr>
          <w:rFonts w:hint="default" w:ascii="Times New Roman" w:hAnsi="Times New Roman" w:cs="Times New Roman"/>
          <w:sz w:val="32"/>
          <w:szCs w:val="32"/>
          <w:lang w:val="en-US" w:eastAsia="zh-CN" w:bidi="ar"/>
        </w:rPr>
        <w:t>多</w:t>
      </w:r>
      <w:r>
        <w:rPr>
          <w:rFonts w:hint="default" w:ascii="Times New Roman" w:hAnsi="Times New Roman" w:eastAsia="仿宋_GB2312" w:cs="Times New Roman"/>
          <w:sz w:val="32"/>
          <w:szCs w:val="32"/>
          <w:lang w:eastAsia="zh-CN" w:bidi="ar"/>
        </w:rPr>
        <w:t>亿条</w:t>
      </w:r>
      <w:r>
        <w:rPr>
          <w:rFonts w:hint="default" w:ascii="Times New Roman" w:hAnsi="Times New Roman" w:eastAsia="仿宋_GB2312" w:cs="Times New Roman"/>
          <w:sz w:val="32"/>
          <w:szCs w:val="32"/>
          <w:lang w:val="en-US" w:eastAsia="zh-CN" w:bidi="ar"/>
        </w:rPr>
        <w:t>信用信息</w:t>
      </w:r>
      <w:r>
        <w:rPr>
          <w:rFonts w:hint="default" w:ascii="Times New Roman" w:hAnsi="Times New Roman" w:eastAsia="仿宋_GB2312" w:cs="Times New Roman"/>
          <w:sz w:val="32"/>
          <w:szCs w:val="32"/>
          <w:lang w:eastAsia="zh-CN" w:bidi="ar"/>
        </w:rPr>
        <w:t>，行政许可、行政处</w:t>
      </w:r>
      <w:r>
        <w:rPr>
          <w:rFonts w:hint="eastAsia" w:ascii="仿宋_GB2312" w:hAnsi="仿宋_GB2312" w:eastAsia="仿宋_GB2312" w:cs="仿宋_GB2312"/>
          <w:sz w:val="32"/>
          <w:szCs w:val="32"/>
          <w:lang w:eastAsia="zh-CN" w:bidi="ar"/>
        </w:rPr>
        <w:t>罚“双公示”</w:t>
      </w:r>
      <w:r>
        <w:rPr>
          <w:rFonts w:hint="eastAsia" w:ascii="仿宋_GB2312" w:hAnsi="仿宋_GB2312" w:eastAsia="仿宋_GB2312" w:cs="仿宋_GB2312"/>
          <w:sz w:val="32"/>
          <w:szCs w:val="32"/>
          <w:lang w:val="en-US" w:eastAsia="zh-CN" w:bidi="ar"/>
        </w:rPr>
        <w:t>等</w:t>
      </w:r>
      <w:r>
        <w:rPr>
          <w:rFonts w:hint="default" w:ascii="Times New Roman" w:hAnsi="Times New Roman" w:eastAsia="仿宋_GB2312" w:cs="Times New Roman"/>
          <w:sz w:val="32"/>
          <w:szCs w:val="32"/>
          <w:lang w:eastAsia="zh-CN" w:bidi="ar"/>
        </w:rPr>
        <w:t>信息合格率长期保持100%，规模质量均居全国前列</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val="en-US" w:eastAsia="zh-CN" w:bidi="ar"/>
        </w:rPr>
        <w:t>经与各相关部门反复沟通协调</w:t>
      </w:r>
      <w:r>
        <w:rPr>
          <w:rFonts w:hint="default"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val="en-US" w:eastAsia="zh-CN" w:bidi="ar"/>
        </w:rPr>
        <w:t>最终实现专项信用报告“三多”特征。一是代替领域多，报告可代替</w:t>
      </w:r>
      <w:r>
        <w:rPr>
          <w:rFonts w:hint="default" w:ascii="Times New Roman" w:hAnsi="Times New Roman" w:eastAsia="仿宋_GB2312" w:cs="Times New Roman"/>
          <w:b w:val="0"/>
          <w:bCs w:val="0"/>
          <w:sz w:val="32"/>
          <w:szCs w:val="32"/>
        </w:rPr>
        <w:t>省内发展改革、教育、科技等4</w:t>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个领域出具的无违法违规记录证明。</w:t>
      </w:r>
      <w:r>
        <w:rPr>
          <w:rFonts w:hint="default" w:ascii="Times New Roman" w:hAnsi="Times New Roman" w:eastAsia="仿宋_GB2312" w:cs="Times New Roman"/>
          <w:b w:val="0"/>
          <w:bCs w:val="0"/>
          <w:sz w:val="32"/>
          <w:szCs w:val="32"/>
          <w:lang w:val="en-US" w:eastAsia="zh-CN"/>
        </w:rPr>
        <w:t>二是适用对象多</w:t>
      </w:r>
      <w:r>
        <w:rPr>
          <w:rFonts w:hint="eastAsia" w:ascii="Times New Roman" w:hAnsi="Times New Roman" w:eastAsia="仿宋_GB2312" w:cs="Times New Roman"/>
          <w:b w:val="0"/>
          <w:bCs w:val="0"/>
          <w:sz w:val="32"/>
          <w:szCs w:val="32"/>
          <w:lang w:val="en-US" w:eastAsia="zh-CN"/>
        </w:rPr>
        <w:t>，覆盖</w:t>
      </w:r>
      <w:r>
        <w:rPr>
          <w:rFonts w:hint="default" w:ascii="Times New Roman" w:hAnsi="Times New Roman" w:eastAsia="仿宋_GB2312" w:cs="Times New Roman"/>
          <w:b w:val="0"/>
          <w:bCs w:val="0"/>
          <w:sz w:val="32"/>
          <w:szCs w:val="32"/>
        </w:rPr>
        <w:t>省内注册登记的公司、非公司企业法人及其分支机构等</w:t>
      </w:r>
      <w:r>
        <w:rPr>
          <w:rFonts w:hint="default" w:ascii="Times New Roman" w:hAnsi="Times New Roman" w:eastAsia="仿宋_GB2312" w:cs="Times New Roman"/>
          <w:b w:val="0"/>
          <w:bCs w:val="0"/>
          <w:sz w:val="32"/>
          <w:szCs w:val="32"/>
          <w:lang w:val="en-US" w:eastAsia="zh-CN"/>
        </w:rPr>
        <w:t>7类</w:t>
      </w:r>
      <w:r>
        <w:rPr>
          <w:rFonts w:hint="default" w:ascii="Times New Roman" w:hAnsi="Times New Roman" w:eastAsia="仿宋_GB2312" w:cs="Times New Roman"/>
          <w:b w:val="0"/>
          <w:bCs w:val="0"/>
          <w:sz w:val="32"/>
          <w:szCs w:val="32"/>
        </w:rPr>
        <w:t>市场主体</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三是使用场景多</w:t>
      </w:r>
      <w:r>
        <w:rPr>
          <w:rFonts w:hint="eastAsia" w:ascii="Times New Roman" w:hAnsi="Times New Roman" w:eastAsia="仿宋_GB2312" w:cs="Times New Roman"/>
          <w:b w:val="0"/>
          <w:bCs w:val="0"/>
          <w:sz w:val="32"/>
          <w:szCs w:val="32"/>
          <w:lang w:val="en-US" w:eastAsia="zh-CN"/>
        </w:rPr>
        <w:t>，覆盖企业</w:t>
      </w:r>
      <w:r>
        <w:rPr>
          <w:rFonts w:hint="default" w:ascii="Times New Roman" w:hAnsi="Times New Roman" w:eastAsia="仿宋_GB2312" w:cs="Times New Roman"/>
          <w:b w:val="0"/>
          <w:bCs w:val="0"/>
          <w:sz w:val="32"/>
          <w:szCs w:val="32"/>
        </w:rPr>
        <w:t>办理</w:t>
      </w:r>
      <w:r>
        <w:rPr>
          <w:rFonts w:hint="default" w:ascii="Times New Roman" w:hAnsi="Times New Roman" w:eastAsia="仿宋_GB2312" w:cs="Times New Roman"/>
          <w:b w:val="0"/>
          <w:bCs w:val="0"/>
          <w:sz w:val="32"/>
          <w:szCs w:val="32"/>
          <w:lang w:val="en-US" w:eastAsia="zh-CN"/>
        </w:rPr>
        <w:t>融资、政策支持、行政管理、商务及其他等5</w:t>
      </w:r>
      <w:r>
        <w:rPr>
          <w:rFonts w:hint="eastAsia" w:ascii="Times New Roman" w:hAnsi="Times New Roman" w:eastAsia="仿宋_GB2312" w:cs="Times New Roman"/>
          <w:b w:val="0"/>
          <w:bCs w:val="0"/>
          <w:sz w:val="32"/>
          <w:szCs w:val="32"/>
          <w:lang w:val="en-US" w:eastAsia="zh-CN"/>
        </w:rPr>
        <w:t>大</w:t>
      </w:r>
      <w:r>
        <w:rPr>
          <w:rFonts w:hint="default" w:ascii="Times New Roman" w:hAnsi="Times New Roman" w:eastAsia="仿宋_GB2312" w:cs="Times New Roman"/>
          <w:b w:val="0"/>
          <w:bCs w:val="0"/>
          <w:sz w:val="32"/>
          <w:szCs w:val="32"/>
          <w:lang w:val="en-US" w:eastAsia="zh-CN"/>
        </w:rPr>
        <w:t>类</w:t>
      </w:r>
      <w:r>
        <w:rPr>
          <w:rFonts w:hint="default" w:ascii="Times New Roman" w:hAnsi="Times New Roman" w:eastAsia="仿宋_GB2312" w:cs="Times New Roman"/>
          <w:b w:val="0"/>
          <w:bCs w:val="0"/>
          <w:sz w:val="32"/>
          <w:szCs w:val="32"/>
        </w:rPr>
        <w:t>事项。</w:t>
      </w:r>
    </w:p>
    <w:p w14:paraId="753AE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楷体_GB2312" w:cs="Times New Roman"/>
          <w:sz w:val="32"/>
          <w:szCs w:val="32"/>
          <w:lang w:val="en-US" w:eastAsia="zh-CN"/>
        </w:rPr>
        <w:t>（三）畅通</w:t>
      </w:r>
      <w:r>
        <w:rPr>
          <w:rFonts w:hint="default" w:ascii="Times New Roman" w:hAnsi="Times New Roman" w:eastAsia="楷体_GB2312" w:cs="Times New Roman"/>
          <w:sz w:val="32"/>
          <w:szCs w:val="32"/>
          <w:lang w:val="en-US" w:eastAsia="zh-CN"/>
        </w:rPr>
        <w:t>获取渠道</w:t>
      </w:r>
      <w:r>
        <w:rPr>
          <w:rFonts w:hint="eastAsia" w:ascii="Times New Roman" w:hAnsi="Times New Roman" w:eastAsia="楷体_GB2312" w:cs="Times New Roman"/>
          <w:sz w:val="32"/>
          <w:szCs w:val="32"/>
          <w:lang w:val="en-US" w:eastAsia="zh-CN"/>
        </w:rPr>
        <w:t>，最大程度便民利企。</w:t>
      </w:r>
      <w:r>
        <w:rPr>
          <w:rFonts w:hint="eastAsia" w:ascii="Times New Roman" w:hAnsi="Times New Roman" w:eastAsia="仿宋_GB2312" w:cs="Times New Roman"/>
          <w:sz w:val="32"/>
          <w:szCs w:val="32"/>
          <w:lang w:val="en-US" w:eastAsia="zh-CN"/>
        </w:rPr>
        <w:t>联合行政审批政务信息管理部门，打通专项信用报告线上线下获取渠道。</w:t>
      </w:r>
      <w:r>
        <w:rPr>
          <w:rFonts w:hint="default" w:ascii="Times New Roman" w:hAnsi="Times New Roman" w:eastAsia="仿宋_GB2312" w:cs="Times New Roman"/>
          <w:b w:val="0"/>
          <w:bCs w:val="0"/>
          <w:sz w:val="32"/>
          <w:szCs w:val="32"/>
        </w:rPr>
        <w:t>市场主体</w:t>
      </w:r>
      <w:r>
        <w:rPr>
          <w:rFonts w:hint="default" w:ascii="Times New Roman" w:hAnsi="Times New Roman" w:eastAsia="仿宋_GB2312" w:cs="Times New Roman"/>
          <w:b w:val="0"/>
          <w:bCs w:val="0"/>
          <w:sz w:val="32"/>
          <w:szCs w:val="32"/>
          <w:lang w:val="en-US" w:eastAsia="zh-CN"/>
        </w:rPr>
        <w:t>既可通</w:t>
      </w:r>
      <w:r>
        <w:rPr>
          <w:rFonts w:hint="eastAsia" w:ascii="仿宋_GB2312" w:hAnsi="仿宋_GB2312" w:eastAsia="仿宋_GB2312" w:cs="仿宋_GB2312"/>
          <w:b w:val="0"/>
          <w:bCs w:val="0"/>
          <w:sz w:val="32"/>
          <w:szCs w:val="32"/>
          <w:lang w:val="en-US" w:eastAsia="zh-CN"/>
        </w:rPr>
        <w:t>过</w:t>
      </w:r>
      <w:r>
        <w:rPr>
          <w:rFonts w:hint="eastAsia" w:ascii="仿宋_GB2312" w:hAnsi="仿宋_GB2312" w:eastAsia="仿宋_GB2312" w:cs="仿宋_GB2312"/>
          <w:b w:val="0"/>
          <w:bCs w:val="0"/>
          <w:sz w:val="32"/>
          <w:szCs w:val="32"/>
        </w:rPr>
        <w:t>“信用中国（河南）”网</w:t>
      </w:r>
      <w:r>
        <w:rPr>
          <w:rFonts w:hint="default" w:ascii="Times New Roman" w:hAnsi="Times New Roman" w:eastAsia="仿宋_GB2312" w:cs="Times New Roman"/>
          <w:b w:val="0"/>
          <w:bCs w:val="0"/>
          <w:sz w:val="32"/>
          <w:szCs w:val="32"/>
        </w:rPr>
        <w:t>站</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河南政务服务网</w:t>
      </w:r>
      <w:r>
        <w:rPr>
          <w:rFonts w:hint="eastAsia" w:ascii="仿宋_GB2312" w:hAnsi="仿宋_GB2312" w:eastAsia="仿宋_GB2312" w:cs="仿宋_GB2312"/>
          <w:b w:val="0"/>
          <w:bCs w:val="0"/>
          <w:sz w:val="32"/>
          <w:szCs w:val="32"/>
        </w:rPr>
        <w:t>、“豫</w:t>
      </w:r>
      <w:r>
        <w:rPr>
          <w:rFonts w:hint="default" w:ascii="Times New Roman" w:hAnsi="Times New Roman" w:eastAsia="仿宋_GB2312" w:cs="Times New Roman"/>
          <w:b w:val="0"/>
          <w:bCs w:val="0"/>
          <w:sz w:val="32"/>
          <w:szCs w:val="32"/>
        </w:rPr>
        <w:t>事</w:t>
      </w:r>
      <w:r>
        <w:rPr>
          <w:rFonts w:hint="eastAsia" w:ascii="仿宋_GB2312" w:hAnsi="仿宋_GB2312" w:eastAsia="仿宋_GB2312" w:cs="仿宋_GB2312"/>
          <w:b w:val="0"/>
          <w:bCs w:val="0"/>
          <w:sz w:val="32"/>
          <w:szCs w:val="32"/>
        </w:rPr>
        <w:t>办”</w:t>
      </w:r>
      <w:r>
        <w:rPr>
          <w:rFonts w:hint="default" w:ascii="Times New Roman" w:hAnsi="Times New Roman" w:eastAsia="仿宋_GB2312" w:cs="Times New Roman"/>
          <w:b w:val="0"/>
          <w:bCs w:val="0"/>
          <w:sz w:val="32"/>
          <w:szCs w:val="32"/>
        </w:rPr>
        <w:t>APP</w:t>
      </w:r>
      <w:r>
        <w:rPr>
          <w:rFonts w:hint="default" w:ascii="Times New Roman" w:hAnsi="Times New Roman" w:eastAsia="仿宋_GB2312" w:cs="Times New Roman"/>
          <w:b w:val="0"/>
          <w:bCs w:val="0"/>
          <w:sz w:val="32"/>
          <w:szCs w:val="32"/>
          <w:lang w:val="en-US" w:eastAsia="zh-CN"/>
        </w:rPr>
        <w:t>等渠道，线上</w:t>
      </w:r>
      <w:r>
        <w:rPr>
          <w:rFonts w:hint="default" w:ascii="Times New Roman" w:hAnsi="Times New Roman" w:eastAsia="仿宋_GB2312" w:cs="Times New Roman"/>
          <w:b w:val="0"/>
          <w:bCs w:val="0"/>
          <w:sz w:val="32"/>
          <w:szCs w:val="32"/>
        </w:rPr>
        <w:t>查询下载报告电子版</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也</w:t>
      </w:r>
      <w:r>
        <w:rPr>
          <w:rFonts w:hint="default" w:ascii="Times New Roman" w:hAnsi="Times New Roman" w:eastAsia="仿宋_GB2312" w:cs="Times New Roman"/>
          <w:b w:val="0"/>
          <w:bCs w:val="0"/>
          <w:sz w:val="32"/>
          <w:szCs w:val="32"/>
          <w:lang w:val="en-US" w:eastAsia="zh-CN"/>
        </w:rPr>
        <w:t>可</w:t>
      </w:r>
      <w:r>
        <w:rPr>
          <w:rFonts w:hint="default" w:ascii="Times New Roman" w:hAnsi="Times New Roman" w:eastAsia="仿宋_GB2312" w:cs="Times New Roman"/>
          <w:b w:val="0"/>
          <w:bCs w:val="0"/>
          <w:sz w:val="32"/>
          <w:szCs w:val="32"/>
        </w:rPr>
        <w:t>通过各级政务服务大厅自助查询终端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服务窗口等多种途径线下</w:t>
      </w:r>
      <w:r>
        <w:rPr>
          <w:rFonts w:hint="default" w:ascii="Times New Roman" w:hAnsi="Times New Roman" w:eastAsia="仿宋_GB2312" w:cs="Times New Roman"/>
          <w:b w:val="0"/>
          <w:bCs w:val="0"/>
          <w:sz w:val="32"/>
          <w:szCs w:val="32"/>
        </w:rPr>
        <w:t>打印报告纸质版</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且电子版与纸质版具有同等效力。</w:t>
      </w:r>
    </w:p>
    <w:p w14:paraId="051C40FF">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kern w:val="0"/>
          <w:sz w:val="32"/>
          <w:szCs w:val="32"/>
          <w:lang w:eastAsia="zh-CN" w:bidi="ar"/>
        </w:rPr>
        <w:t>取得</w:t>
      </w:r>
      <w:r>
        <w:rPr>
          <w:rFonts w:hint="default" w:ascii="Times New Roman" w:hAnsi="Times New Roman" w:eastAsia="黑体" w:cs="Times New Roman"/>
          <w:kern w:val="0"/>
          <w:sz w:val="32"/>
          <w:szCs w:val="32"/>
          <w:lang w:bidi="ar"/>
        </w:rPr>
        <w:t>成</w:t>
      </w:r>
      <w:r>
        <w:rPr>
          <w:rFonts w:hint="eastAsia" w:ascii="Times New Roman" w:hAnsi="Times New Roman" w:eastAsia="黑体" w:cs="Times New Roman"/>
          <w:sz w:val="32"/>
          <w:szCs w:val="32"/>
          <w:lang w:val="en-US" w:eastAsia="zh-CN"/>
        </w:rPr>
        <w:t>效</w:t>
      </w:r>
    </w:p>
    <w:p w14:paraId="50E76A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专项信用报告代替无违法违规记录证明</w:t>
      </w:r>
      <w:r>
        <w:rPr>
          <w:rFonts w:hint="eastAsia" w:ascii="Times New Roman" w:hAnsi="Times New Roman" w:eastAsia="仿宋_GB2312" w:cs="Times New Roman"/>
          <w:sz w:val="32"/>
          <w:szCs w:val="32"/>
          <w:lang w:val="en-US" w:eastAsia="zh-CN"/>
        </w:rPr>
        <w:t>改革</w:t>
      </w:r>
      <w:r>
        <w:rPr>
          <w:rFonts w:hint="default" w:ascii="Times New Roman" w:hAnsi="Times New Roman" w:eastAsia="仿宋_GB2312" w:cs="Times New Roman"/>
          <w:sz w:val="32"/>
          <w:szCs w:val="32"/>
        </w:rPr>
        <w:t>是</w:t>
      </w:r>
      <w:r>
        <w:rPr>
          <w:rFonts w:hint="eastAsia" w:ascii="Times New Roman" w:hAnsi="Times New Roman" w:eastAsia="仿宋_GB2312" w:cs="Times New Roman"/>
          <w:color w:val="auto"/>
          <w:kern w:val="2"/>
          <w:sz w:val="32"/>
          <w:szCs w:val="32"/>
          <w:lang w:val="en-US" w:eastAsia="zh-CN" w:bidi="ar-SA"/>
        </w:rPr>
        <w:t>提升便民利企服务质量、促进经营主体减负降本</w:t>
      </w:r>
      <w:r>
        <w:rPr>
          <w:rFonts w:hint="default" w:ascii="Times New Roman" w:hAnsi="Times New Roman" w:eastAsia="仿宋_GB2312" w:cs="Times New Roman"/>
          <w:sz w:val="32"/>
          <w:szCs w:val="32"/>
        </w:rPr>
        <w:t>的具体举措。</w:t>
      </w:r>
      <w:r>
        <w:rPr>
          <w:rFonts w:hint="default" w:ascii="Times New Roman" w:hAnsi="Times New Roman" w:eastAsia="仿宋_GB2312" w:cs="Times New Roman"/>
          <w:b/>
          <w:bCs/>
          <w:sz w:val="32"/>
          <w:szCs w:val="32"/>
          <w:lang w:val="en-US" w:eastAsia="zh-CN"/>
        </w:rPr>
        <w:t>一方面，</w:t>
      </w:r>
      <w:r>
        <w:rPr>
          <w:rFonts w:hint="default" w:ascii="Times New Roman" w:hAnsi="Times New Roman" w:eastAsia="仿宋_GB2312" w:cs="Times New Roman"/>
          <w:sz w:val="32"/>
          <w:szCs w:val="32"/>
        </w:rPr>
        <w:t>政府部门之间通过信息共享和协同工作，减少了重复的证明开具工作，提高了行政服务的整体效能，推动了政务服务的创新和优化。</w:t>
      </w:r>
      <w:r>
        <w:rPr>
          <w:rFonts w:hint="default" w:ascii="Times New Roman" w:hAnsi="Times New Roman" w:eastAsia="仿宋_GB2312" w:cs="Times New Roman"/>
          <w:b/>
          <w:bCs/>
          <w:sz w:val="32"/>
          <w:szCs w:val="32"/>
          <w:lang w:val="en-US" w:eastAsia="zh-CN"/>
        </w:rPr>
        <w:t>另一方面，</w:t>
      </w:r>
      <w:r>
        <w:rPr>
          <w:rFonts w:hint="default" w:ascii="Times New Roman" w:hAnsi="Times New Roman" w:eastAsia="仿宋_GB2312" w:cs="Times New Roman"/>
          <w:sz w:val="32"/>
          <w:szCs w:val="32"/>
        </w:rPr>
        <w:t>企业在</w:t>
      </w:r>
      <w:r>
        <w:rPr>
          <w:rFonts w:hint="default" w:ascii="Times New Roman" w:hAnsi="Times New Roman" w:eastAsia="仿宋_GB2312" w:cs="Times New Roman"/>
          <w:sz w:val="32"/>
          <w:szCs w:val="32"/>
          <w:lang w:val="en-US" w:eastAsia="zh-CN"/>
        </w:rPr>
        <w:t>日常</w:t>
      </w:r>
      <w:r>
        <w:rPr>
          <w:rFonts w:hint="default" w:ascii="Times New Roman" w:hAnsi="Times New Roman" w:eastAsia="仿宋_GB2312" w:cs="Times New Roman"/>
          <w:sz w:val="32"/>
          <w:szCs w:val="32"/>
        </w:rPr>
        <w:t>经营活动中，</w:t>
      </w:r>
      <w:r>
        <w:rPr>
          <w:rFonts w:hint="default" w:ascii="Times New Roman" w:hAnsi="Times New Roman" w:eastAsia="仿宋_GB2312" w:cs="Times New Roman"/>
          <w:sz w:val="32"/>
          <w:szCs w:val="32"/>
          <w:lang w:val="en-US" w:eastAsia="zh-CN"/>
        </w:rPr>
        <w:t>因上市、</w:t>
      </w:r>
      <w:r>
        <w:rPr>
          <w:rFonts w:hint="default" w:ascii="Times New Roman" w:hAnsi="Times New Roman" w:eastAsia="仿宋_GB2312" w:cs="Times New Roman"/>
          <w:sz w:val="32"/>
          <w:szCs w:val="32"/>
        </w:rPr>
        <w:t>融资、招投标、申请优惠政策等</w:t>
      </w:r>
      <w:r>
        <w:rPr>
          <w:rFonts w:hint="default" w:ascii="Times New Roman" w:hAnsi="Times New Roman" w:eastAsia="仿宋_GB2312" w:cs="Times New Roman"/>
          <w:sz w:val="32"/>
          <w:szCs w:val="32"/>
          <w:lang w:val="en-US" w:eastAsia="zh-CN"/>
        </w:rPr>
        <w:t>需求</w:t>
      </w:r>
      <w:r>
        <w:rPr>
          <w:rFonts w:hint="default" w:ascii="Times New Roman" w:hAnsi="Times New Roman" w:eastAsia="仿宋_GB2312" w:cs="Times New Roman"/>
          <w:sz w:val="32"/>
          <w:szCs w:val="32"/>
        </w:rPr>
        <w:t>，常常</w:t>
      </w:r>
      <w:r>
        <w:rPr>
          <w:rFonts w:hint="default" w:ascii="Times New Roman" w:hAnsi="Times New Roman" w:eastAsia="仿宋_GB2312" w:cs="Times New Roman"/>
          <w:sz w:val="32"/>
          <w:szCs w:val="32"/>
          <w:lang w:val="en-US" w:eastAsia="zh-CN"/>
        </w:rPr>
        <w:t>赴</w:t>
      </w:r>
      <w:r>
        <w:rPr>
          <w:rFonts w:hint="default" w:ascii="Times New Roman" w:hAnsi="Times New Roman" w:eastAsia="仿宋_GB2312" w:cs="Times New Roman"/>
          <w:sz w:val="32"/>
          <w:szCs w:val="32"/>
        </w:rPr>
        <w:t>多个部门申请开具无违法违规记录证明，耗费大量的时间和精力。现在只需申请一份专项信用报告即可替代一沓证明，大大减少了企业的办事成本和人力成本。</w:t>
      </w:r>
      <w:r>
        <w:rPr>
          <w:rFonts w:hint="default" w:ascii="Times New Roman" w:hAnsi="Times New Roman" w:eastAsia="仿宋_GB2312" w:cs="Times New Roman"/>
          <w:sz w:val="32"/>
          <w:szCs w:val="32"/>
          <w:lang w:val="en-US" w:eastAsia="zh-CN"/>
        </w:rPr>
        <w:t>自改革实施以来</w:t>
      </w:r>
      <w:r>
        <w:rPr>
          <w:rFonts w:hint="eastAsia" w:ascii="仿宋_GB2312" w:hAnsi="仿宋_GB2312" w:eastAsia="仿宋_GB2312" w:cs="仿宋_GB2312"/>
          <w:sz w:val="32"/>
          <w:szCs w:val="32"/>
          <w:lang w:val="en-US" w:eastAsia="zh-CN"/>
        </w:rPr>
        <w:t>，“信用中国（河南）”已</w:t>
      </w:r>
      <w:r>
        <w:rPr>
          <w:rFonts w:hint="default" w:ascii="Times New Roman" w:hAnsi="Times New Roman" w:eastAsia="仿宋_GB2312" w:cs="Times New Roman"/>
          <w:sz w:val="32"/>
          <w:szCs w:val="32"/>
          <w:lang w:val="en-US" w:eastAsia="zh-CN"/>
        </w:rPr>
        <w:t>为市场主体免费出具专项信用报告1.16万余份，代替原有各领域证明材料36.2万份，大大提高了企业各项业务活动的便利性。</w:t>
      </w:r>
    </w:p>
    <w:p w14:paraId="284AA85B">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2</w:t>
      </w:r>
    </w:p>
    <w:p w14:paraId="3EE1CE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方正小标宋简体"/>
          <w:b w:val="0"/>
          <w:bCs w:val="0"/>
          <w:sz w:val="44"/>
          <w:szCs w:val="44"/>
          <w:lang w:eastAsia="zh-CN"/>
        </w:rPr>
      </w:pPr>
    </w:p>
    <w:p w14:paraId="345C37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人民银行河南省分行</w:t>
      </w:r>
    </w:p>
    <w:p w14:paraId="6AE502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lang w:eastAsia="zh-CN"/>
        </w:rPr>
        <w:t>推广</w:t>
      </w:r>
      <w:r>
        <w:rPr>
          <w:rFonts w:hint="eastAsia" w:ascii="Times New Roman" w:hAnsi="Times New Roman" w:eastAsia="方正小标宋简体" w:cs="方正小标宋简体"/>
          <w:b w:val="0"/>
          <w:bCs w:val="0"/>
          <w:sz w:val="44"/>
          <w:szCs w:val="44"/>
        </w:rPr>
        <w:t>本外币合一</w:t>
      </w:r>
      <w:r>
        <w:rPr>
          <w:rFonts w:hint="eastAsia" w:ascii="Times New Roman" w:hAnsi="Times New Roman" w:eastAsia="方正小标宋简体" w:cs="方正小标宋简体"/>
          <w:b w:val="0"/>
          <w:bCs w:val="0"/>
          <w:sz w:val="44"/>
          <w:szCs w:val="44"/>
          <w:lang w:eastAsia="zh-CN"/>
        </w:rPr>
        <w:t>银行账户体系</w:t>
      </w:r>
    </w:p>
    <w:p w14:paraId="2F019745">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outlineLvl w:val="9"/>
        <w:rPr>
          <w:rFonts w:hint="eastAsia" w:ascii="Times New Roman" w:hAnsi="Times New Roman" w:eastAsia="黑体" w:cs="黑体"/>
          <w:b w:val="0"/>
          <w:bCs w:val="0"/>
          <w:sz w:val="44"/>
          <w:szCs w:val="44"/>
          <w:lang w:eastAsia="zh-CN"/>
        </w:rPr>
      </w:pPr>
      <w:r>
        <w:rPr>
          <w:rFonts w:hint="eastAsia" w:ascii="Times New Roman" w:hAnsi="Times New Roman" w:eastAsia="方正小标宋简体" w:cs="方正小标宋简体"/>
          <w:b w:val="0"/>
          <w:bCs w:val="0"/>
          <w:sz w:val="44"/>
          <w:szCs w:val="44"/>
          <w:lang w:eastAsia="zh-CN"/>
        </w:rPr>
        <w:t>助力河南融入服务全国统一大市场建设</w:t>
      </w:r>
    </w:p>
    <w:p w14:paraId="25BF8D56">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outlineLvl w:val="9"/>
        <w:rPr>
          <w:rFonts w:hint="eastAsia" w:ascii="Times New Roman" w:hAnsi="Times New Roman" w:eastAsia="黑体" w:cs="黑体"/>
          <w:b w:val="0"/>
          <w:bCs w:val="0"/>
          <w:sz w:val="32"/>
          <w:szCs w:val="32"/>
          <w:lang w:eastAsia="zh-CN"/>
        </w:rPr>
      </w:pPr>
    </w:p>
    <w:p w14:paraId="7858B31C">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楷体_GB2312" w:cs="楷体_GB2312"/>
          <w:sz w:val="32"/>
          <w:szCs w:val="32"/>
          <w:vertAlign w:val="baseline"/>
          <w:lang w:val="en-US" w:eastAsia="zh-CN"/>
        </w:rPr>
      </w:pPr>
      <w:r>
        <w:rPr>
          <w:rFonts w:hint="eastAsia" w:ascii="Times New Roman" w:hAnsi="Times New Roman" w:eastAsia="黑体" w:cs="黑体"/>
          <w:b w:val="0"/>
          <w:bCs w:val="0"/>
          <w:sz w:val="32"/>
          <w:szCs w:val="32"/>
          <w:lang w:eastAsia="zh-CN"/>
        </w:rPr>
        <w:t>推荐词：</w:t>
      </w:r>
      <w:r>
        <w:rPr>
          <w:rFonts w:hint="eastAsia" w:ascii="Times New Roman" w:hAnsi="Times New Roman" w:eastAsia="楷体_GB2312" w:cs="楷体_GB2312"/>
          <w:sz w:val="32"/>
          <w:szCs w:val="32"/>
          <w:vertAlign w:val="baseline"/>
          <w:lang w:val="en-US" w:eastAsia="zh-CN"/>
        </w:rPr>
        <w:t>中国人民银行河南省分行以全国统一大市场“五统一、一开放”为指导，主动把握政策机遇，立足河南实际，扎实稳妥推动本外币合一银行结算账户体系在我省落地，实现了通过一个银行账户集约化、精细化管理人民币和外币多币种资金，有效解决了传统模式下涉外企业账户数量多、跑腿开户次数多、资料重复提交、运营成本高、资金管理分散等难题。业务开展一年来，已有700余家涉外企业享受到开户办理“一趟清”“一套净”的政策红利，以账户基础服务带动多元化金融服务能力提升的科学路径初步显现，为河南融入服务全国统一大市场建设提供了有效助力。</w:t>
      </w:r>
    </w:p>
    <w:p w14:paraId="36CF62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一、实施背景</w:t>
      </w:r>
    </w:p>
    <w:p w14:paraId="1B688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随着我省对外开放程度不断提高、外贸规模不断扩大，涉外企业在贸易、投资等领域支付结算便利化需求越来越迫切，传统的单一币种银行账户服务模式对涉外企业统筹管理多币种资金需求的制约也日益凸显。</w:t>
      </w:r>
      <w:r>
        <w:rPr>
          <w:rFonts w:hint="default" w:ascii="Times New Roman" w:hAnsi="Times New Roman" w:eastAsia="仿宋_GB2312" w:cs="Times New Roman"/>
          <w:b w:val="0"/>
          <w:bCs w:val="0"/>
          <w:sz w:val="32"/>
          <w:szCs w:val="32"/>
          <w:highlight w:val="none"/>
          <w:lang w:val="en-US" w:eastAsia="zh-CN"/>
        </w:rPr>
        <w:t>2024年初，人民银行总行和国家外汇管理局在前期沿海地区试点探索的基础上，</w:t>
      </w:r>
      <w:r>
        <w:rPr>
          <w:rFonts w:hint="default" w:ascii="Times New Roman" w:hAnsi="Times New Roman" w:eastAsia="仿宋_GB2312" w:cs="Times New Roman"/>
          <w:b w:val="0"/>
          <w:bCs w:val="0"/>
          <w:sz w:val="32"/>
          <w:szCs w:val="32"/>
          <w:lang w:eastAsia="zh-CN"/>
        </w:rPr>
        <w:t>将本外币合一银行结算账户体系</w:t>
      </w:r>
      <w:r>
        <w:rPr>
          <w:rFonts w:hint="default" w:ascii="Times New Roman" w:hAnsi="Times New Roman" w:eastAsia="仿宋_GB2312" w:cs="Times New Roman"/>
          <w:b w:val="0"/>
          <w:bCs w:val="0"/>
          <w:sz w:val="32"/>
          <w:szCs w:val="32"/>
          <w:highlight w:val="none"/>
          <w:lang w:val="en-US" w:eastAsia="zh-CN"/>
        </w:rPr>
        <w:t>在全国范围内</w:t>
      </w:r>
      <w:r>
        <w:rPr>
          <w:rFonts w:hint="default" w:ascii="Times New Roman" w:hAnsi="Times New Roman" w:eastAsia="仿宋_GB2312" w:cs="Times New Roman"/>
          <w:b w:val="0"/>
          <w:bCs w:val="0"/>
          <w:sz w:val="32"/>
          <w:szCs w:val="32"/>
          <w:lang w:eastAsia="zh-CN"/>
        </w:rPr>
        <w:t>推广，</w:t>
      </w:r>
      <w:r>
        <w:rPr>
          <w:rFonts w:hint="default" w:ascii="Times New Roman" w:hAnsi="Times New Roman" w:eastAsia="仿宋_GB2312" w:cs="Times New Roman"/>
          <w:b w:val="0"/>
          <w:bCs w:val="0"/>
          <w:sz w:val="32"/>
          <w:szCs w:val="32"/>
          <w:highlight w:val="none"/>
          <w:lang w:val="en-US" w:eastAsia="zh-CN"/>
        </w:rPr>
        <w:t>人民银行河南省分行紧抓政策机遇，结合我省涉外经济发展实际，加强系统谋划、精准施策，积极推动本外币</w:t>
      </w:r>
      <w:r>
        <w:rPr>
          <w:rFonts w:hint="default" w:ascii="Times New Roman" w:hAnsi="Times New Roman" w:eastAsia="仿宋_GB2312" w:cs="Times New Roman"/>
          <w:color w:val="auto"/>
          <w:kern w:val="2"/>
          <w:sz w:val="32"/>
          <w:szCs w:val="32"/>
          <w:highlight w:val="none"/>
          <w:lang w:val="en-US" w:eastAsia="zh-CN" w:bidi="ar-SA"/>
        </w:rPr>
        <w:t>合一</w:t>
      </w:r>
      <w:r>
        <w:rPr>
          <w:rFonts w:hint="default" w:ascii="Times New Roman" w:hAnsi="Times New Roman" w:eastAsia="仿宋_GB2312" w:cs="Times New Roman"/>
          <w:b w:val="0"/>
          <w:bCs w:val="0"/>
          <w:sz w:val="32"/>
          <w:szCs w:val="32"/>
          <w:highlight w:val="none"/>
          <w:lang w:val="en-US" w:eastAsia="zh-CN"/>
        </w:rPr>
        <w:t>银行账户体系在我省重点银行机构落地实施</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b w:val="0"/>
          <w:bCs w:val="0"/>
          <w:sz w:val="32"/>
          <w:szCs w:val="32"/>
          <w:lang w:eastAsia="zh-CN"/>
        </w:rPr>
        <w:t>实现涉外企业多币种资金通过一个银行账户集约化、精细化管理</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default" w:ascii="Times New Roman" w:hAnsi="Times New Roman" w:eastAsia="仿宋_GB2312" w:cs="Times New Roman"/>
          <w:b w:val="0"/>
          <w:bCs w:val="0"/>
          <w:sz w:val="32"/>
          <w:szCs w:val="32"/>
          <w:lang w:eastAsia="zh-CN"/>
        </w:rPr>
        <w:t>推动贸易投资结算便利化提档升级，</w:t>
      </w:r>
      <w:r>
        <w:rPr>
          <w:rFonts w:hint="default" w:ascii="Times New Roman" w:hAnsi="Times New Roman" w:eastAsia="仿宋_GB2312" w:cs="Times New Roman"/>
          <w:color w:val="auto"/>
          <w:kern w:val="2"/>
          <w:sz w:val="32"/>
          <w:szCs w:val="32"/>
          <w:highlight w:val="none"/>
          <w:lang w:val="en-US" w:eastAsia="zh-CN" w:bidi="ar-SA"/>
        </w:rPr>
        <w:t>深化金融领域高水平对外开放，</w:t>
      </w:r>
      <w:r>
        <w:rPr>
          <w:rFonts w:hint="default" w:ascii="Times New Roman" w:hAnsi="Times New Roman" w:eastAsia="仿宋_GB2312" w:cs="Times New Roman"/>
          <w:b w:val="0"/>
          <w:bCs w:val="0"/>
          <w:sz w:val="32"/>
          <w:szCs w:val="32"/>
          <w:lang w:eastAsia="zh-CN"/>
        </w:rPr>
        <w:t>为助力河南融入服务全国统一大市场建设</w:t>
      </w:r>
      <w:r>
        <w:rPr>
          <w:rFonts w:hint="default" w:ascii="Times New Roman" w:hAnsi="Times New Roman" w:eastAsia="仿宋_GB2312" w:cs="Times New Roman"/>
          <w:b w:val="0"/>
          <w:bCs w:val="0"/>
          <w:sz w:val="32"/>
          <w:szCs w:val="32"/>
          <w:lang w:val="en-US" w:eastAsia="zh-CN"/>
        </w:rPr>
        <w:t>提供有力金融支撑</w:t>
      </w:r>
      <w:r>
        <w:rPr>
          <w:rFonts w:hint="default" w:ascii="Times New Roman" w:hAnsi="Times New Roman" w:eastAsia="仿宋_GB2312" w:cs="Times New Roman"/>
          <w:color w:val="auto"/>
          <w:kern w:val="2"/>
          <w:sz w:val="32"/>
          <w:szCs w:val="32"/>
          <w:highlight w:val="none"/>
          <w:lang w:val="en-US" w:eastAsia="zh-CN" w:bidi="ar-SA"/>
        </w:rPr>
        <w:t>。</w:t>
      </w:r>
    </w:p>
    <w:p w14:paraId="159A07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二、主要做法</w:t>
      </w:r>
    </w:p>
    <w:p w14:paraId="6C9145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lang w:val="en-US" w:eastAsia="zh-CN"/>
        </w:rPr>
        <w:t>坚持服务为本，让</w:t>
      </w:r>
      <w:r>
        <w:rPr>
          <w:rFonts w:hint="eastAsia" w:ascii="楷体_GB2312" w:hAnsi="楷体_GB2312" w:eastAsia="楷体_GB2312" w:cs="楷体_GB2312"/>
          <w:sz w:val="32"/>
          <w:szCs w:val="32"/>
          <w:lang w:val="en-US" w:eastAsia="zh-CN"/>
        </w:rPr>
        <w:t>企业“用得好”。</w:t>
      </w:r>
      <w:r>
        <w:rPr>
          <w:rFonts w:hint="default" w:ascii="Times New Roman" w:hAnsi="Times New Roman" w:eastAsia="仿宋_GB2312" w:cs="Times New Roman"/>
          <w:sz w:val="32"/>
          <w:szCs w:val="32"/>
          <w:highlight w:val="none"/>
          <w:lang w:val="en-US" w:eastAsia="zh-CN"/>
        </w:rPr>
        <w:t>为企业提供优质的支付服务是做好本外币合一银行账户体系推广工作的出发点。人民银行河南省分行立足企业需求，深入开展调研论证，积极推动银行账户办理业务流程重塑优化，指导银行机构充分利用技术手段对账户系统、资金划转、手机银行和网银等系统进行适配性改造，积极运用线上、线下手段整合本币、外币业务办理手续，有效精简资料提供和企业办理流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作为一项供给侧增量改革政策，该政策充分尊重企业意愿，同时为企业提供单一人民币账户、单一外汇账户、本外币合一账户共三种选择</w:t>
      </w:r>
      <w:r>
        <w:rPr>
          <w:rFonts w:hint="default" w:ascii="Times New Roman" w:hAnsi="Times New Roman" w:eastAsia="仿宋_GB2312" w:cs="Times New Roman"/>
          <w:sz w:val="32"/>
          <w:szCs w:val="32"/>
          <w:highlight w:val="none"/>
          <w:lang w:val="en-US" w:eastAsia="zh-CN"/>
        </w:rPr>
        <w:t>，为企业提供多元化、灵活性账户结算选择，实现企业</w:t>
      </w:r>
      <w:r>
        <w:rPr>
          <w:rFonts w:hint="eastAsia" w:ascii="仿宋_GB2312" w:hAnsi="仿宋_GB2312" w:eastAsia="仿宋_GB2312" w:cs="仿宋_GB2312"/>
          <w:sz w:val="32"/>
          <w:szCs w:val="32"/>
          <w:highlight w:val="none"/>
          <w:lang w:val="en-US" w:eastAsia="zh-CN"/>
        </w:rPr>
        <w:t>账户“不换号、改币种”，针对性解决了涉外企业多币种管理面临</w:t>
      </w:r>
      <w:r>
        <w:rPr>
          <w:rFonts w:hint="default" w:ascii="Times New Roman" w:hAnsi="Times New Roman" w:eastAsia="仿宋_GB2312" w:cs="Times New Roman"/>
          <w:sz w:val="32"/>
          <w:szCs w:val="32"/>
          <w:highlight w:val="none"/>
          <w:lang w:val="en-US" w:eastAsia="zh-CN"/>
        </w:rPr>
        <w:t>的运营成本高、资金管理效</w:t>
      </w:r>
      <w:r>
        <w:rPr>
          <w:rFonts w:hint="eastAsia" w:ascii="仿宋_GB2312" w:hAnsi="仿宋_GB2312" w:eastAsia="仿宋_GB2312" w:cs="仿宋_GB2312"/>
          <w:sz w:val="32"/>
          <w:szCs w:val="32"/>
          <w:highlight w:val="none"/>
          <w:lang w:val="en-US" w:eastAsia="zh-CN"/>
        </w:rPr>
        <w:t>率低等“痛点”“难点”。</w:t>
      </w:r>
    </w:p>
    <w:p w14:paraId="5421BA85">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sz w:val="32"/>
          <w:szCs w:val="32"/>
          <w:lang w:eastAsia="zh-CN"/>
        </w:rPr>
        <w:t>（二）坚持试点先行，让政策“落得实”。</w:t>
      </w:r>
      <w:r>
        <w:rPr>
          <w:rFonts w:hint="eastAsia" w:ascii="Times New Roman" w:hAnsi="Times New Roman" w:eastAsia="仿宋_GB2312" w:cs="Times New Roman"/>
          <w:sz w:val="32"/>
          <w:szCs w:val="32"/>
          <w:highlight w:val="none"/>
          <w:lang w:val="en-US" w:eastAsia="zh-CN"/>
        </w:rPr>
        <w:t>本外币合一银行账户涉及到外币账户改革，涉外敏感性高、影响面广，为此，推广工作采取以点带面、分批次开展的思路稳妥进行。试点阶段，充分考虑银行机构综合管理能力、涉外企业分布情况及我省自贸区建设需求等因素，综合确定了7个城市14个银行网点作为首批推广试点，“一对一”辅导试点银行加强业务和技术准备。2024年7月初，3家首批参与银行机构相继通过验收。7月2日，全省开出首个本外币合一银行结算账户，实现1个账户管理4个币种资金,当月为涉外企业开立本外币合一账户42户，人民币、外汇交易量分别是4577万元、42.37万美元。推广阶段，加强政策评估和效果跟踪，边推广边完善，按照“成熟一家、推广一家”的方式，结合评估结果及时调整推广进度，分5批次扩大试点范围，新增试点银行1家、试点城市6个、试点县域9个、试点网点53个。试点开展和推广过程中，指导银行梳理、筛选有实际需求的存量客户，精准开展政策宣介，确保涉外企业知政策、懂政策、用好政策，让政策真正服务于有需要的企业。</w:t>
      </w:r>
    </w:p>
    <w:p w14:paraId="1D0F4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sz w:val="32"/>
          <w:szCs w:val="32"/>
          <w:lang w:eastAsia="zh-CN"/>
        </w:rPr>
        <w:t>（三）坚持底线原则，让政策“走得稳”。</w:t>
      </w:r>
      <w:r>
        <w:rPr>
          <w:rFonts w:hint="eastAsia" w:ascii="Times New Roman" w:hAnsi="Times New Roman" w:eastAsia="仿宋_GB2312" w:cs="Times New Roman"/>
          <w:sz w:val="32"/>
          <w:szCs w:val="32"/>
          <w:highlight w:val="none"/>
          <w:lang w:val="en-US" w:eastAsia="zh-CN"/>
        </w:rPr>
        <w:t>防范金融风险是金融工作的永恒主题。在推广过程中，始终坚持“两不减、两加强”原则，即便利度和风险防控不减、优化服务和账户管理加强。在保持现有监管政策和相关管理要求不变的前提下，统一本外币账户业务办理基本规则和基础结算功能，指导银行机构在拓展客户中坚持“需求导向、风险为本”，建立银行账户质量管理机制，强化涉外企业客户身份识别，加强本外币合一银行账户全生命周期管理和风险监测，防范异常账户和可疑交易风险，确保账户资金安全。</w:t>
      </w:r>
    </w:p>
    <w:p w14:paraId="324576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三、取得成效</w:t>
      </w:r>
    </w:p>
    <w:p w14:paraId="02108F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外币合一银行账户体系政策有效满足了市场主体支付服务需求，受到银行机构和涉外企业一致好评。涉外企业办理账户业务由跑四五趟变成“一趟清”，提交资料由四五遍变成“一套净”，“跑一次银行”“填一次表”便可开立并维护本外币合一银行账户，实现“一个账号”管全部，提高了开户效率，降低了资金运营成本，简化了跨境交易手续，提高了跨境交易便利度。去年以来，我省本外币合一银行账户体系持续扩容，开户网点、开户数量和交易规模稳步增长，截至2025年6月末，推广范围扩大至13市9县、4家银行的67个网点，实现自贸区郑州、开封、洛阳片区全覆盖，累计为企业开立本外币合一银行结算账户714户，账户人民币交易量52.64亿元、外币交易量7575.7万美元。</w:t>
      </w:r>
    </w:p>
    <w:p w14:paraId="38402C4F">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p>
    <w:p w14:paraId="58AD28B2">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right"/>
        <w:textAlignment w:val="baseline"/>
        <w:outlineLvl w:val="9"/>
        <w:rPr>
          <w:rFonts w:hint="eastAsia" w:ascii="Times New Roman" w:hAnsi="Times New Roman" w:eastAsia="仿宋_GB2312" w:cs="Times New Roman"/>
          <w:color w:val="auto"/>
          <w:kern w:val="2"/>
          <w:sz w:val="32"/>
          <w:szCs w:val="32"/>
          <w:lang w:val="en-US" w:eastAsia="zh-CN" w:bidi="ar-SA"/>
        </w:rPr>
        <w:sectPr>
          <w:footerReference r:id="rId3" w:type="default"/>
          <w:footerReference r:id="rId4" w:type="even"/>
          <w:pgSz w:w="11906" w:h="16838"/>
          <w:pgMar w:top="2041" w:right="1588" w:bottom="1757" w:left="1588" w:header="851" w:footer="1474" w:gutter="0"/>
          <w:cols w:space="720" w:num="1"/>
          <w:rtlGutter w:val="0"/>
          <w:docGrid w:type="lines" w:linePitch="590" w:charSpace="0"/>
        </w:sectPr>
      </w:pPr>
    </w:p>
    <w:p w14:paraId="5506B7D6">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3</w:t>
      </w:r>
    </w:p>
    <w:p w14:paraId="26329C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方正小标宋简体"/>
          <w:sz w:val="44"/>
          <w:szCs w:val="44"/>
          <w:lang w:eastAsia="zh-CN"/>
        </w:rPr>
      </w:pPr>
    </w:p>
    <w:p w14:paraId="09A9C66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洛阳市实行</w:t>
      </w:r>
      <w:r>
        <w:rPr>
          <w:rFonts w:hint="eastAsia" w:ascii="Times New Roman" w:hAnsi="Times New Roman" w:eastAsia="方正小标宋简体"/>
          <w:sz w:val="44"/>
          <w:szCs w:val="44"/>
        </w:rPr>
        <w:t>食品、药品、医疗器械</w:t>
      </w:r>
    </w:p>
    <w:p w14:paraId="19B91E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“一件事、一窗办”打造便捷高效政务环境</w:t>
      </w:r>
    </w:p>
    <w:p w14:paraId="42FD20EE">
      <w:pPr>
        <w:keepNext w:val="0"/>
        <w:keepLines w:val="0"/>
        <w:pageBreakBefore w:val="0"/>
        <w:widowControl w:val="0"/>
        <w:kinsoku/>
        <w:wordWrap/>
        <w:overflowPunct/>
        <w:topLinePunct w:val="0"/>
        <w:autoSpaceDE/>
        <w:autoSpaceDN/>
        <w:bidi w:val="0"/>
        <w:adjustRightInd/>
        <w:snapToGrid/>
        <w:spacing w:line="600" w:lineRule="exact"/>
        <w:ind w:left="0" w:right="0" w:rightChars="0" w:firstLine="620" w:firstLineChars="200"/>
        <w:textAlignment w:val="auto"/>
        <w:outlineLvl w:val="9"/>
        <w:rPr>
          <w:rFonts w:hint="default" w:ascii="Times New Roman" w:hAnsi="Times New Roman" w:eastAsia="仿宋_GB2312" w:cs="Times New Roman"/>
          <w:szCs w:val="32"/>
        </w:rPr>
      </w:pPr>
    </w:p>
    <w:p w14:paraId="632FA2CF">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楷体_GB2312" w:cs="楷体_GB2312"/>
          <w:sz w:val="32"/>
          <w:szCs w:val="32"/>
        </w:rPr>
      </w:pPr>
      <w:r>
        <w:rPr>
          <w:rFonts w:hint="eastAsia" w:ascii="黑体" w:hAnsi="黑体" w:eastAsia="黑体" w:cs="黑体"/>
          <w:sz w:val="32"/>
          <w:szCs w:val="32"/>
        </w:rPr>
        <w:t>推荐词：</w:t>
      </w:r>
      <w:r>
        <w:rPr>
          <w:rFonts w:hint="eastAsia" w:ascii="Times New Roman" w:hAnsi="Times New Roman" w:eastAsia="楷体_GB2312" w:cs="楷体_GB2312"/>
          <w:b w:val="0"/>
          <w:bCs w:val="0"/>
          <w:kern w:val="0"/>
          <w:sz w:val="32"/>
          <w:szCs w:val="32"/>
          <w:highlight w:val="none"/>
          <w:lang w:val="en-US" w:eastAsia="zh-CN" w:bidi="ar-SA"/>
        </w:rPr>
        <w:t>为进一步推动“高效办成一件事”，河南自贸试验区洛阳片区实行食品、药品、医疗器械“一件事、一窗办”改革，探索食品、药品、医疗器械审批跨系统、跨部门、跨业务层级集中高效办理。利用省市下放权限，形成“一件事”行业清单；制定服务指南，规范统一解答企业关于“一件事”问题；集成多个业务系统数据，多部门综合授权，实现6个省建业务系统的数据集成。降低审批成本、提升办件效能，使“一件事一次办”场景更加规范可控、“一类事一站办”服务更加便捷高效。</w:t>
      </w:r>
    </w:p>
    <w:p w14:paraId="2511C752">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实施背景</w:t>
      </w:r>
    </w:p>
    <w:p w14:paraId="6E78A164">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kern w:val="0"/>
          <w:sz w:val="32"/>
          <w:szCs w:val="32"/>
          <w:lang w:val="en-US" w:eastAsia="zh-CN" w:bidi="zh-CN"/>
        </w:rPr>
        <w:t>“高效办成一件事”已经</w:t>
      </w:r>
      <w:r>
        <w:rPr>
          <w:rFonts w:hint="default" w:ascii="Times New Roman" w:hAnsi="Times New Roman" w:eastAsia="仿宋_GB2312" w:cs="Times New Roman"/>
          <w:kern w:val="0"/>
          <w:sz w:val="32"/>
          <w:szCs w:val="32"/>
          <w:lang w:val="en-US" w:eastAsia="zh-CN" w:bidi="zh-CN"/>
        </w:rPr>
        <w:t>成为优化政务服务、提升行政效能的重要抓手。</w:t>
      </w:r>
      <w:r>
        <w:rPr>
          <w:rFonts w:hint="default" w:ascii="Times New Roman" w:hAnsi="Times New Roman" w:eastAsia="仿宋_GB2312" w:cs="Times New Roman"/>
          <w:kern w:val="0"/>
          <w:sz w:val="32"/>
          <w:szCs w:val="32"/>
          <w:lang w:bidi="zh-CN"/>
        </w:rPr>
        <w:t>为进一步推</w:t>
      </w:r>
      <w:r>
        <w:rPr>
          <w:rFonts w:hint="eastAsia" w:ascii="仿宋_GB2312" w:hAnsi="仿宋_GB2312" w:eastAsia="仿宋_GB2312" w:cs="仿宋_GB2312"/>
          <w:kern w:val="0"/>
          <w:sz w:val="32"/>
          <w:szCs w:val="32"/>
          <w:lang w:bidi="zh-CN"/>
        </w:rPr>
        <w:t>动“高效办成一件事”，河</w:t>
      </w:r>
      <w:r>
        <w:rPr>
          <w:rFonts w:hint="default" w:ascii="Times New Roman" w:hAnsi="Times New Roman" w:eastAsia="仿宋_GB2312" w:cs="Times New Roman"/>
          <w:kern w:val="0"/>
          <w:sz w:val="32"/>
          <w:szCs w:val="32"/>
          <w:lang w:bidi="zh-CN"/>
        </w:rPr>
        <w:t>南自贸试验区洛阳片区</w:t>
      </w:r>
      <w:r>
        <w:rPr>
          <w:rFonts w:hint="default" w:ascii="Times New Roman" w:hAnsi="Times New Roman" w:eastAsia="仿宋_GB2312" w:cs="Times New Roman"/>
          <w:kern w:val="0"/>
          <w:sz w:val="32"/>
          <w:szCs w:val="32"/>
          <w:lang w:val="en-US" w:eastAsia="zh-CN" w:bidi="zh-CN"/>
        </w:rPr>
        <w:t>从企业和群众视角出发，深化证照审批等事项流程改革创新，</w:t>
      </w:r>
      <w:r>
        <w:rPr>
          <w:rFonts w:hint="default" w:ascii="Times New Roman" w:hAnsi="Times New Roman" w:eastAsia="仿宋_GB2312" w:cs="Times New Roman"/>
          <w:kern w:val="0"/>
          <w:sz w:val="32"/>
          <w:szCs w:val="32"/>
          <w:lang w:bidi="zh-CN"/>
        </w:rPr>
        <w:t>实行食品、药品、医疗器</w:t>
      </w:r>
      <w:r>
        <w:rPr>
          <w:rFonts w:hint="eastAsia" w:ascii="仿宋_GB2312" w:hAnsi="仿宋_GB2312" w:eastAsia="仿宋_GB2312" w:cs="仿宋_GB2312"/>
          <w:kern w:val="0"/>
          <w:sz w:val="32"/>
          <w:szCs w:val="32"/>
          <w:lang w:bidi="zh-CN"/>
        </w:rPr>
        <w:t>械“一件事、一窗办”改</w:t>
      </w:r>
      <w:r>
        <w:rPr>
          <w:rFonts w:hint="default" w:ascii="Times New Roman" w:hAnsi="Times New Roman" w:eastAsia="仿宋_GB2312" w:cs="Times New Roman"/>
          <w:kern w:val="0"/>
          <w:sz w:val="32"/>
          <w:szCs w:val="32"/>
          <w:lang w:bidi="zh-CN"/>
        </w:rPr>
        <w:t>革，利用省市下放权限，</w:t>
      </w:r>
      <w:r>
        <w:rPr>
          <w:rFonts w:hint="default" w:ascii="Times New Roman" w:hAnsi="Times New Roman" w:eastAsia="仿宋_GB2312" w:cs="Times New Roman"/>
          <w:color w:val="000000"/>
          <w:kern w:val="0"/>
          <w:sz w:val="32"/>
          <w:szCs w:val="32"/>
          <w:lang w:bidi="zh-CN"/>
        </w:rPr>
        <w:t>集成多个业务系统数据，多部门综合授权，</w:t>
      </w:r>
      <w:r>
        <w:rPr>
          <w:rFonts w:hint="default" w:ascii="Times New Roman" w:hAnsi="Times New Roman" w:eastAsia="仿宋_GB2312" w:cs="Times New Roman"/>
          <w:kern w:val="0"/>
          <w:sz w:val="32"/>
          <w:szCs w:val="32"/>
          <w:lang w:bidi="zh-CN"/>
        </w:rPr>
        <w:t>探索食品、药品、医疗器械审批跨系统、跨部门、跨业务层级集中高效办理，</w:t>
      </w:r>
      <w:r>
        <w:rPr>
          <w:rFonts w:hint="default" w:ascii="Times New Roman" w:hAnsi="Times New Roman" w:eastAsia="仿宋_GB2312" w:cs="Times New Roman"/>
          <w:kern w:val="0"/>
          <w:sz w:val="32"/>
          <w:szCs w:val="32"/>
          <w:lang w:val="en-US" w:eastAsia="zh-CN" w:bidi="zh-CN"/>
        </w:rPr>
        <w:t>最大限度利企便民，激发生产经营企业内生动力。</w:t>
      </w:r>
    </w:p>
    <w:p w14:paraId="15EEE0D9">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二</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主要</w:t>
      </w:r>
      <w:r>
        <w:rPr>
          <w:rFonts w:ascii="Times New Roman" w:hAnsi="Times New Roman" w:eastAsia="黑体" w:cs="Times New Roman"/>
          <w:kern w:val="0"/>
          <w:sz w:val="32"/>
          <w:szCs w:val="32"/>
        </w:rPr>
        <w:t>做法</w:t>
      </w:r>
    </w:p>
    <w:p w14:paraId="773CAB49">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0"/>
          <w:sz w:val="32"/>
          <w:szCs w:val="32"/>
          <w:lang w:bidi="zh-CN"/>
        </w:rPr>
      </w:pPr>
      <w:r>
        <w:rPr>
          <w:rFonts w:hint="default" w:ascii="Times New Roman" w:hAnsi="Times New Roman" w:eastAsia="楷体_GB2312" w:cs="Times New Roman"/>
          <w:color w:val="000000"/>
          <w:kern w:val="0"/>
          <w:sz w:val="32"/>
          <w:szCs w:val="32"/>
        </w:rPr>
        <w:t>（一）形</w:t>
      </w:r>
      <w:r>
        <w:rPr>
          <w:rFonts w:hint="eastAsia" w:ascii="楷体_GB2312" w:hAnsi="楷体_GB2312" w:eastAsia="楷体_GB2312" w:cs="楷体_GB2312"/>
          <w:color w:val="000000"/>
          <w:kern w:val="0"/>
          <w:sz w:val="32"/>
          <w:szCs w:val="32"/>
        </w:rPr>
        <w:t>成“一件事”清</w:t>
      </w:r>
      <w:r>
        <w:rPr>
          <w:rFonts w:hint="default" w:ascii="Times New Roman" w:hAnsi="Times New Roman" w:eastAsia="楷体_GB2312" w:cs="Times New Roman"/>
          <w:color w:val="000000"/>
          <w:kern w:val="0"/>
          <w:sz w:val="32"/>
          <w:szCs w:val="32"/>
        </w:rPr>
        <w:t>单。</w:t>
      </w:r>
      <w:r>
        <w:rPr>
          <w:rFonts w:hint="eastAsia" w:ascii="Times New Roman" w:hAnsi="Times New Roman" w:eastAsia="仿宋_GB2312" w:cs="Times New Roman"/>
          <w:kern w:val="0"/>
          <w:sz w:val="32"/>
          <w:szCs w:val="32"/>
          <w:lang w:bidi="zh-CN"/>
        </w:rPr>
        <w:t>梳理食品、药品、医疗器械领域省市区三级60项审批权限，根据事项大类和企业需求，形成“一件事”行业清单。依托食药医械综合窗口，整合“单件事”，推出“开办食品加工厂一件事”“药品生产企业变更一件事”。对企业开办食品加工厂、药品生产企业变更涉及的企业登记注册（市场监管部门省、市、区级权限）、食品生产许可（市场监管部门</w:t>
      </w:r>
      <w:r>
        <w:rPr>
          <w:rFonts w:hint="eastAsia" w:ascii="Times New Roman" w:hAnsi="Times New Roman" w:eastAsia="仿宋_GB2312" w:cs="Times New Roman"/>
          <w:kern w:val="0"/>
          <w:sz w:val="32"/>
          <w:szCs w:val="32"/>
          <w:lang w:eastAsia="zh-CN" w:bidi="zh-CN"/>
        </w:rPr>
        <w:t>市、县</w:t>
      </w:r>
      <w:r>
        <w:rPr>
          <w:rFonts w:hint="eastAsia" w:ascii="Times New Roman" w:hAnsi="Times New Roman" w:eastAsia="仿宋_GB2312" w:cs="Times New Roman"/>
          <w:kern w:val="0"/>
          <w:sz w:val="32"/>
          <w:szCs w:val="32"/>
          <w:lang w:bidi="zh-CN"/>
        </w:rPr>
        <w:t>级权限）、药品生产企业许可（药监部门省级权限）、涉税事项办理（税务部门市、县级权限）、公章刻制备案（公安部门县区级权限）、户外招牌设施设置规范管理（城管部门县区级权限）、公众聚集场所投入使用和营业前消防安全检查（消防部门县区级权限）等事项权限提供“一件事”集成办理、多证照联发服务，取消重复资料，重塑审批流程。</w:t>
      </w:r>
    </w:p>
    <w:p w14:paraId="4B59F6AF">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0"/>
          <w:sz w:val="32"/>
          <w:szCs w:val="32"/>
          <w:lang w:bidi="zh-CN"/>
        </w:rPr>
      </w:pPr>
      <w:r>
        <w:rPr>
          <w:rFonts w:hint="eastAsia" w:ascii="Times New Roman" w:hAnsi="Times New Roman" w:eastAsia="楷体_GB2312" w:cs="Times New Roman"/>
          <w:color w:val="000000"/>
          <w:kern w:val="0"/>
          <w:sz w:val="32"/>
          <w:szCs w:val="32"/>
        </w:rPr>
        <w:t>（二）制定“一件事”指南。</w:t>
      </w:r>
      <w:r>
        <w:rPr>
          <w:rFonts w:hint="eastAsia" w:ascii="Times New Roman" w:hAnsi="Times New Roman" w:eastAsia="仿宋_GB2312" w:cs="Times New Roman"/>
          <w:kern w:val="0"/>
          <w:sz w:val="32"/>
          <w:szCs w:val="32"/>
          <w:lang w:bidi="zh-CN"/>
        </w:rPr>
        <w:t>对“一件事”涉及事项的设立依据、办理条件、所需材料、受理方式、联办部门、办结时限等进行统一规范，制定“开办食品加工厂一件事”、“药品生产企业变更一件事”服务指南。以通俗语言介绍“一件事”的涉及业务、常见问题、相关政策等，企业可自行查阅、自主申报。加强对窗口人员业务综合培训，规范统一解答企业关于“一件事”问题。</w:t>
      </w:r>
    </w:p>
    <w:p w14:paraId="5CAF2313">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宋体"/>
          <w:color w:val="000000"/>
          <w:kern w:val="0"/>
          <w:sz w:val="32"/>
          <w:szCs w:val="32"/>
          <w:lang w:bidi="zh-CN"/>
        </w:rPr>
      </w:pPr>
      <w:r>
        <w:rPr>
          <w:rFonts w:hint="eastAsia" w:ascii="Times New Roman" w:hAnsi="Times New Roman" w:eastAsia="楷体_GB2312" w:cs="Times New Roman"/>
          <w:color w:val="000000"/>
          <w:kern w:val="0"/>
          <w:sz w:val="32"/>
          <w:szCs w:val="32"/>
        </w:rPr>
        <w:t>（三）实现“一件事”一次办。</w:t>
      </w:r>
      <w:r>
        <w:rPr>
          <w:rFonts w:hint="eastAsia" w:ascii="Times New Roman" w:hAnsi="Times New Roman" w:eastAsia="仿宋_GB2312" w:cs="Times New Roman"/>
          <w:kern w:val="0"/>
          <w:sz w:val="32"/>
          <w:szCs w:val="32"/>
          <w:lang w:bidi="zh-CN"/>
        </w:rPr>
        <w:t>在大厅设置食药医械综合窗口，企业通过手机扫码，进入预约叫号系统精准分流至综合窗口，帮办导办人员立即“靠前”跟进，为企业提供线上线下的政策讲解、办件咨询、材料预审、表单填写、修改补正等服务；窗口人员采取多账号、多审批终端、多系统切换的方式，打破多部门使用国建、省建独立业务系统，数据无法互联互通的制约，无需企业多次重复提交申请材料、多次往返不同窗口，即可实现河南市场监管综合业务管理系统（企业设立登记）、河南省市场监督管理局行政许可统一审批平台（食品许可）、河南省市场监督管理局食品药品行政许可服务系统（药品、医疗器械许可备案）与河南省印章治安管理信息系统（公章刻制）、金税三期税收管理系统（税务登记）、消防监督管理系统（消防许可）共6个省建业务系统的数据集成，即时审批、证照联办，打造“一件事、一窗办、一揽子、全流程”办事场景。</w:t>
      </w:r>
    </w:p>
    <w:p w14:paraId="021EB66F">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kern w:val="0"/>
          <w:sz w:val="32"/>
          <w:szCs w:val="32"/>
          <w:lang w:eastAsia="zh-CN" w:bidi="ar"/>
        </w:rPr>
        <w:t>取得</w:t>
      </w:r>
      <w:r>
        <w:rPr>
          <w:rFonts w:hint="default" w:ascii="Times New Roman" w:hAnsi="Times New Roman" w:eastAsia="黑体" w:cs="Times New Roman"/>
          <w:kern w:val="0"/>
          <w:sz w:val="32"/>
          <w:szCs w:val="32"/>
          <w:lang w:bidi="ar"/>
        </w:rPr>
        <w:t>成效</w:t>
      </w:r>
    </w:p>
    <w:p w14:paraId="2BE720AE">
      <w:pPr>
        <w:pStyle w:val="8"/>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jc w:val="both"/>
        <w:textAlignment w:val="baseline"/>
        <w:outlineLvl w:val="9"/>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bidi="zh-CN"/>
        </w:rPr>
        <w:t>通</w:t>
      </w:r>
      <w:r>
        <w:rPr>
          <w:rFonts w:hint="eastAsia" w:ascii="Times New Roman" w:hAnsi="Times New Roman" w:eastAsia="仿宋_GB2312" w:cs="Times New Roman"/>
          <w:kern w:val="0"/>
          <w:sz w:val="32"/>
          <w:szCs w:val="32"/>
          <w:lang w:val="en-US" w:eastAsia="zh-CN" w:bidi="zh-CN"/>
        </w:rPr>
        <w:t>过清单梳理、流程再造、业务融合，实现多部门业务协同高效并联审批，简化了食品、药品、医疗器械生产经营企业的“准入”“准营”全流程，避免了各部门、各层级间重复审核，减少了人力、时间成本，助力企业办事更加快捷。拓展了新的“高效办成一件事”应用场景，激发了食品、药品生产经营企业的内生动力，降低了审批成本。2024年6月以来，累计办件1985件。60项食品、药品、医疗器械业务中48项关联河南省电子证照库，实现“免证可办”。“开办食品加工厂一件事”、“药品生产企业变更一件事”办理时限由30个工作日压缩至10个工作日，申请材料压缩40%以上，办件效能不断提升。</w:t>
      </w:r>
    </w:p>
    <w:p w14:paraId="5052D085">
      <w:pPr>
        <w:pStyle w:val="8"/>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jc w:val="both"/>
        <w:textAlignment w:val="baseline"/>
        <w:outlineLvl w:val="9"/>
        <w:rPr>
          <w:rFonts w:hint="eastAsia" w:ascii="Times New Roman" w:hAnsi="Times New Roman" w:eastAsia="仿宋_GB2312" w:cs="Times New Roman"/>
          <w:kern w:val="0"/>
          <w:sz w:val="32"/>
          <w:szCs w:val="32"/>
          <w:lang w:val="en-US" w:eastAsia="zh-CN" w:bidi="zh-CN"/>
        </w:rPr>
      </w:pPr>
    </w:p>
    <w:p w14:paraId="39EF1764">
      <w:pPr>
        <w:pStyle w:val="8"/>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jc w:val="both"/>
        <w:textAlignment w:val="baseline"/>
        <w:outlineLvl w:val="9"/>
        <w:rPr>
          <w:rFonts w:hint="eastAsia" w:ascii="Times New Roman" w:hAnsi="Times New Roman" w:eastAsia="仿宋_GB2312" w:cs="Times New Roman"/>
          <w:kern w:val="0"/>
          <w:sz w:val="32"/>
          <w:szCs w:val="32"/>
          <w:lang w:val="en-US" w:eastAsia="zh-CN" w:bidi="zh-CN"/>
        </w:rPr>
      </w:pPr>
    </w:p>
    <w:p w14:paraId="7B4DD780">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4</w:t>
      </w:r>
    </w:p>
    <w:p w14:paraId="1ADBCD9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z w:val="44"/>
          <w:szCs w:val="44"/>
        </w:rPr>
      </w:pPr>
    </w:p>
    <w:p w14:paraId="0256B0D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安阳市打造对接京津冀“桥头堡”</w:t>
      </w:r>
    </w:p>
    <w:p w14:paraId="2B6296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华文仿宋" w:cs="华文仿宋"/>
          <w:sz w:val="32"/>
          <w:szCs w:val="32"/>
        </w:rPr>
      </w:pPr>
      <w:r>
        <w:rPr>
          <w:rFonts w:hint="eastAsia" w:ascii="Times New Roman" w:hAnsi="Times New Roman" w:eastAsia="方正小标宋简体" w:cs="方正小标宋简体"/>
          <w:b w:val="0"/>
          <w:bCs w:val="0"/>
          <w:sz w:val="44"/>
          <w:szCs w:val="44"/>
        </w:rPr>
        <w:t>构建“研发在京津、智造在安阳”创新生态</w:t>
      </w:r>
      <w:r>
        <w:rPr>
          <w:rFonts w:hint="eastAsia" w:ascii="Times New Roman" w:hAnsi="Times New Roman" w:eastAsia="华文仿宋" w:cs="华文仿宋"/>
          <w:sz w:val="32"/>
          <w:szCs w:val="32"/>
        </w:rPr>
        <w:t>​</w:t>
      </w:r>
    </w:p>
    <w:p w14:paraId="09FDF6CB">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outlineLvl w:val="9"/>
        <w:rPr>
          <w:rFonts w:hint="default" w:ascii="Times New Roman" w:hAnsi="Times New Roman" w:eastAsia="楷体_GB2312" w:cs="Times New Roman"/>
          <w:sz w:val="32"/>
          <w:szCs w:val="32"/>
          <w:highlight w:val="none"/>
        </w:rPr>
      </w:pPr>
    </w:p>
    <w:p w14:paraId="7C6ADC1C">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楷体_GB2312" w:cs="楷体_GB2312"/>
          <w:b w:val="0"/>
          <w:bCs w:val="0"/>
          <w:kern w:val="0"/>
          <w:sz w:val="32"/>
          <w:szCs w:val="32"/>
          <w:highlight w:val="none"/>
          <w:lang w:val="en-US" w:eastAsia="zh-CN" w:bidi="ar-SA"/>
        </w:rPr>
      </w:pPr>
      <w:r>
        <w:rPr>
          <w:rFonts w:hint="eastAsia" w:ascii="黑体" w:hAnsi="黑体" w:eastAsia="黑体" w:cs="黑体"/>
          <w:sz w:val="32"/>
          <w:szCs w:val="32"/>
          <w:highlight w:val="none"/>
        </w:rPr>
        <w:t>推荐词</w:t>
      </w:r>
      <w:r>
        <w:rPr>
          <w:rFonts w:hint="eastAsia" w:ascii="黑体" w:hAnsi="黑体" w:eastAsia="黑体" w:cs="黑体"/>
          <w:sz w:val="32"/>
          <w:szCs w:val="32"/>
          <w:highlight w:val="none"/>
          <w:lang w:eastAsia="zh-CN"/>
        </w:rPr>
        <w:t>：</w:t>
      </w:r>
      <w:r>
        <w:rPr>
          <w:rFonts w:hint="eastAsia" w:ascii="Times New Roman" w:hAnsi="Times New Roman" w:eastAsia="楷体_GB2312" w:cs="楷体_GB2312"/>
          <w:b w:val="0"/>
          <w:bCs w:val="0"/>
          <w:kern w:val="0"/>
          <w:sz w:val="32"/>
          <w:szCs w:val="32"/>
          <w:highlight w:val="none"/>
          <w:lang w:val="en-US" w:eastAsia="zh-CN" w:bidi="ar-SA"/>
        </w:rPr>
        <w:t>安阳市立足豫北门户区位，抢抓国家战略机遇，聚焦科技、人才等市场要素资源跨区域高效流通，以打造对接京津冀“桥头堡”为目标，创新构建“离岸创新中心+本地科创中心”双核驱动模式，实施“洹泉涌流”人才集聚计划，精准对接京津冀地区科技、人才资源，通过共建高能级平台、强化靶向引才、深化产学研融合，有效破解区域创新资源匮乏困境，加速形成“研发在京津、智造在安阳”的协同发展格局，有效提升城市创新能级和产业竞争力，助力打造跨区域协同发展引领区，加快融入服务全国统一大市场。</w:t>
      </w:r>
    </w:p>
    <w:p w14:paraId="0F10716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华文仿宋" w:cs="华文仿宋"/>
          <w:b/>
          <w:bCs/>
          <w:sz w:val="32"/>
          <w:szCs w:val="32"/>
          <w:highlight w:val="none"/>
        </w:rPr>
      </w:pPr>
      <w:r>
        <w:rPr>
          <w:rFonts w:hint="eastAsia" w:ascii="Times New Roman" w:hAnsi="Times New Roman" w:eastAsia="黑体" w:cs="黑体"/>
          <w:b w:val="0"/>
          <w:bCs w:val="0"/>
          <w:sz w:val="32"/>
          <w:szCs w:val="32"/>
          <w:highlight w:val="none"/>
        </w:rPr>
        <w:t>一、实施背景</w:t>
      </w:r>
      <w:r>
        <w:rPr>
          <w:rFonts w:hint="eastAsia" w:ascii="Times New Roman" w:hAnsi="Times New Roman" w:eastAsia="方正黑体_GBK" w:cs="方正黑体_GBK"/>
          <w:b w:val="0"/>
          <w:bCs w:val="0"/>
          <w:sz w:val="32"/>
          <w:szCs w:val="32"/>
          <w:highlight w:val="none"/>
        </w:rPr>
        <w:t>​</w:t>
      </w:r>
      <w:r>
        <w:rPr>
          <w:rFonts w:hint="eastAsia" w:ascii="Times New Roman" w:hAnsi="Times New Roman" w:eastAsia="华文仿宋" w:cs="华文仿宋"/>
          <w:b/>
          <w:bCs/>
          <w:sz w:val="32"/>
          <w:szCs w:val="32"/>
          <w:highlight w:val="none"/>
        </w:rPr>
        <w:t>​</w:t>
      </w:r>
    </w:p>
    <w:p w14:paraId="1E4237CB">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安阳市作为传统工业城市，面临着产业转型升级、新旧动能转换的紧迫任务。虽毗邻京津冀创新高地，但受限于自身科教资源薄弱、高端人才稀缺、创新平台不足等短板，本地企业普遍存在技术获取难、创新成本高、</w:t>
      </w:r>
      <w:r>
        <w:rPr>
          <w:rFonts w:hint="default" w:ascii="Times New Roman" w:hAnsi="Times New Roman" w:eastAsia="仿宋_GB2312" w:cs="Times New Roman"/>
          <w:sz w:val="32"/>
          <w:szCs w:val="32"/>
          <w:highlight w:val="none"/>
          <w:lang w:eastAsia="zh-CN"/>
        </w:rPr>
        <w:t>高端</w:t>
      </w:r>
      <w:r>
        <w:rPr>
          <w:rFonts w:hint="default" w:ascii="Times New Roman" w:hAnsi="Times New Roman" w:eastAsia="仿宋_GB2312" w:cs="Times New Roman"/>
          <w:sz w:val="32"/>
          <w:szCs w:val="32"/>
          <w:highlight w:val="none"/>
        </w:rPr>
        <w:t>人才引进难等问题，制约产业向价值链中高端攀升。同时，京津冀地区高校院所、科研机构、创新企业云集，科技成果丰硕，但存</w:t>
      </w:r>
      <w:r>
        <w:rPr>
          <w:rFonts w:hint="eastAsia"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成果转化落地空间受限、成本较高等痛点，亟需广阔腹地承载。安阳市把握机遇，深度对接京津冀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着力破除创新</w:t>
      </w:r>
      <w:r>
        <w:rPr>
          <w:rFonts w:hint="default" w:ascii="Times New Roman" w:hAnsi="Times New Roman" w:eastAsia="仿宋_GB2312" w:cs="Times New Roman"/>
          <w:sz w:val="32"/>
          <w:szCs w:val="32"/>
          <w:highlight w:val="none"/>
          <w:lang w:eastAsia="zh-CN"/>
        </w:rPr>
        <w:t>和人才</w:t>
      </w:r>
      <w:r>
        <w:rPr>
          <w:rFonts w:hint="default" w:ascii="Times New Roman" w:hAnsi="Times New Roman" w:eastAsia="仿宋_GB2312" w:cs="Times New Roman"/>
          <w:sz w:val="32"/>
          <w:szCs w:val="32"/>
          <w:highlight w:val="none"/>
        </w:rPr>
        <w:t>要素流通障碍，搭建高水平创新平</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构建</w:t>
      </w:r>
      <w:r>
        <w:rPr>
          <w:rFonts w:hint="eastAsia" w:ascii="仿宋_GB2312" w:hAnsi="仿宋_GB2312" w:eastAsia="仿宋_GB2312" w:cs="仿宋_GB2312"/>
          <w:sz w:val="32"/>
          <w:szCs w:val="32"/>
          <w:highlight w:val="none"/>
        </w:rPr>
        <w:t>“研发在京津，智造在安阳”创</w:t>
      </w:r>
      <w:r>
        <w:rPr>
          <w:rFonts w:hint="default" w:ascii="Times New Roman" w:hAnsi="Times New Roman" w:eastAsia="仿宋_GB2312" w:cs="Times New Roman"/>
          <w:sz w:val="32"/>
          <w:szCs w:val="32"/>
          <w:highlight w:val="none"/>
        </w:rPr>
        <w:t>新生态</w:t>
      </w:r>
      <w:r>
        <w:rPr>
          <w:rFonts w:hint="default" w:ascii="Times New Roman" w:hAnsi="Times New Roman" w:eastAsia="仿宋_GB2312" w:cs="Times New Roman"/>
          <w:sz w:val="32"/>
          <w:szCs w:val="32"/>
          <w:highlight w:val="none"/>
          <w:lang w:eastAsia="zh-CN"/>
        </w:rPr>
        <w:t>，破解区域创新资源匮乏困境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促进科技成果高效转化，赋能产业升级。</w:t>
      </w:r>
    </w:p>
    <w:p w14:paraId="07B58859">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方正黑体_GBK" w:cs="方正黑体_GBK"/>
          <w:b w:val="0"/>
          <w:bCs w:val="0"/>
          <w:sz w:val="32"/>
          <w:szCs w:val="32"/>
          <w:highlight w:val="none"/>
        </w:rPr>
      </w:pPr>
      <w:r>
        <w:rPr>
          <w:rFonts w:hint="eastAsia" w:ascii="Times New Roman" w:hAnsi="Times New Roman" w:eastAsia="黑体" w:cs="黑体"/>
          <w:b w:val="0"/>
          <w:bCs w:val="0"/>
          <w:sz w:val="32"/>
          <w:szCs w:val="32"/>
          <w:highlight w:val="none"/>
        </w:rPr>
        <w:t>二、主要做法​</w:t>
      </w:r>
      <w:r>
        <w:rPr>
          <w:rFonts w:hint="eastAsia" w:ascii="Times New Roman" w:hAnsi="Times New Roman" w:eastAsia="方正黑体_GBK" w:cs="方正黑体_GBK"/>
          <w:b w:val="0"/>
          <w:bCs w:val="0"/>
          <w:sz w:val="32"/>
          <w:szCs w:val="32"/>
          <w:highlight w:val="none"/>
        </w:rPr>
        <w:t>​</w:t>
      </w:r>
    </w:p>
    <w:p w14:paraId="1F9B58CB">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sz w:val="32"/>
          <w:szCs w:val="32"/>
          <w:highlight w:val="none"/>
        </w:rPr>
      </w:pPr>
      <w:r>
        <w:rPr>
          <w:rFonts w:hint="eastAsia" w:ascii="Times New Roman" w:hAnsi="Times New Roman" w:eastAsia="楷体_GB2312" w:cs="楷体_GB2312"/>
          <w:sz w:val="32"/>
          <w:szCs w:val="32"/>
          <w:highlight w:val="none"/>
          <w:lang w:eastAsia="zh-CN"/>
        </w:rPr>
        <w:t>（</w:t>
      </w:r>
      <w:r>
        <w:rPr>
          <w:rFonts w:hint="eastAsia" w:ascii="Times New Roman" w:hAnsi="Times New Roman" w:eastAsia="楷体_GB2312" w:cs="楷体_GB2312"/>
          <w:sz w:val="32"/>
          <w:szCs w:val="32"/>
          <w:highlight w:val="none"/>
        </w:rPr>
        <w:t>一</w:t>
      </w:r>
      <w:r>
        <w:rPr>
          <w:rFonts w:hint="eastAsia" w:ascii="Times New Roman" w:hAnsi="Times New Roman" w:eastAsia="楷体_GB2312" w:cs="楷体_GB2312"/>
          <w:sz w:val="32"/>
          <w:szCs w:val="32"/>
          <w:highlight w:val="none"/>
          <w:lang w:eastAsia="zh-CN"/>
        </w:rPr>
        <w:t>）</w:t>
      </w:r>
      <w:r>
        <w:rPr>
          <w:rFonts w:hint="eastAsia" w:ascii="Times New Roman" w:hAnsi="Times New Roman" w:eastAsia="楷体_GB2312" w:cs="楷体_GB2312"/>
          <w:sz w:val="32"/>
          <w:szCs w:val="32"/>
          <w:highlight w:val="none"/>
        </w:rPr>
        <w:t>构建“双中心”平台体系，畅通创新要素流通渠道</w:t>
      </w:r>
      <w:r>
        <w:rPr>
          <w:rFonts w:hint="eastAsia" w:ascii="Times New Roman" w:hAnsi="Times New Roman" w:eastAsia="楷体_GB2312" w:cs="楷体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在全省首创设立安阳（北京）离岸创新中心和启迪（安阳）科创中心，</w:t>
      </w:r>
      <w:r>
        <w:rPr>
          <w:rFonts w:hint="eastAsia"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lang w:val="en-US" w:eastAsia="zh-CN"/>
        </w:rPr>
        <w:t>一体运行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相互连通的“双中心”协同模式。安阳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北京</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离岸创新中心扎根北京，扮演“科技前哨站”和“人才联络站”</w:t>
      </w:r>
      <w:r>
        <w:rPr>
          <w:rFonts w:hint="eastAsia" w:ascii="Times New Roman" w:hAnsi="Times New Roman" w:eastAsia="仿宋_GB2312" w:cs="Times New Roman"/>
          <w:sz w:val="32"/>
          <w:szCs w:val="32"/>
          <w:highlight w:val="none"/>
          <w:lang w:eastAsia="zh-CN"/>
        </w:rPr>
        <w:t>，深度对接高校院所、央企京企等优质创新资源并及时推送创新成果；</w:t>
      </w:r>
      <w:r>
        <w:rPr>
          <w:rFonts w:hint="eastAsia" w:ascii="Times New Roman" w:hAnsi="Times New Roman" w:eastAsia="仿宋_GB2312" w:cs="Times New Roman"/>
          <w:sz w:val="32"/>
          <w:szCs w:val="32"/>
          <w:highlight w:val="none"/>
        </w:rPr>
        <w:t>启迪</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安阳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科创中心落地安阳，</w:t>
      </w:r>
      <w:r>
        <w:rPr>
          <w:rFonts w:hint="eastAsia" w:ascii="Times New Roman" w:hAnsi="Times New Roman" w:eastAsia="仿宋_GB2312" w:cs="Times New Roman"/>
          <w:sz w:val="32"/>
          <w:szCs w:val="32"/>
          <w:highlight w:val="none"/>
          <w:lang w:eastAsia="zh-CN"/>
        </w:rPr>
        <w:t>常态化收集本地创新需求，</w:t>
      </w:r>
      <w:r>
        <w:rPr>
          <w:rFonts w:hint="eastAsia" w:ascii="Times New Roman" w:hAnsi="Times New Roman" w:eastAsia="仿宋_GB2312" w:cs="Times New Roman"/>
          <w:sz w:val="32"/>
          <w:szCs w:val="32"/>
          <w:highlight w:val="none"/>
        </w:rPr>
        <w:t>承接离岸中心导入资源</w:t>
      </w:r>
      <w:r>
        <w:rPr>
          <w:rFonts w:hint="eastAsia" w:ascii="Times New Roman" w:hAnsi="Times New Roman" w:eastAsia="仿宋_GB2312" w:cs="Times New Roman"/>
          <w:sz w:val="32"/>
          <w:szCs w:val="32"/>
          <w:highlight w:val="none"/>
          <w:lang w:eastAsia="zh-CN"/>
        </w:rPr>
        <w:t>并</w:t>
      </w:r>
      <w:r>
        <w:rPr>
          <w:rFonts w:hint="eastAsia" w:ascii="Times New Roman" w:hAnsi="Times New Roman" w:eastAsia="仿宋_GB2312" w:cs="Times New Roman"/>
          <w:sz w:val="32"/>
          <w:szCs w:val="32"/>
          <w:highlight w:val="none"/>
        </w:rPr>
        <w:t>提供本地化服务支撑，推动技术供需匹配和项目落地转化。</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双中心”信息共享</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紧密联动，形成“</w:t>
      </w:r>
      <w:r>
        <w:rPr>
          <w:rFonts w:hint="eastAsia" w:ascii="Times New Roman" w:hAnsi="Times New Roman" w:eastAsia="仿宋_GB2312" w:cs="Times New Roman"/>
          <w:sz w:val="32"/>
          <w:szCs w:val="32"/>
          <w:highlight w:val="none"/>
          <w:lang w:val="en-US" w:eastAsia="zh-CN"/>
        </w:rPr>
        <w:t>北京研发</w:t>
      </w:r>
      <w:r>
        <w:rPr>
          <w:rFonts w:hint="eastAsia" w:ascii="Times New Roman" w:hAnsi="Times New Roman" w:eastAsia="仿宋_GB2312" w:cs="Times New Roman"/>
          <w:sz w:val="32"/>
          <w:szCs w:val="32"/>
          <w:highlight w:val="none"/>
        </w:rPr>
        <w:t>—安阳转化”的闭环链条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有效解决了本地企业“找技术难”和科研机构“转化落地难”的双向痛点。</w:t>
      </w:r>
    </w:p>
    <w:p w14:paraId="76FDAAC0">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楷体_GB2312"/>
          <w:sz w:val="32"/>
          <w:szCs w:val="32"/>
          <w:highlight w:val="none"/>
          <w:lang w:eastAsia="zh-CN"/>
        </w:rPr>
        <w:t>（二）共建高能级研发平台，提升创新策源与承载能力。</w:t>
      </w:r>
      <w:r>
        <w:rPr>
          <w:rFonts w:hint="eastAsia" w:ascii="Times New Roman" w:hAnsi="Times New Roman" w:eastAsia="仿宋_GB2312" w:cs="Times New Roman"/>
          <w:sz w:val="32"/>
          <w:szCs w:val="32"/>
          <w:highlight w:val="none"/>
          <w:lang w:val="en-US" w:eastAsia="zh-CN"/>
        </w:rPr>
        <w:t>联合京津冀顶尖科研力量，瞄准重点产业方向，共建重大引领性创新平台，打造区域创新高地。与中国农业科学院共建安阳创新基地，开展农业全链条科技创新，3个团队37名专家人才已完成先期入驻，达成成果转化意向9家、签署协议5家，创新基地建成后将融入“中原农谷”大局，加速农业科技成果在全国统一大市场中规模化应用。与北京航空航天大学团队整合中国联通研究院、中国民航科学技术研究院等优势资源共建蓝天实验室，聚焦低空经济（无人机）领域，围绕警用反恐、空中交通管理等应用需求，串联20余家单位开展“定制化”研究，已确立7个研发专项；组织企业参与国家行业标准制定，推动形成“安阳蓝天”标准范式，已起草7项行业团体标准</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输出14项全国规范性可执行标准</w:t>
      </w:r>
      <w:r>
        <w:rPr>
          <w:rFonts w:hint="eastAsia" w:ascii="Times New Roman" w:hAnsi="Times New Roman" w:eastAsia="仿宋_GB2312" w:cs="Times New Roman"/>
          <w:sz w:val="32"/>
          <w:szCs w:val="32"/>
          <w:highlight w:val="none"/>
          <w:lang w:val="en-US" w:eastAsia="zh-CN"/>
        </w:rPr>
        <w:t>。</w:t>
      </w:r>
    </w:p>
    <w:p w14:paraId="794C54A9">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楷体_GB2312"/>
          <w:sz w:val="32"/>
          <w:szCs w:val="32"/>
          <w:highlight w:val="none"/>
          <w:lang w:eastAsia="zh-CN"/>
        </w:rPr>
        <w:t>（三）深化“洹泉涌流”人才</w:t>
      </w:r>
      <w:r>
        <w:rPr>
          <w:rFonts w:hint="eastAsia" w:ascii="Times New Roman" w:hAnsi="Times New Roman" w:eastAsia="楷体_GB2312" w:cs="楷体_GB2312"/>
          <w:sz w:val="32"/>
          <w:szCs w:val="32"/>
          <w:highlight w:val="none"/>
          <w:lang w:val="en" w:eastAsia="zh-CN"/>
        </w:rPr>
        <w:t>集聚</w:t>
      </w:r>
      <w:r>
        <w:rPr>
          <w:rFonts w:hint="eastAsia" w:ascii="Times New Roman" w:hAnsi="Times New Roman" w:eastAsia="楷体_GB2312" w:cs="楷体_GB2312"/>
          <w:sz w:val="32"/>
          <w:szCs w:val="32"/>
          <w:highlight w:val="none"/>
          <w:lang w:eastAsia="zh-CN"/>
        </w:rPr>
        <w:t>计划，助力人才城市“双向奔赴”。</w:t>
      </w:r>
      <w:r>
        <w:rPr>
          <w:rFonts w:hint="eastAsia" w:ascii="Times New Roman" w:hAnsi="Times New Roman" w:eastAsia="仿宋_GB2312" w:cs="Times New Roman"/>
          <w:sz w:val="32"/>
          <w:szCs w:val="32"/>
          <w:highlight w:val="none"/>
          <w:lang w:val="en-US" w:eastAsia="zh-CN"/>
        </w:rPr>
        <w:t>畅通人才双向流动渠道，在京津冀设立招才引智工作站，常态化开展“洹泉涌流·招才引智万里行”活动，</w:t>
      </w:r>
      <w:r>
        <w:rPr>
          <w:rFonts w:hint="default" w:ascii="Times New Roman" w:hAnsi="Times New Roman" w:eastAsia="仿宋_GB2312" w:cs="Times New Roman"/>
          <w:sz w:val="32"/>
          <w:szCs w:val="32"/>
          <w:highlight w:val="none"/>
          <w:lang w:val="en-US" w:eastAsia="zh-CN"/>
        </w:rPr>
        <w:t>组织</w:t>
      </w:r>
      <w:r>
        <w:rPr>
          <w:rFonts w:hint="eastAsia" w:ascii="Times New Roman" w:hAnsi="Times New Roman" w:eastAsia="仿宋_GB2312" w:cs="Times New Roman"/>
          <w:sz w:val="32"/>
          <w:szCs w:val="32"/>
          <w:highlight w:val="none"/>
          <w:lang w:val="en-US" w:eastAsia="zh-CN"/>
        </w:rPr>
        <w:t>对接“融入京津冀 共创新未来”招商引智专场推介会，搭建沟通交流平台，集中发布</w:t>
      </w:r>
      <w:r>
        <w:rPr>
          <w:rFonts w:hint="default" w:ascii="Times New Roman" w:hAnsi="Times New Roman" w:eastAsia="仿宋_GB2312" w:cs="Times New Roman"/>
          <w:sz w:val="32"/>
          <w:szCs w:val="32"/>
          <w:highlight w:val="none"/>
          <w:lang w:val="en-US" w:eastAsia="zh-CN"/>
        </w:rPr>
        <w:t>500余家用人单位近14000个岗位的招聘计划，其中包括</w:t>
      </w:r>
      <w:r>
        <w:rPr>
          <w:rFonts w:hint="eastAsia" w:ascii="Times New Roman" w:hAnsi="Times New Roman" w:eastAsia="仿宋_GB2312" w:cs="Times New Roman"/>
          <w:sz w:val="32"/>
          <w:szCs w:val="32"/>
          <w:highlight w:val="none"/>
          <w:lang w:val="en-US" w:eastAsia="zh-CN"/>
        </w:rPr>
        <w:t>231</w:t>
      </w:r>
      <w:r>
        <w:rPr>
          <w:rFonts w:hint="default" w:ascii="Times New Roman" w:hAnsi="Times New Roman" w:eastAsia="仿宋_GB2312" w:cs="Times New Roman"/>
          <w:sz w:val="32"/>
          <w:szCs w:val="32"/>
          <w:highlight w:val="none"/>
          <w:lang w:val="en-US" w:eastAsia="zh-CN"/>
        </w:rPr>
        <w:t>名</w:t>
      </w:r>
      <w:r>
        <w:rPr>
          <w:rFonts w:hint="eastAsia" w:ascii="Times New Roman" w:hAnsi="Times New Roman" w:eastAsia="仿宋_GB2312" w:cs="Times New Roman"/>
          <w:sz w:val="32"/>
          <w:szCs w:val="32"/>
          <w:highlight w:val="none"/>
          <w:lang w:val="en-US" w:eastAsia="zh-CN"/>
        </w:rPr>
        <w:t>博士以上高层次人才需求。升级迭代人才政策，加快构建全周期人才服务体系，在全省率先推出“一岗一房”引才举措，为新引进人才提供3年免费入住周转房；实施“政企双聘、政聘企用”新模式，突破地域限制和体制机制壁垒，通过项目制、双聘制、技术转让、投资等多种灵活方式，柔性引进中国工程院院士和顶尖专家学者团队，实现跨区域人才资源共享共用。</w:t>
      </w:r>
    </w:p>
    <w:p w14:paraId="0882B674">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三、取得成效​</w:t>
      </w:r>
    </w:p>
    <w:p w14:paraId="18EDEC47">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通过搭建高端科技要素对接平台并持续实施“洹泉涌流”计划，科技与人力资源要素实现跨区域顺畅流动，“研发在京津、智造在安阳”的格局初步形成并展现出强大生命力。2023年以来，从京津冀地区高校引入人才3500余人，蓝天实验室、中国农科院安阳创新基地等高能级平台成为汇聚创新资源的“强磁场”和驱动产业升级的“新引擎”。科创“双中心”已成功对接清华大学、中国科学院等20余家高校院所成果转化中心，累计征集企业技术需求600余项，组织技术需求对接活动300余场次，纳入适配安阳产业发展科技成果3000余项，全市省级以上研发平台数量达到262家，高新技术企业突破400家，2024年技术合同成交额增速位居全省第一。</w:t>
      </w:r>
    </w:p>
    <w:p w14:paraId="31090774">
      <w:pPr>
        <w:pStyle w:val="8"/>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baseline"/>
        <w:outlineLvl w:val="9"/>
        <w:rPr>
          <w:rFonts w:hint="eastAsia" w:ascii="Times New Roman" w:hAnsi="Times New Roman" w:eastAsia="黑体" w:cs="Times New Roman"/>
          <w:color w:val="auto"/>
          <w:kern w:val="2"/>
          <w:sz w:val="32"/>
          <w:szCs w:val="32"/>
          <w:lang w:val="en-US" w:eastAsia="zh-CN" w:bidi="ar-SA"/>
        </w:rPr>
      </w:pPr>
    </w:p>
    <w:p w14:paraId="2E0D0E9D">
      <w:pPr>
        <w:pStyle w:val="8"/>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baseline"/>
        <w:outlineLvl w:val="9"/>
        <w:rPr>
          <w:rFonts w:hint="eastAsia" w:ascii="Times New Roman" w:hAnsi="Times New Roman" w:eastAsia="黑体" w:cs="Times New Roman"/>
          <w:color w:val="auto"/>
          <w:kern w:val="2"/>
          <w:sz w:val="32"/>
          <w:szCs w:val="32"/>
          <w:lang w:val="en-US" w:eastAsia="zh-CN" w:bidi="ar-SA"/>
        </w:rPr>
      </w:pPr>
    </w:p>
    <w:p w14:paraId="6E7722C4">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5</w:t>
      </w:r>
    </w:p>
    <w:p w14:paraId="38ABE783">
      <w:pPr>
        <w:keepNext w:val="0"/>
        <w:keepLines w:val="0"/>
        <w:pageBreakBefore w:val="0"/>
        <w:widowControl/>
        <w:kinsoku/>
        <w:wordWrap/>
        <w:overflowPunct/>
        <w:topLinePunct w:val="0"/>
        <w:autoSpaceDE/>
        <w:autoSpaceDN/>
        <w:bidi w:val="0"/>
        <w:adjustRightInd/>
        <w:snapToGrid/>
        <w:spacing w:line="240" w:lineRule="auto"/>
        <w:ind w:left="0" w:right="0" w:rightChars="0"/>
        <w:jc w:val="left"/>
        <w:textAlignment w:val="auto"/>
        <w:outlineLvl w:val="9"/>
        <w:rPr>
          <w:rFonts w:hint="eastAsia" w:ascii="Times New Roman" w:hAnsi="Times New Roman"/>
          <w:lang w:val="en-US" w:eastAsia="zh-CN"/>
        </w:rPr>
      </w:pPr>
    </w:p>
    <w:p w14:paraId="109BEC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鹤壁市破解创业群体融资难题</w:t>
      </w:r>
    </w:p>
    <w:p w14:paraId="08C051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“贷”动创业促就业</w:t>
      </w:r>
    </w:p>
    <w:p w14:paraId="1A3E0972">
      <w:pPr>
        <w:rPr>
          <w:rFonts w:hint="default" w:ascii="Times New Roman" w:hAnsi="Times New Roman"/>
          <w:lang w:val="en"/>
        </w:rPr>
      </w:pPr>
    </w:p>
    <w:p w14:paraId="24081E7A">
      <w:pPr>
        <w:pStyle w:val="2"/>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黑体" w:cs="Times New Roman"/>
          <w:color w:val="000000"/>
          <w:sz w:val="32"/>
          <w:szCs w:val="32"/>
        </w:rPr>
      </w:pPr>
      <w:r>
        <w:rPr>
          <w:rFonts w:hint="eastAsia" w:ascii="黑体" w:hAnsi="黑体" w:eastAsia="黑体" w:cs="黑体"/>
          <w:color w:val="000000"/>
          <w:sz w:val="32"/>
          <w:szCs w:val="32"/>
          <w:lang w:val="en"/>
        </w:rPr>
        <w:t>推荐词：</w:t>
      </w:r>
      <w:r>
        <w:rPr>
          <w:rFonts w:hint="eastAsia" w:ascii="Times New Roman" w:hAnsi="Times New Roman" w:eastAsia="楷体_GB2312" w:cs="Times New Roman"/>
          <w:color w:val="000000"/>
          <w:kern w:val="2"/>
          <w:sz w:val="32"/>
          <w:szCs w:val="32"/>
          <w:lang w:val="en-US" w:eastAsia="zh-CN" w:bidi="ar-SA"/>
        </w:rPr>
        <w:t>鹤壁市探索实施“一优两稳三联四降”</w:t>
      </w:r>
      <w:r>
        <w:rPr>
          <w:rFonts w:hint="default" w:ascii="Times New Roman" w:hAnsi="Times New Roman" w:eastAsia="楷体_GB2312" w:cs="Times New Roman"/>
          <w:color w:val="000000"/>
          <w:kern w:val="2"/>
          <w:sz w:val="32"/>
          <w:szCs w:val="32"/>
          <w:lang w:val="en-US" w:eastAsia="zh-CN" w:bidi="ar-SA"/>
        </w:rPr>
        <w:t>工作</w:t>
      </w:r>
      <w:r>
        <w:rPr>
          <w:rFonts w:hint="eastAsia" w:ascii="Times New Roman" w:hAnsi="Times New Roman" w:eastAsia="楷体_GB2312" w:cs="Times New Roman"/>
          <w:color w:val="000000"/>
          <w:kern w:val="2"/>
          <w:sz w:val="32"/>
          <w:szCs w:val="32"/>
          <w:lang w:val="en-US" w:eastAsia="zh-CN" w:bidi="ar-SA"/>
        </w:rPr>
        <w:t>机制，建立担保机构与经办银行联合办公机制，从</w:t>
      </w:r>
      <w:r>
        <w:rPr>
          <w:rFonts w:hint="default" w:ascii="Times New Roman" w:hAnsi="Times New Roman" w:eastAsia="楷体_GB2312" w:cs="Times New Roman"/>
          <w:color w:val="000000"/>
          <w:kern w:val="2"/>
          <w:sz w:val="32"/>
          <w:szCs w:val="32"/>
          <w:lang w:val="en-US" w:eastAsia="zh-CN" w:bidi="ar-SA"/>
        </w:rPr>
        <w:t>受理、考察、评审、签订合同、放款</w:t>
      </w:r>
      <w:r>
        <w:rPr>
          <w:rFonts w:hint="eastAsia" w:ascii="Times New Roman" w:hAnsi="Times New Roman" w:eastAsia="楷体_GB2312" w:cs="Times New Roman"/>
          <w:color w:val="000000"/>
          <w:kern w:val="2"/>
          <w:sz w:val="32"/>
          <w:szCs w:val="32"/>
          <w:lang w:val="en-US" w:eastAsia="zh-CN" w:bidi="ar-SA"/>
        </w:rPr>
        <w:t>实现“</w:t>
      </w:r>
      <w:r>
        <w:rPr>
          <w:rFonts w:hint="default" w:ascii="Times New Roman" w:hAnsi="Times New Roman" w:eastAsia="楷体_GB2312" w:cs="Times New Roman"/>
          <w:color w:val="000000"/>
          <w:kern w:val="2"/>
          <w:sz w:val="32"/>
          <w:szCs w:val="32"/>
          <w:lang w:val="en-US" w:eastAsia="zh-CN" w:bidi="ar-SA"/>
        </w:rPr>
        <w:t>一站</w:t>
      </w:r>
      <w:r>
        <w:rPr>
          <w:rFonts w:hint="eastAsia" w:ascii="Times New Roman" w:hAnsi="Times New Roman" w:eastAsia="楷体_GB2312" w:cs="Times New Roman"/>
          <w:color w:val="000000"/>
          <w:kern w:val="2"/>
          <w:sz w:val="32"/>
          <w:szCs w:val="32"/>
          <w:lang w:val="en-US" w:eastAsia="zh-CN" w:bidi="ar-SA"/>
        </w:rPr>
        <w:t>式”</w:t>
      </w:r>
      <w:r>
        <w:rPr>
          <w:rFonts w:hint="default" w:ascii="Times New Roman" w:hAnsi="Times New Roman" w:eastAsia="楷体_GB2312" w:cs="Times New Roman"/>
          <w:color w:val="000000"/>
          <w:kern w:val="2"/>
          <w:sz w:val="32"/>
          <w:szCs w:val="32"/>
          <w:lang w:val="en-US" w:eastAsia="zh-CN" w:bidi="ar-SA"/>
        </w:rPr>
        <w:t>办</w:t>
      </w:r>
      <w:r>
        <w:rPr>
          <w:rFonts w:hint="eastAsia" w:ascii="Times New Roman" w:hAnsi="Times New Roman" w:eastAsia="楷体_GB2312" w:cs="Times New Roman"/>
          <w:color w:val="000000"/>
          <w:kern w:val="2"/>
          <w:sz w:val="32"/>
          <w:szCs w:val="32"/>
          <w:lang w:val="en-US" w:eastAsia="zh-CN" w:bidi="ar-SA"/>
        </w:rPr>
        <w:t>理，“见贷即担”模式取消评审会评审额度、不动产办抵、市行审批等环节，降门槛</w:t>
      </w:r>
      <w:r>
        <w:rPr>
          <w:rFonts w:hint="eastAsia" w:eastAsia="楷体_GB2312" w:cs="Times New Roman"/>
          <w:color w:val="000000"/>
          <w:kern w:val="2"/>
          <w:sz w:val="32"/>
          <w:szCs w:val="32"/>
          <w:lang w:val="en-US" w:eastAsia="zh-CN" w:bidi="ar-SA"/>
        </w:rPr>
        <w:t>、</w:t>
      </w:r>
      <w:r>
        <w:rPr>
          <w:rFonts w:hint="eastAsia" w:ascii="Times New Roman" w:hAnsi="Times New Roman" w:eastAsia="楷体_GB2312" w:cs="Times New Roman"/>
          <w:color w:val="000000"/>
          <w:kern w:val="2"/>
          <w:sz w:val="32"/>
          <w:szCs w:val="32"/>
          <w:lang w:val="en-US" w:eastAsia="zh-CN" w:bidi="ar-SA"/>
        </w:rPr>
        <w:t>降风险</w:t>
      </w:r>
      <w:r>
        <w:rPr>
          <w:rFonts w:hint="eastAsia" w:eastAsia="楷体_GB2312" w:cs="Times New Roman"/>
          <w:color w:val="000000"/>
          <w:kern w:val="2"/>
          <w:sz w:val="32"/>
          <w:szCs w:val="32"/>
          <w:lang w:val="en-US" w:eastAsia="zh-CN" w:bidi="ar-SA"/>
        </w:rPr>
        <w:t>、</w:t>
      </w:r>
      <w:r>
        <w:rPr>
          <w:rFonts w:hint="eastAsia" w:ascii="Times New Roman" w:hAnsi="Times New Roman" w:eastAsia="楷体_GB2312" w:cs="Times New Roman"/>
          <w:color w:val="000000"/>
          <w:kern w:val="2"/>
          <w:sz w:val="32"/>
          <w:szCs w:val="32"/>
          <w:lang w:val="en-US" w:eastAsia="zh-CN" w:bidi="ar-SA"/>
        </w:rPr>
        <w:t>降办理时限，实现当日受理材料—当日实地考察—当日贷款上报—</w:t>
      </w:r>
      <w:r>
        <w:rPr>
          <w:rFonts w:hint="eastAsia" w:eastAsia="楷体_GB2312" w:cs="Times New Roman"/>
          <w:color w:val="000000"/>
          <w:kern w:val="2"/>
          <w:sz w:val="32"/>
          <w:szCs w:val="32"/>
          <w:lang w:val="en-US" w:eastAsia="zh-CN" w:bidi="ar-SA"/>
        </w:rPr>
        <w:t>最快</w:t>
      </w:r>
      <w:r>
        <w:rPr>
          <w:rFonts w:hint="eastAsia" w:ascii="Times New Roman" w:hAnsi="Times New Roman" w:eastAsia="楷体_GB2312" w:cs="Times New Roman"/>
          <w:color w:val="000000"/>
          <w:kern w:val="2"/>
          <w:sz w:val="32"/>
          <w:szCs w:val="32"/>
          <w:lang w:val="en-US" w:eastAsia="zh-CN" w:bidi="ar-SA"/>
        </w:rPr>
        <w:t>当日/次日贷款发放，</w:t>
      </w:r>
      <w:r>
        <w:rPr>
          <w:rFonts w:hint="default" w:ascii="Times New Roman" w:hAnsi="Times New Roman" w:eastAsia="楷体_GB2312" w:cs="Times New Roman"/>
          <w:color w:val="000000"/>
          <w:kern w:val="2"/>
          <w:sz w:val="32"/>
          <w:szCs w:val="32"/>
          <w:lang w:val="en-US" w:eastAsia="zh-CN" w:bidi="ar-SA"/>
        </w:rPr>
        <w:t>破解</w:t>
      </w:r>
      <w:r>
        <w:rPr>
          <w:rFonts w:hint="eastAsia" w:ascii="Times New Roman" w:hAnsi="Times New Roman" w:eastAsia="楷体_GB2312" w:cs="Times New Roman"/>
          <w:color w:val="000000"/>
          <w:kern w:val="2"/>
          <w:sz w:val="32"/>
          <w:szCs w:val="32"/>
          <w:lang w:val="en-US" w:eastAsia="zh-CN" w:bidi="ar-SA"/>
        </w:rPr>
        <w:t>创业人员、小微企业</w:t>
      </w:r>
      <w:r>
        <w:rPr>
          <w:rFonts w:hint="default" w:ascii="Times New Roman" w:hAnsi="Times New Roman" w:eastAsia="楷体_GB2312" w:cs="Times New Roman"/>
          <w:color w:val="000000"/>
          <w:kern w:val="2"/>
          <w:sz w:val="32"/>
          <w:szCs w:val="32"/>
          <w:lang w:val="en-US" w:eastAsia="zh-CN" w:bidi="ar-SA"/>
        </w:rPr>
        <w:t>融资难题</w:t>
      </w:r>
      <w:r>
        <w:rPr>
          <w:rFonts w:hint="eastAsia" w:ascii="Times New Roman" w:hAnsi="Times New Roman" w:eastAsia="楷体_GB2312" w:cs="Times New Roman"/>
          <w:color w:val="000000"/>
          <w:kern w:val="2"/>
          <w:sz w:val="32"/>
          <w:szCs w:val="32"/>
          <w:lang w:val="en-US" w:eastAsia="zh-CN" w:bidi="ar-SA"/>
        </w:rPr>
        <w:t>。</w:t>
      </w:r>
    </w:p>
    <w:p w14:paraId="3BEDE1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eastAsia="zh-CN"/>
        </w:rPr>
        <w:t>实施背景</w:t>
      </w:r>
    </w:p>
    <w:p w14:paraId="4F57AC6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为加快推动创业担保贷款工作，提升创业带动就业水平，促进高质量充分就业，</w:t>
      </w:r>
      <w:r>
        <w:rPr>
          <w:rFonts w:hint="eastAsia" w:ascii="Times New Roman" w:hAnsi="Times New Roman" w:eastAsia="仿宋_GB2312" w:cs="Times New Roman"/>
          <w:kern w:val="2"/>
          <w:sz w:val="32"/>
          <w:szCs w:val="32"/>
          <w:lang w:val="en-US" w:eastAsia="zh-CN" w:bidi="ar-SA"/>
        </w:rPr>
        <w:t>鹤壁市探索实施“一优两稳三联四降”</w:t>
      </w:r>
      <w:r>
        <w:rPr>
          <w:rFonts w:hint="default" w:ascii="Times New Roman" w:hAnsi="Times New Roman" w:eastAsia="仿宋_GB2312" w:cs="Times New Roman"/>
          <w:kern w:val="2"/>
          <w:sz w:val="32"/>
          <w:szCs w:val="32"/>
          <w:lang w:val="en-US" w:eastAsia="zh-CN" w:bidi="ar-SA"/>
        </w:rPr>
        <w:t>工作</w:t>
      </w:r>
      <w:r>
        <w:rPr>
          <w:rFonts w:hint="eastAsia" w:ascii="Times New Roman" w:hAnsi="Times New Roman" w:eastAsia="仿宋_GB2312" w:cs="Times New Roman"/>
          <w:kern w:val="2"/>
          <w:sz w:val="32"/>
          <w:szCs w:val="32"/>
          <w:lang w:val="en-US" w:eastAsia="zh-CN" w:bidi="ar-SA"/>
        </w:rPr>
        <w:t>机制，</w:t>
      </w:r>
      <w:r>
        <w:rPr>
          <w:rFonts w:hint="default" w:ascii="Times New Roman" w:hAnsi="Times New Roman" w:eastAsia="仿宋_GB2312" w:cs="Times New Roman"/>
          <w:kern w:val="2"/>
          <w:sz w:val="32"/>
          <w:szCs w:val="32"/>
          <w:lang w:val="en-US" w:eastAsia="zh-CN" w:bidi="ar-SA"/>
        </w:rPr>
        <w:t>积极帮扶高校毕业生、城镇登记失业人员、返乡创业农民工、退役军人</w:t>
      </w:r>
      <w:r>
        <w:rPr>
          <w:rFonts w:hint="default" w:ascii="Times New Roman" w:hAnsi="Times New Roman" w:cs="Times New Roman"/>
          <w:kern w:val="2"/>
          <w:sz w:val="32"/>
          <w:szCs w:val="32"/>
          <w:lang w:val="en-US" w:eastAsia="zh-CN" w:bidi="ar-SA"/>
        </w:rPr>
        <w:t>、小微企业</w:t>
      </w:r>
      <w:r>
        <w:rPr>
          <w:rFonts w:hint="default" w:ascii="Times New Roman" w:hAnsi="Times New Roman" w:eastAsia="仿宋_GB2312" w:cs="Times New Roman"/>
          <w:kern w:val="2"/>
          <w:sz w:val="32"/>
          <w:szCs w:val="32"/>
          <w:lang w:val="en-US" w:eastAsia="zh-CN" w:bidi="ar-SA"/>
        </w:rPr>
        <w:t>等创业群体解决融资难问题</w:t>
      </w:r>
      <w:r>
        <w:rPr>
          <w:rFonts w:hint="eastAsia" w:ascii="Times New Roman" w:hAnsi="Times New Roman" w:eastAsia="仿宋_GB2312" w:cs="Times New Roman"/>
          <w:kern w:val="2"/>
          <w:sz w:val="32"/>
          <w:szCs w:val="32"/>
          <w:lang w:val="en-US" w:eastAsia="zh-CN" w:bidi="ar-SA"/>
        </w:rPr>
        <w:t>。</w:t>
      </w:r>
    </w:p>
    <w:p w14:paraId="061433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kern w:val="0"/>
          <w:sz w:val="32"/>
          <w:szCs w:val="32"/>
          <w:lang w:eastAsia="zh-CN" w:bidi="ar"/>
        </w:rPr>
        <w:t>主要</w:t>
      </w:r>
      <w:r>
        <w:rPr>
          <w:rFonts w:hint="default" w:ascii="Times New Roman" w:hAnsi="Times New Roman" w:eastAsia="黑体" w:cs="Times New Roman"/>
          <w:color w:val="000000"/>
          <w:kern w:val="0"/>
          <w:sz w:val="32"/>
          <w:szCs w:val="32"/>
          <w:lang w:bidi="ar"/>
        </w:rPr>
        <w:t>做法</w:t>
      </w:r>
    </w:p>
    <w:p w14:paraId="761FA5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color w:val="000000"/>
          <w:sz w:val="32"/>
          <w:szCs w:val="32"/>
          <w:lang w:val="en-US" w:eastAsia="zh-CN"/>
        </w:rPr>
        <w:t>（一）以“一优两稳”夯实创贷工作基础。</w:t>
      </w:r>
      <w:r>
        <w:rPr>
          <w:rFonts w:hint="eastAsia" w:ascii="Times New Roman" w:hAnsi="Times New Roman" w:eastAsia="仿宋_GB2312" w:cs="Times New Roman"/>
          <w:b/>
          <w:bCs/>
          <w:kern w:val="2"/>
          <w:sz w:val="32"/>
          <w:szCs w:val="32"/>
          <w:lang w:val="en-US" w:eastAsia="zh-CN" w:bidi="ar-SA"/>
        </w:rPr>
        <w:t>一是优化贷款程序。</w:t>
      </w:r>
      <w:r>
        <w:rPr>
          <w:rFonts w:hint="eastAsia" w:ascii="Times New Roman" w:hAnsi="Times New Roman" w:eastAsia="仿宋_GB2312" w:cs="Times New Roman"/>
          <w:b w:val="0"/>
          <w:bCs w:val="0"/>
          <w:kern w:val="2"/>
          <w:sz w:val="32"/>
          <w:szCs w:val="32"/>
          <w:lang w:val="en-US" w:eastAsia="zh-CN" w:bidi="ar-SA"/>
        </w:rPr>
        <w:t>推行创业担保贷款“5天速贷”，建</w:t>
      </w:r>
      <w:r>
        <w:rPr>
          <w:rFonts w:hint="eastAsia" w:ascii="Times New Roman" w:hAnsi="Times New Roman" w:eastAsia="仿宋_GB2312" w:cs="Times New Roman"/>
          <w:kern w:val="2"/>
          <w:sz w:val="32"/>
          <w:szCs w:val="32"/>
          <w:lang w:val="en-US" w:eastAsia="zh-CN" w:bidi="ar-SA"/>
        </w:rPr>
        <w:t>立担保机构与经办银行联合办公机制，从</w:t>
      </w:r>
      <w:r>
        <w:rPr>
          <w:rFonts w:hint="default" w:ascii="Times New Roman" w:hAnsi="Times New Roman" w:eastAsia="仿宋_GB2312" w:cs="Times New Roman"/>
          <w:kern w:val="2"/>
          <w:sz w:val="32"/>
          <w:szCs w:val="32"/>
          <w:lang w:val="en-US" w:eastAsia="zh-CN" w:bidi="ar-SA"/>
        </w:rPr>
        <w:t>受理、考察、评审、签订合同、放款</w:t>
      </w:r>
      <w:r>
        <w:rPr>
          <w:rFonts w:hint="eastAsia" w:ascii="Times New Roman" w:hAnsi="Times New Roman" w:eastAsia="仿宋_GB2312" w:cs="Times New Roman"/>
          <w:kern w:val="2"/>
          <w:sz w:val="32"/>
          <w:szCs w:val="32"/>
          <w:lang w:val="en-US" w:eastAsia="zh-CN" w:bidi="ar-SA"/>
        </w:rPr>
        <w:t>实现“</w:t>
      </w:r>
      <w:r>
        <w:rPr>
          <w:rFonts w:hint="default" w:ascii="Times New Roman" w:hAnsi="Times New Roman" w:eastAsia="仿宋_GB2312" w:cs="Times New Roman"/>
          <w:kern w:val="2"/>
          <w:sz w:val="32"/>
          <w:szCs w:val="32"/>
          <w:lang w:val="en-US" w:eastAsia="zh-CN" w:bidi="ar-SA"/>
        </w:rPr>
        <w:t>一站</w:t>
      </w:r>
      <w:r>
        <w:rPr>
          <w:rFonts w:hint="eastAsia" w:ascii="Times New Roman" w:hAnsi="Times New Roman" w:eastAsia="仿宋_GB2312" w:cs="Times New Roman"/>
          <w:kern w:val="2"/>
          <w:sz w:val="32"/>
          <w:szCs w:val="32"/>
          <w:lang w:val="en-US" w:eastAsia="zh-CN" w:bidi="ar-SA"/>
        </w:rPr>
        <w:t>式”</w:t>
      </w:r>
      <w:r>
        <w:rPr>
          <w:rFonts w:hint="default" w:ascii="Times New Roman" w:hAnsi="Times New Roman" w:eastAsia="仿宋_GB2312" w:cs="Times New Roman"/>
          <w:kern w:val="2"/>
          <w:sz w:val="32"/>
          <w:szCs w:val="32"/>
          <w:lang w:val="en-US" w:eastAsia="zh-CN" w:bidi="ar-SA"/>
        </w:rPr>
        <w:t>办</w:t>
      </w:r>
      <w:r>
        <w:rPr>
          <w:rFonts w:hint="eastAsia" w:ascii="Times New Roman" w:hAnsi="Times New Roman" w:eastAsia="仿宋_GB2312" w:cs="Times New Roman"/>
          <w:kern w:val="2"/>
          <w:sz w:val="32"/>
          <w:szCs w:val="32"/>
          <w:lang w:val="en-US" w:eastAsia="zh-CN" w:bidi="ar-SA"/>
        </w:rPr>
        <w:t>理，贷款抵押登记费由经办银行承担。创业人员、小微企业可通过线上线下申请，申请受理当日即由经办机构和银行联合完成现场考察，</w:t>
      </w:r>
      <w:r>
        <w:rPr>
          <w:rFonts w:hint="default" w:ascii="Times New Roman" w:hAnsi="Times New Roman" w:eastAsia="仿宋_GB2312" w:cs="Times New Roman"/>
          <w:kern w:val="2"/>
          <w:sz w:val="32"/>
          <w:szCs w:val="32"/>
          <w:lang w:val="en-US" w:eastAsia="zh-CN" w:bidi="ar-SA"/>
        </w:rPr>
        <w:t>实行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政策咨询、征信查询、实地考察</w:t>
      </w:r>
      <w:r>
        <w:rPr>
          <w:rFonts w:hint="eastAsia" w:ascii="Times New Roman" w:hAnsi="Times New Roman" w:eastAsia="仿宋_GB2312" w:cs="Times New Roman"/>
          <w:kern w:val="2"/>
          <w:sz w:val="32"/>
          <w:szCs w:val="32"/>
          <w:lang w:val="en-US" w:eastAsia="zh-CN" w:bidi="ar-SA"/>
        </w:rPr>
        <w:t>”打包办，快速开展资料评审，5个工作日内将贷款发放到位，较法定15个工作日缩短67%。</w:t>
      </w:r>
      <w:r>
        <w:rPr>
          <w:rFonts w:hint="eastAsia" w:ascii="Times New Roman" w:hAnsi="Times New Roman" w:eastAsia="仿宋_GB2312" w:cs="Times New Roman"/>
          <w:b/>
          <w:bCs/>
          <w:kern w:val="2"/>
          <w:sz w:val="32"/>
          <w:szCs w:val="32"/>
          <w:lang w:val="en-US" w:eastAsia="zh-CN" w:bidi="ar-SA"/>
        </w:rPr>
        <w:t>二是稳定固有客户。</w:t>
      </w:r>
      <w:r>
        <w:rPr>
          <w:rFonts w:hint="eastAsia" w:ascii="Times New Roman" w:hAnsi="Times New Roman" w:eastAsia="仿宋_GB2312" w:cs="Times New Roman"/>
          <w:kern w:val="2"/>
          <w:sz w:val="32"/>
          <w:szCs w:val="32"/>
          <w:lang w:val="en-US" w:eastAsia="zh-CN" w:bidi="ar-SA"/>
        </w:rPr>
        <w:t>自2024年起创业担保贷款由全额贴息调整为50%贴息，</w:t>
      </w:r>
      <w:r>
        <w:rPr>
          <w:rFonts w:hint="default" w:ascii="Times New Roman" w:hAnsi="Times New Roman" w:eastAsia="仿宋_GB2312" w:cs="Times New Roman"/>
          <w:kern w:val="2"/>
          <w:sz w:val="32"/>
          <w:szCs w:val="32"/>
          <w:lang w:val="en-US" w:eastAsia="zh-CN" w:bidi="ar-SA"/>
        </w:rPr>
        <w:t>部分</w:t>
      </w:r>
      <w:r>
        <w:rPr>
          <w:rFonts w:hint="eastAsia" w:ascii="Times New Roman" w:hAnsi="Times New Roman" w:eastAsia="仿宋_GB2312" w:cs="Times New Roman"/>
          <w:kern w:val="2"/>
          <w:sz w:val="32"/>
          <w:szCs w:val="32"/>
          <w:lang w:val="en-US" w:eastAsia="zh-CN" w:bidi="ar-SA"/>
        </w:rPr>
        <w:t>创业主体出现</w:t>
      </w:r>
      <w:r>
        <w:rPr>
          <w:rFonts w:hint="default" w:ascii="Times New Roman" w:hAnsi="Times New Roman" w:eastAsia="仿宋_GB2312" w:cs="Times New Roman"/>
          <w:kern w:val="2"/>
          <w:sz w:val="32"/>
          <w:szCs w:val="32"/>
          <w:lang w:val="en-US" w:eastAsia="zh-CN" w:bidi="ar-SA"/>
        </w:rPr>
        <w:t>贷款意愿</w:t>
      </w:r>
      <w:r>
        <w:rPr>
          <w:rFonts w:hint="eastAsia" w:ascii="Times New Roman" w:hAnsi="Times New Roman" w:eastAsia="仿宋_GB2312" w:cs="Times New Roman"/>
          <w:kern w:val="2"/>
          <w:sz w:val="32"/>
          <w:szCs w:val="32"/>
          <w:lang w:val="en-US" w:eastAsia="zh-CN" w:bidi="ar-SA"/>
        </w:rPr>
        <w:t>降低趋势。市人社局及时分析研判，实施“一企一策”，以</w:t>
      </w:r>
      <w:r>
        <w:rPr>
          <w:rFonts w:hint="default" w:ascii="Times New Roman" w:hAnsi="Times New Roman" w:eastAsia="仿宋_GB2312" w:cs="Times New Roman"/>
          <w:kern w:val="2"/>
          <w:sz w:val="32"/>
          <w:szCs w:val="32"/>
          <w:lang w:val="en-US" w:eastAsia="zh-CN" w:bidi="ar-SA"/>
        </w:rPr>
        <w:t>高效率、低利率、频回访等形式保障</w:t>
      </w:r>
      <w:r>
        <w:rPr>
          <w:rFonts w:hint="eastAsia" w:ascii="Times New Roman" w:hAnsi="Times New Roman" w:eastAsia="仿宋_GB2312" w:cs="Times New Roman"/>
          <w:kern w:val="2"/>
          <w:sz w:val="32"/>
          <w:szCs w:val="32"/>
          <w:lang w:val="en-US" w:eastAsia="zh-CN" w:bidi="ar-SA"/>
        </w:rPr>
        <w:t>固有客户</w:t>
      </w:r>
      <w:r>
        <w:rPr>
          <w:rFonts w:hint="default" w:ascii="Times New Roman" w:hAnsi="Times New Roman" w:eastAsia="仿宋_GB2312" w:cs="Times New Roman"/>
          <w:kern w:val="2"/>
          <w:sz w:val="32"/>
          <w:szCs w:val="32"/>
          <w:lang w:val="en-US" w:eastAsia="zh-CN" w:bidi="ar-SA"/>
        </w:rPr>
        <w:t>用款</w:t>
      </w:r>
      <w:r>
        <w:rPr>
          <w:rFonts w:hint="eastAsia" w:ascii="Times New Roman" w:hAnsi="Times New Roman" w:eastAsia="仿宋_GB2312" w:cs="Times New Roman"/>
          <w:kern w:val="2"/>
          <w:sz w:val="32"/>
          <w:szCs w:val="32"/>
          <w:lang w:val="en-US" w:eastAsia="zh-CN" w:bidi="ar-SA"/>
        </w:rPr>
        <w:t>。如针对</w:t>
      </w:r>
      <w:r>
        <w:rPr>
          <w:rFonts w:hint="default" w:ascii="Times New Roman" w:hAnsi="Times New Roman" w:eastAsia="仿宋_GB2312" w:cs="Times New Roman"/>
          <w:kern w:val="2"/>
          <w:sz w:val="32"/>
          <w:szCs w:val="32"/>
          <w:lang w:val="en-US" w:eastAsia="zh-CN" w:bidi="ar-SA"/>
        </w:rPr>
        <w:t>浚县村镇</w:t>
      </w:r>
      <w:r>
        <w:rPr>
          <w:rFonts w:hint="eastAsia" w:ascii="Times New Roman" w:hAnsi="Times New Roman" w:eastAsia="仿宋_GB2312" w:cs="Times New Roman"/>
          <w:kern w:val="2"/>
          <w:sz w:val="32"/>
          <w:szCs w:val="32"/>
          <w:lang w:val="en-US" w:eastAsia="zh-CN" w:bidi="ar-SA"/>
        </w:rPr>
        <w:t>商户</w:t>
      </w:r>
      <w:r>
        <w:rPr>
          <w:rFonts w:hint="default" w:ascii="Times New Roman" w:hAnsi="Times New Roman" w:eastAsia="仿宋_GB2312" w:cs="Times New Roman"/>
          <w:kern w:val="2"/>
          <w:sz w:val="32"/>
          <w:szCs w:val="32"/>
          <w:lang w:val="en-US" w:eastAsia="zh-CN" w:bidi="ar-SA"/>
        </w:rPr>
        <w:t>较多</w:t>
      </w:r>
      <w:r>
        <w:rPr>
          <w:rFonts w:hint="eastAsia" w:ascii="Times New Roman" w:hAnsi="Times New Roman" w:eastAsia="仿宋_GB2312" w:cs="Times New Roman"/>
          <w:kern w:val="2"/>
          <w:sz w:val="32"/>
          <w:szCs w:val="32"/>
          <w:lang w:val="en-US" w:eastAsia="zh-CN" w:bidi="ar-SA"/>
        </w:rPr>
        <w:t>的现状，</w:t>
      </w:r>
      <w:r>
        <w:rPr>
          <w:rFonts w:hint="default" w:ascii="Times New Roman" w:hAnsi="Times New Roman" w:eastAsia="仿宋_GB2312" w:cs="Times New Roman"/>
          <w:kern w:val="2"/>
          <w:sz w:val="32"/>
          <w:szCs w:val="32"/>
          <w:lang w:val="en-US" w:eastAsia="zh-CN" w:bidi="ar-SA"/>
        </w:rPr>
        <w:t>推行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村两委</w:t>
      </w:r>
      <w:r>
        <w:rPr>
          <w:rFonts w:hint="eastAsia" w:ascii="Times New Roman" w:hAnsi="Times New Roman" w:eastAsia="仿宋_GB2312" w:cs="Times New Roman"/>
          <w:kern w:val="2"/>
          <w:sz w:val="32"/>
          <w:szCs w:val="32"/>
          <w:lang w:val="en-US" w:eastAsia="zh-CN" w:bidi="ar-SA"/>
        </w:rPr>
        <w:t>干部</w:t>
      </w:r>
      <w:r>
        <w:rPr>
          <w:rFonts w:hint="default" w:ascii="Times New Roman" w:hAnsi="Times New Roman" w:eastAsia="仿宋_GB2312" w:cs="Times New Roman"/>
          <w:kern w:val="2"/>
          <w:sz w:val="32"/>
          <w:szCs w:val="32"/>
          <w:lang w:val="en-US" w:eastAsia="zh-CN" w:bidi="ar-SA"/>
        </w:rPr>
        <w:t>担</w:t>
      </w:r>
      <w:r>
        <w:rPr>
          <w:rFonts w:hint="eastAsia" w:ascii="Times New Roman" w:hAnsi="Times New Roman" w:eastAsia="仿宋_GB2312" w:cs="Times New Roman"/>
          <w:kern w:val="2"/>
          <w:sz w:val="32"/>
          <w:szCs w:val="32"/>
          <w:lang w:val="en-US" w:eastAsia="zh-CN" w:bidi="ar-SA"/>
        </w:rPr>
        <w:t>保”，</w:t>
      </w:r>
      <w:r>
        <w:rPr>
          <w:rFonts w:hint="default" w:ascii="Times New Roman" w:hAnsi="Times New Roman" w:eastAsia="仿宋_GB2312" w:cs="Times New Roman"/>
          <w:kern w:val="2"/>
          <w:sz w:val="32"/>
          <w:szCs w:val="32"/>
          <w:lang w:val="en-US" w:eastAsia="zh-CN" w:bidi="ar-SA"/>
        </w:rPr>
        <w:t>降低反担保门槛</w:t>
      </w:r>
      <w:r>
        <w:rPr>
          <w:rFonts w:hint="eastAsia" w:ascii="Times New Roman" w:hAnsi="Times New Roman" w:eastAsia="仿宋_GB2312" w:cs="Times New Roman"/>
          <w:kern w:val="2"/>
          <w:sz w:val="32"/>
          <w:szCs w:val="32"/>
          <w:lang w:val="en-US" w:eastAsia="zh-CN" w:bidi="ar-SA"/>
        </w:rPr>
        <w:t>，同时对</w:t>
      </w:r>
      <w:r>
        <w:rPr>
          <w:rFonts w:hint="default" w:ascii="Times New Roman" w:hAnsi="Times New Roman" w:eastAsia="仿宋_GB2312" w:cs="Times New Roman"/>
          <w:kern w:val="2"/>
          <w:sz w:val="32"/>
          <w:szCs w:val="32"/>
          <w:lang w:val="en-US" w:eastAsia="zh-CN" w:bidi="ar-SA"/>
        </w:rPr>
        <w:t>信用条件好的商户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给予免除反担保贷款</w:t>
      </w:r>
      <w:r>
        <w:rPr>
          <w:rFonts w:hint="eastAsia" w:ascii="Times New Roman" w:hAnsi="Times New Roman" w:eastAsia="仿宋_GB2312" w:cs="Times New Roman"/>
          <w:kern w:val="2"/>
          <w:sz w:val="32"/>
          <w:szCs w:val="32"/>
          <w:lang w:val="en-US" w:eastAsia="zh-CN" w:bidi="ar-SA"/>
        </w:rPr>
        <w:t>，让创业者从担保“无门”向申请“无忧”转变。</w:t>
      </w:r>
      <w:r>
        <w:rPr>
          <w:rFonts w:hint="eastAsia" w:ascii="Times New Roman" w:hAnsi="Times New Roman" w:eastAsia="仿宋_GB2312" w:cs="Times New Roman"/>
          <w:b/>
          <w:bCs/>
          <w:kern w:val="2"/>
          <w:sz w:val="32"/>
          <w:szCs w:val="32"/>
          <w:lang w:val="en-US" w:eastAsia="zh-CN" w:bidi="ar-SA"/>
        </w:rPr>
        <w:t>三是稳定贷款利率。</w:t>
      </w:r>
      <w:r>
        <w:rPr>
          <w:rFonts w:hint="eastAsia" w:ascii="Times New Roman" w:hAnsi="Times New Roman" w:eastAsia="仿宋_GB2312" w:cs="Times New Roman"/>
          <w:b w:val="0"/>
          <w:bCs w:val="0"/>
          <w:kern w:val="2"/>
          <w:sz w:val="32"/>
          <w:szCs w:val="32"/>
          <w:lang w:val="en-US" w:eastAsia="zh-CN" w:bidi="ar-SA"/>
        </w:rPr>
        <w:t>协调金融机构降低实际贷款利率，由文件</w:t>
      </w:r>
      <w:r>
        <w:rPr>
          <w:rFonts w:hint="eastAsia" w:ascii="Times New Roman" w:hAnsi="Times New Roman" w:eastAsia="仿宋_GB2312" w:cs="Times New Roman"/>
          <w:kern w:val="2"/>
          <w:sz w:val="32"/>
          <w:szCs w:val="32"/>
          <w:lang w:val="en-US" w:eastAsia="zh-CN" w:bidi="ar-SA"/>
        </w:rPr>
        <w:t>规定的</w:t>
      </w:r>
      <w:r>
        <w:rPr>
          <w:rFonts w:hint="default" w:ascii="Times New Roman" w:hAnsi="Times New Roman" w:eastAsia="仿宋_GB2312" w:cs="Times New Roman"/>
          <w:kern w:val="2"/>
          <w:sz w:val="32"/>
          <w:szCs w:val="32"/>
          <w:lang w:val="en-US" w:eastAsia="zh-CN" w:bidi="ar-SA"/>
        </w:rPr>
        <w:t>LPR+150BP最高上限的4.95%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降为LPR基准点3.35%</w:t>
      </w:r>
      <w:r>
        <w:rPr>
          <w:rFonts w:hint="eastAsia" w:ascii="Times New Roman" w:hAnsi="Times New Roman" w:eastAsia="仿宋_GB2312" w:cs="Times New Roman"/>
          <w:kern w:val="2"/>
          <w:sz w:val="32"/>
          <w:szCs w:val="32"/>
          <w:lang w:val="en-US" w:eastAsia="zh-CN" w:bidi="ar-SA"/>
        </w:rPr>
        <w:t>（目前执行利率为3.0%）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按顶额贷款30万元测算，</w:t>
      </w:r>
      <w:r>
        <w:rPr>
          <w:rFonts w:hint="default" w:ascii="Times New Roman" w:hAnsi="Times New Roman" w:eastAsia="仿宋_GB2312" w:cs="Times New Roman"/>
          <w:kern w:val="2"/>
          <w:sz w:val="32"/>
          <w:szCs w:val="32"/>
          <w:lang w:val="en-US" w:eastAsia="zh-CN" w:bidi="ar-SA"/>
        </w:rPr>
        <w:t>可为创业者省去2400元自付息部分，</w:t>
      </w:r>
      <w:r>
        <w:rPr>
          <w:rFonts w:hint="eastAsia" w:ascii="Times New Roman" w:hAnsi="Times New Roman" w:eastAsia="仿宋_GB2312" w:cs="Times New Roman"/>
          <w:kern w:val="2"/>
          <w:sz w:val="32"/>
          <w:szCs w:val="32"/>
          <w:lang w:val="en-US" w:eastAsia="zh-CN" w:bidi="ar-SA"/>
        </w:rPr>
        <w:t>同时全年</w:t>
      </w:r>
      <w:r>
        <w:rPr>
          <w:rFonts w:hint="default" w:ascii="Times New Roman" w:hAnsi="Times New Roman" w:eastAsia="仿宋_GB2312" w:cs="Times New Roman"/>
          <w:kern w:val="2"/>
          <w:sz w:val="32"/>
          <w:szCs w:val="32"/>
          <w:lang w:val="en-US" w:eastAsia="zh-CN" w:bidi="ar-SA"/>
        </w:rPr>
        <w:t>节约财政补贴资金</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w:t>
      </w:r>
      <w:r>
        <w:rPr>
          <w:rFonts w:hint="eastAsia" w:ascii="Times New Roman" w:hAnsi="Times New Roman" w:eastAsia="仿宋_GB2312" w:cs="Times New Roman"/>
          <w:kern w:val="2"/>
          <w:sz w:val="32"/>
          <w:szCs w:val="32"/>
          <w:lang w:val="en-US" w:eastAsia="zh-CN" w:bidi="ar-SA"/>
        </w:rPr>
        <w:t>余</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p>
    <w:p w14:paraId="041FC6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color w:val="000000"/>
          <w:sz w:val="32"/>
          <w:szCs w:val="32"/>
          <w:lang w:val="en-US" w:eastAsia="zh-CN"/>
        </w:rPr>
        <w:t>（二）以“三联”强化创贷工作措施。</w:t>
      </w:r>
      <w:r>
        <w:rPr>
          <w:rFonts w:hint="eastAsia" w:ascii="Times New Roman" w:hAnsi="Times New Roman" w:eastAsia="仿宋_GB2312" w:cs="Times New Roman"/>
          <w:b/>
          <w:bCs/>
          <w:kern w:val="2"/>
          <w:sz w:val="32"/>
          <w:szCs w:val="32"/>
          <w:lang w:val="en-US" w:eastAsia="zh-CN" w:bidi="ar-SA"/>
        </w:rPr>
        <w:t>一是部门联合。</w:t>
      </w:r>
      <w:r>
        <w:rPr>
          <w:rFonts w:hint="eastAsia" w:ascii="Times New Roman" w:hAnsi="Times New Roman" w:eastAsia="仿宋_GB2312" w:cs="Times New Roman"/>
          <w:kern w:val="2"/>
          <w:sz w:val="32"/>
          <w:szCs w:val="32"/>
          <w:lang w:val="en-US" w:eastAsia="zh-CN" w:bidi="ar-SA"/>
        </w:rPr>
        <w:t>建立由</w:t>
      </w:r>
      <w:r>
        <w:rPr>
          <w:rFonts w:hint="default" w:ascii="Times New Roman" w:hAnsi="Times New Roman" w:eastAsia="仿宋_GB2312" w:cs="Times New Roman"/>
          <w:kern w:val="2"/>
          <w:sz w:val="32"/>
          <w:szCs w:val="32"/>
          <w:lang w:val="en-US" w:eastAsia="zh-CN" w:bidi="ar-SA"/>
        </w:rPr>
        <w:t>人社</w:t>
      </w:r>
      <w:r>
        <w:rPr>
          <w:rFonts w:hint="eastAsia" w:ascii="Times New Roman" w:hAnsi="Times New Roman" w:eastAsia="仿宋_GB2312" w:cs="Times New Roman"/>
          <w:kern w:val="2"/>
          <w:sz w:val="32"/>
          <w:szCs w:val="32"/>
          <w:lang w:val="en-US" w:eastAsia="zh-CN" w:bidi="ar-SA"/>
        </w:rPr>
        <w:t>部门</w:t>
      </w:r>
      <w:r>
        <w:rPr>
          <w:rFonts w:hint="default" w:ascii="Times New Roman" w:hAnsi="Times New Roman" w:eastAsia="仿宋_GB2312" w:cs="Times New Roman"/>
          <w:kern w:val="2"/>
          <w:sz w:val="32"/>
          <w:szCs w:val="32"/>
          <w:lang w:val="en-US" w:eastAsia="zh-CN" w:bidi="ar-SA"/>
        </w:rPr>
        <w:t>牵头，市场监管、</w:t>
      </w:r>
      <w:r>
        <w:rPr>
          <w:rFonts w:hint="eastAsia" w:ascii="Times New Roman" w:hAnsi="Times New Roman" w:eastAsia="仿宋_GB2312" w:cs="Times New Roman"/>
          <w:kern w:val="2"/>
          <w:sz w:val="32"/>
          <w:szCs w:val="32"/>
          <w:lang w:val="en-US" w:eastAsia="zh-CN" w:bidi="ar-SA"/>
        </w:rPr>
        <w:t>退役</w:t>
      </w:r>
      <w:r>
        <w:rPr>
          <w:rFonts w:hint="default" w:ascii="Times New Roman" w:hAnsi="Times New Roman" w:eastAsia="仿宋_GB2312" w:cs="Times New Roman"/>
          <w:kern w:val="2"/>
          <w:sz w:val="32"/>
          <w:szCs w:val="32"/>
          <w:lang w:val="en-US" w:eastAsia="zh-CN" w:bidi="ar-SA"/>
        </w:rPr>
        <w:t>军人、</w:t>
      </w:r>
      <w:r>
        <w:rPr>
          <w:rFonts w:hint="eastAsia" w:ascii="Times New Roman" w:hAnsi="Times New Roman" w:eastAsia="仿宋_GB2312" w:cs="Times New Roman"/>
          <w:kern w:val="2"/>
          <w:sz w:val="32"/>
          <w:szCs w:val="32"/>
          <w:lang w:val="en-US" w:eastAsia="zh-CN" w:bidi="ar-SA"/>
        </w:rPr>
        <w:t>农业农村</w:t>
      </w:r>
      <w:r>
        <w:rPr>
          <w:rFonts w:hint="default" w:ascii="Times New Roman" w:hAnsi="Times New Roman" w:eastAsia="仿宋_GB2312" w:cs="Times New Roman"/>
          <w:kern w:val="2"/>
          <w:sz w:val="32"/>
          <w:szCs w:val="32"/>
          <w:lang w:val="en-US" w:eastAsia="zh-CN" w:bidi="ar-SA"/>
        </w:rPr>
        <w:t>、残联、</w:t>
      </w:r>
      <w:r>
        <w:rPr>
          <w:rFonts w:hint="eastAsia" w:ascii="Times New Roman" w:hAnsi="Times New Roman" w:eastAsia="仿宋_GB2312" w:cs="Times New Roman"/>
          <w:kern w:val="2"/>
          <w:sz w:val="32"/>
          <w:szCs w:val="32"/>
          <w:lang w:val="en-US" w:eastAsia="zh-CN" w:bidi="ar-SA"/>
        </w:rPr>
        <w:t>金融</w:t>
      </w:r>
      <w:r>
        <w:rPr>
          <w:rFonts w:hint="default"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eastAsia="zh-CN" w:bidi="ar-SA"/>
        </w:rPr>
        <w:t>多部门</w:t>
      </w:r>
      <w:r>
        <w:rPr>
          <w:rFonts w:hint="default" w:ascii="Times New Roman" w:hAnsi="Times New Roman" w:eastAsia="仿宋_GB2312" w:cs="Times New Roman"/>
          <w:kern w:val="2"/>
          <w:sz w:val="32"/>
          <w:szCs w:val="32"/>
          <w:lang w:val="en-US" w:eastAsia="zh-CN" w:bidi="ar-SA"/>
        </w:rPr>
        <w:t>密切协作</w:t>
      </w:r>
      <w:r>
        <w:rPr>
          <w:rFonts w:hint="eastAsia" w:ascii="Times New Roman" w:hAnsi="Times New Roman" w:eastAsia="仿宋_GB2312" w:cs="Times New Roman"/>
          <w:kern w:val="2"/>
          <w:sz w:val="32"/>
          <w:szCs w:val="32"/>
          <w:lang w:val="en-US" w:eastAsia="zh-CN" w:bidi="ar-SA"/>
        </w:rPr>
        <w:t>的工作机制，统一宣传口径、明确流程职责，</w:t>
      </w:r>
      <w:r>
        <w:rPr>
          <w:rFonts w:hint="default" w:ascii="Times New Roman" w:hAnsi="Times New Roman" w:eastAsia="仿宋_GB2312" w:cs="Times New Roman"/>
          <w:kern w:val="2"/>
          <w:sz w:val="32"/>
          <w:szCs w:val="32"/>
          <w:lang w:val="en-US" w:eastAsia="zh-CN" w:bidi="ar-SA"/>
        </w:rPr>
        <w:t>共享相关信息，加大业务推进力度</w:t>
      </w:r>
      <w:r>
        <w:rPr>
          <w:rFonts w:hint="eastAsia" w:ascii="Times New Roman" w:hAnsi="Times New Roman" w:eastAsia="仿宋_GB2312" w:cs="Times New Roman"/>
          <w:kern w:val="2"/>
          <w:sz w:val="32"/>
          <w:szCs w:val="32"/>
          <w:lang w:val="en-US" w:eastAsia="zh-CN" w:bidi="ar-SA"/>
        </w:rPr>
        <w:t>，统筹</w:t>
      </w:r>
      <w:r>
        <w:rPr>
          <w:rFonts w:hint="default" w:ascii="Times New Roman" w:hAnsi="Times New Roman" w:eastAsia="仿宋_GB2312" w:cs="Times New Roman"/>
          <w:kern w:val="2"/>
          <w:sz w:val="32"/>
          <w:szCs w:val="32"/>
          <w:lang w:val="en-US" w:eastAsia="zh-CN" w:bidi="ar-SA"/>
        </w:rPr>
        <w:t>做好创业担保贷款业务咨询、申请受理、贷前审查、贷款服务等</w:t>
      </w:r>
      <w:r>
        <w:rPr>
          <w:rFonts w:hint="eastAsia" w:ascii="Times New Roman" w:hAnsi="Times New Roman" w:eastAsia="仿宋_GB2312" w:cs="Times New Roman"/>
          <w:kern w:val="2"/>
          <w:sz w:val="32"/>
          <w:szCs w:val="32"/>
          <w:lang w:val="en-US" w:eastAsia="zh-CN" w:bidi="ar-SA"/>
        </w:rPr>
        <w:t>前期</w:t>
      </w:r>
      <w:r>
        <w:rPr>
          <w:rFonts w:hint="default" w:ascii="Times New Roman" w:hAnsi="Times New Roman" w:eastAsia="仿宋_GB2312" w:cs="Times New Roman"/>
          <w:kern w:val="2"/>
          <w:sz w:val="32"/>
          <w:szCs w:val="32"/>
          <w:lang w:val="en-US" w:eastAsia="zh-CN" w:bidi="ar-SA"/>
        </w:rPr>
        <w:t>工作</w:t>
      </w:r>
      <w:r>
        <w:rPr>
          <w:rFonts w:hint="eastAsia" w:ascii="Times New Roman" w:hAnsi="Times New Roman" w:eastAsia="仿宋_GB2312" w:cs="Times New Roman"/>
          <w:kern w:val="2"/>
          <w:sz w:val="32"/>
          <w:szCs w:val="32"/>
          <w:lang w:val="en-US" w:eastAsia="zh-CN" w:bidi="ar-SA"/>
        </w:rPr>
        <w:t>，实现了横向</w:t>
      </w:r>
      <w:r>
        <w:rPr>
          <w:rFonts w:hint="default" w:ascii="Times New Roman" w:hAnsi="Times New Roman" w:eastAsia="仿宋_GB2312" w:cs="Times New Roman"/>
          <w:kern w:val="2"/>
          <w:sz w:val="32"/>
          <w:szCs w:val="32"/>
          <w:lang w:val="en-US" w:eastAsia="zh-CN" w:bidi="ar-SA"/>
        </w:rPr>
        <w:t>联动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上下协调</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bCs/>
          <w:kern w:val="2"/>
          <w:sz w:val="32"/>
          <w:szCs w:val="32"/>
          <w:lang w:val="en-US" w:eastAsia="zh-CN" w:bidi="ar-SA"/>
        </w:rPr>
        <w:t>银行</w:t>
      </w:r>
      <w:r>
        <w:rPr>
          <w:rFonts w:hint="eastAsia" w:ascii="Times New Roman" w:hAnsi="Times New Roman" w:eastAsia="仿宋_GB2312" w:cs="Times New Roman"/>
          <w:b/>
          <w:bCs/>
          <w:kern w:val="2"/>
          <w:sz w:val="32"/>
          <w:szCs w:val="32"/>
          <w:lang w:val="en-US" w:eastAsia="zh-CN" w:bidi="ar-SA"/>
        </w:rPr>
        <w:t>联办。</w:t>
      </w:r>
      <w:r>
        <w:rPr>
          <w:rFonts w:hint="eastAsia" w:ascii="Times New Roman" w:hAnsi="Times New Roman" w:eastAsia="仿宋_GB2312" w:cs="Times New Roman"/>
          <w:kern w:val="2"/>
          <w:sz w:val="32"/>
          <w:szCs w:val="32"/>
          <w:lang w:val="en-US" w:eastAsia="zh-CN" w:bidi="ar-SA"/>
        </w:rPr>
        <w:t>每月</w:t>
      </w:r>
      <w:r>
        <w:rPr>
          <w:rFonts w:hint="default" w:ascii="Times New Roman" w:hAnsi="Times New Roman" w:eastAsia="仿宋_GB2312" w:cs="Times New Roman"/>
          <w:kern w:val="2"/>
          <w:sz w:val="32"/>
          <w:szCs w:val="32"/>
          <w:lang w:val="en-US" w:eastAsia="zh-CN" w:bidi="ar-SA"/>
        </w:rPr>
        <w:t>召开</w:t>
      </w:r>
      <w:r>
        <w:rPr>
          <w:rFonts w:hint="eastAsia" w:ascii="Times New Roman" w:hAnsi="Times New Roman" w:eastAsia="仿宋_GB2312" w:cs="Times New Roman"/>
          <w:kern w:val="2"/>
          <w:sz w:val="32"/>
          <w:szCs w:val="32"/>
          <w:lang w:val="en-US" w:eastAsia="zh-CN" w:bidi="ar-SA"/>
        </w:rPr>
        <w:t>1次</w:t>
      </w:r>
      <w:r>
        <w:rPr>
          <w:rFonts w:hint="default" w:ascii="Times New Roman" w:hAnsi="Times New Roman" w:eastAsia="仿宋_GB2312" w:cs="Times New Roman"/>
          <w:kern w:val="2"/>
          <w:sz w:val="32"/>
          <w:szCs w:val="32"/>
          <w:lang w:val="en-US" w:eastAsia="zh-CN" w:bidi="ar-SA"/>
        </w:rPr>
        <w:t>合作银行碰头会，</w:t>
      </w:r>
      <w:r>
        <w:rPr>
          <w:rFonts w:hint="eastAsia" w:ascii="Times New Roman" w:hAnsi="Times New Roman" w:eastAsia="仿宋_GB2312" w:cs="Times New Roman"/>
          <w:kern w:val="2"/>
          <w:sz w:val="32"/>
          <w:szCs w:val="32"/>
          <w:lang w:val="en-US" w:eastAsia="zh-CN" w:bidi="ar-SA"/>
        </w:rPr>
        <w:t>研判</w:t>
      </w:r>
      <w:r>
        <w:rPr>
          <w:rFonts w:hint="default" w:ascii="Times New Roman" w:hAnsi="Times New Roman" w:eastAsia="仿宋_GB2312" w:cs="Times New Roman"/>
          <w:kern w:val="2"/>
          <w:sz w:val="32"/>
          <w:szCs w:val="32"/>
          <w:lang w:val="en-US" w:eastAsia="zh-CN" w:bidi="ar-SA"/>
        </w:rPr>
        <w:t>解决创业贷款业</w:t>
      </w:r>
      <w:r>
        <w:rPr>
          <w:rFonts w:hint="eastAsia" w:ascii="Times New Roman" w:hAnsi="Times New Roman" w:eastAsia="仿宋_GB2312" w:cs="Times New Roman"/>
          <w:kern w:val="2"/>
          <w:sz w:val="32"/>
          <w:szCs w:val="32"/>
          <w:lang w:val="en-US" w:eastAsia="zh-CN" w:bidi="ar-SA"/>
        </w:rPr>
        <w:t>务中</w:t>
      </w:r>
      <w:r>
        <w:rPr>
          <w:rFonts w:hint="default" w:ascii="Times New Roman" w:hAnsi="Times New Roman" w:eastAsia="仿宋_GB2312" w:cs="Times New Roman"/>
          <w:kern w:val="2"/>
          <w:sz w:val="32"/>
          <w:szCs w:val="32"/>
          <w:lang w:val="en-US" w:eastAsia="zh-CN" w:bidi="ar-SA"/>
        </w:rPr>
        <w:t>存在的</w:t>
      </w:r>
      <w:r>
        <w:rPr>
          <w:rFonts w:hint="eastAsia" w:ascii="Times New Roman" w:hAnsi="Times New Roman" w:eastAsia="仿宋_GB2312" w:cs="Times New Roman"/>
          <w:kern w:val="2"/>
          <w:sz w:val="32"/>
          <w:szCs w:val="32"/>
          <w:lang w:val="en-US" w:eastAsia="zh-CN" w:bidi="ar-SA"/>
        </w:rPr>
        <w:t>不动产解押迟缓、评估慢、流程不通畅等</w:t>
      </w:r>
      <w:r>
        <w:rPr>
          <w:rFonts w:hint="default" w:ascii="Times New Roman" w:hAnsi="Times New Roman" w:eastAsia="仿宋_GB2312" w:cs="Times New Roman"/>
          <w:kern w:val="2"/>
          <w:sz w:val="32"/>
          <w:szCs w:val="32"/>
          <w:lang w:val="en-US" w:eastAsia="zh-CN" w:bidi="ar-SA"/>
        </w:rPr>
        <w:t>问题，</w:t>
      </w:r>
      <w:r>
        <w:rPr>
          <w:rFonts w:hint="eastAsia" w:ascii="Times New Roman" w:hAnsi="Times New Roman" w:eastAsia="仿宋_GB2312" w:cs="Times New Roman"/>
          <w:kern w:val="2"/>
          <w:sz w:val="32"/>
          <w:szCs w:val="32"/>
          <w:lang w:val="en-US" w:eastAsia="zh-CN" w:bidi="ar-SA"/>
        </w:rPr>
        <w:t>同时指导督促</w:t>
      </w:r>
      <w:r>
        <w:rPr>
          <w:rFonts w:hint="default" w:ascii="Times New Roman" w:hAnsi="Times New Roman" w:eastAsia="仿宋_GB2312" w:cs="Times New Roman"/>
          <w:kern w:val="2"/>
          <w:sz w:val="32"/>
          <w:szCs w:val="32"/>
          <w:lang w:val="en-US" w:eastAsia="zh-CN" w:bidi="ar-SA"/>
        </w:rPr>
        <w:t>银行</w:t>
      </w:r>
      <w:r>
        <w:rPr>
          <w:rFonts w:hint="eastAsia" w:ascii="Times New Roman" w:hAnsi="Times New Roman" w:eastAsia="仿宋_GB2312" w:cs="Times New Roman"/>
          <w:kern w:val="2"/>
          <w:sz w:val="32"/>
          <w:szCs w:val="32"/>
          <w:lang w:val="en-US" w:eastAsia="zh-CN" w:bidi="ar-SA"/>
        </w:rPr>
        <w:t>优选</w:t>
      </w:r>
      <w:r>
        <w:rPr>
          <w:rFonts w:hint="default" w:ascii="Times New Roman" w:hAnsi="Times New Roman" w:eastAsia="仿宋_GB2312" w:cs="Times New Roman"/>
          <w:kern w:val="2"/>
          <w:sz w:val="32"/>
          <w:szCs w:val="32"/>
          <w:lang w:val="en-US" w:eastAsia="zh-CN" w:bidi="ar-SA"/>
        </w:rPr>
        <w:t>信誉好</w:t>
      </w:r>
      <w:r>
        <w:rPr>
          <w:rFonts w:hint="eastAsia" w:ascii="Times New Roman" w:hAnsi="Times New Roman" w:eastAsia="仿宋_GB2312" w:cs="Times New Roman"/>
          <w:kern w:val="2"/>
          <w:sz w:val="32"/>
          <w:szCs w:val="32"/>
          <w:lang w:val="en-US" w:eastAsia="zh-CN" w:bidi="ar-SA"/>
        </w:rPr>
        <w:t>、经营状态良、吸纳就业人数多</w:t>
      </w:r>
      <w:r>
        <w:rPr>
          <w:rFonts w:hint="default" w:ascii="Times New Roman" w:hAnsi="Times New Roman" w:eastAsia="仿宋_GB2312" w:cs="Times New Roman"/>
          <w:kern w:val="2"/>
          <w:sz w:val="32"/>
          <w:szCs w:val="32"/>
          <w:lang w:val="en-US" w:eastAsia="zh-CN" w:bidi="ar-SA"/>
        </w:rPr>
        <w:t>的企业</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个人</w:t>
      </w:r>
      <w:r>
        <w:rPr>
          <w:rFonts w:hint="eastAsia" w:ascii="Times New Roman" w:hAnsi="Times New Roman" w:eastAsia="仿宋_GB2312" w:cs="Times New Roman"/>
          <w:kern w:val="2"/>
          <w:sz w:val="32"/>
          <w:szCs w:val="32"/>
          <w:lang w:val="en-US" w:eastAsia="zh-CN" w:bidi="ar-SA"/>
        </w:rPr>
        <w:t>，主动申请创业担保贷款</w:t>
      </w:r>
      <w:r>
        <w:rPr>
          <w:rFonts w:hint="default" w:ascii="Times New Roman" w:hAnsi="Times New Roman" w:eastAsia="仿宋_GB2312" w:cs="Times New Roman"/>
          <w:kern w:val="2"/>
          <w:sz w:val="32"/>
          <w:szCs w:val="32"/>
          <w:lang w:val="en-US" w:eastAsia="zh-CN" w:bidi="ar-SA"/>
        </w:rPr>
        <w:t>，形成</w:t>
      </w:r>
      <w:r>
        <w:rPr>
          <w:rFonts w:hint="eastAsia" w:ascii="Times New Roman" w:hAnsi="Times New Roman" w:eastAsia="仿宋_GB2312" w:cs="Times New Roman"/>
          <w:kern w:val="2"/>
          <w:sz w:val="32"/>
          <w:szCs w:val="32"/>
          <w:lang w:val="en-US" w:eastAsia="zh-CN" w:bidi="ar-SA"/>
        </w:rPr>
        <w:t>政府、贷款企业、银行</w:t>
      </w:r>
      <w:r>
        <w:rPr>
          <w:rFonts w:hint="default"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方共赢</w:t>
      </w:r>
      <w:r>
        <w:rPr>
          <w:rFonts w:hint="default" w:ascii="Times New Roman" w:hAnsi="Times New Roman" w:eastAsia="仿宋_GB2312" w:cs="Times New Roman"/>
          <w:kern w:val="2"/>
          <w:sz w:val="32"/>
          <w:szCs w:val="32"/>
          <w:lang w:val="en-US" w:eastAsia="zh-CN" w:bidi="ar-SA"/>
        </w:rPr>
        <w:t>的良好局面。</w:t>
      </w:r>
      <w:r>
        <w:rPr>
          <w:rFonts w:hint="eastAsia" w:ascii="Times New Roman" w:hAnsi="Times New Roman" w:eastAsia="仿宋_GB2312" w:cs="Times New Roman"/>
          <w:b/>
          <w:bCs/>
          <w:kern w:val="2"/>
          <w:sz w:val="32"/>
          <w:szCs w:val="32"/>
          <w:lang w:val="en-US" w:eastAsia="zh-CN" w:bidi="ar-SA"/>
        </w:rPr>
        <w:t>三是宣传联动。</w:t>
      </w:r>
      <w:r>
        <w:rPr>
          <w:rFonts w:hint="default" w:ascii="Times New Roman" w:hAnsi="Times New Roman" w:eastAsia="仿宋_GB2312" w:cs="Times New Roman"/>
          <w:kern w:val="2"/>
          <w:sz w:val="32"/>
          <w:szCs w:val="32"/>
          <w:lang w:val="en-US" w:eastAsia="zh-CN" w:bidi="ar-SA"/>
        </w:rPr>
        <w:t>市县两级人社部门</w:t>
      </w:r>
      <w:r>
        <w:rPr>
          <w:rFonts w:hint="eastAsia" w:ascii="Times New Roman" w:hAnsi="Times New Roman" w:eastAsia="仿宋_GB2312" w:cs="Times New Roman"/>
          <w:kern w:val="2"/>
          <w:sz w:val="32"/>
          <w:szCs w:val="32"/>
          <w:lang w:val="en-US" w:eastAsia="zh-CN" w:bidi="ar-SA"/>
        </w:rPr>
        <w:t>联合</w:t>
      </w:r>
      <w:r>
        <w:rPr>
          <w:rFonts w:hint="default" w:ascii="Times New Roman" w:hAnsi="Times New Roman" w:eastAsia="仿宋_GB2312" w:cs="Times New Roman"/>
          <w:kern w:val="2"/>
          <w:sz w:val="32"/>
          <w:szCs w:val="32"/>
          <w:lang w:val="en-US" w:eastAsia="zh-CN" w:bidi="ar-SA"/>
        </w:rPr>
        <w:t>成立4个宣传小组，印制政策宣传页</w:t>
      </w:r>
      <w:r>
        <w:rPr>
          <w:rFonts w:hint="eastAsia" w:ascii="Times New Roman" w:hAnsi="Times New Roman" w:eastAsia="仿宋_GB2312" w:cs="Times New Roman"/>
          <w:kern w:val="2"/>
          <w:sz w:val="32"/>
          <w:szCs w:val="32"/>
          <w:lang w:val="en-US" w:eastAsia="zh-CN" w:bidi="ar-SA"/>
        </w:rPr>
        <w:t>1.5万份，</w:t>
      </w:r>
      <w:r>
        <w:rPr>
          <w:rFonts w:hint="default" w:ascii="Times New Roman" w:hAnsi="Times New Roman" w:eastAsia="仿宋_GB2312" w:cs="Times New Roman"/>
          <w:kern w:val="2"/>
          <w:sz w:val="32"/>
          <w:szCs w:val="32"/>
          <w:lang w:val="en-US" w:eastAsia="zh-CN" w:bidi="ar-SA"/>
        </w:rPr>
        <w:t>采取进基地、进园区、进商圈、进企业、进社区、进高校、进乡村等方式，扩大宣传广度、深度，累计开展宣讲会、座谈会76场，走访创业主体</w:t>
      </w:r>
      <w:r>
        <w:rPr>
          <w:rFonts w:hint="eastAsia" w:ascii="Times New Roman" w:hAnsi="Times New Roman" w:eastAsia="仿宋_GB2312" w:cs="Times New Roman"/>
          <w:kern w:val="2"/>
          <w:sz w:val="32"/>
          <w:szCs w:val="32"/>
          <w:lang w:val="en-US" w:eastAsia="zh-CN" w:bidi="ar-SA"/>
        </w:rPr>
        <w:t>1000</w:t>
      </w:r>
      <w:r>
        <w:rPr>
          <w:rFonts w:hint="default" w:ascii="Times New Roman" w:hAnsi="Times New Roman" w:eastAsia="仿宋_GB2312" w:cs="Times New Roman"/>
          <w:kern w:val="2"/>
          <w:sz w:val="32"/>
          <w:szCs w:val="32"/>
          <w:lang w:val="en-US" w:eastAsia="zh-CN" w:bidi="ar-SA"/>
        </w:rPr>
        <w:t>余个，接受咨询</w:t>
      </w:r>
      <w:r>
        <w:rPr>
          <w:rFonts w:hint="eastAsia" w:ascii="Times New Roman" w:hAnsi="Times New Roman" w:eastAsia="仿宋_GB2312" w:cs="Times New Roman"/>
          <w:kern w:val="2"/>
          <w:sz w:val="32"/>
          <w:szCs w:val="32"/>
          <w:lang w:val="en-US" w:eastAsia="zh-CN" w:bidi="ar-SA"/>
        </w:rPr>
        <w:t>32</w:t>
      </w:r>
      <w:r>
        <w:rPr>
          <w:rFonts w:hint="default" w:ascii="Times New Roman" w:hAnsi="Times New Roman" w:eastAsia="仿宋_GB2312" w:cs="Times New Roman"/>
          <w:kern w:val="2"/>
          <w:sz w:val="32"/>
          <w:szCs w:val="32"/>
          <w:lang w:val="en-US" w:eastAsia="zh-CN" w:bidi="ar-SA"/>
        </w:rPr>
        <w:t>00余人次，确保了政策调整平稳过渡、有序衔接。通过微信、</w:t>
      </w:r>
      <w:r>
        <w:rPr>
          <w:rFonts w:hint="eastAsia" w:ascii="Times New Roman" w:hAnsi="Times New Roman" w:eastAsia="仿宋_GB2312" w:cs="Times New Roman"/>
          <w:kern w:val="2"/>
          <w:sz w:val="32"/>
          <w:szCs w:val="32"/>
          <w:lang w:val="en-US" w:eastAsia="zh-CN" w:bidi="ar-SA"/>
        </w:rPr>
        <w:t>抖音</w:t>
      </w:r>
      <w:r>
        <w:rPr>
          <w:rFonts w:hint="default"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eastAsia="zh-CN" w:bidi="ar-SA"/>
        </w:rPr>
        <w:t>新媒体平台，广泛</w:t>
      </w:r>
      <w:r>
        <w:rPr>
          <w:rFonts w:hint="default" w:ascii="Times New Roman" w:hAnsi="Times New Roman" w:eastAsia="仿宋_GB2312" w:cs="Times New Roman"/>
          <w:kern w:val="2"/>
          <w:sz w:val="32"/>
          <w:szCs w:val="32"/>
          <w:lang w:val="en-US" w:eastAsia="zh-CN" w:bidi="ar-SA"/>
        </w:rPr>
        <w:t>宣传创业担保贷款的意义、申请条件、申报程序、操作流程等，让广大群众了解政策、运用政策，多方位扩大创业担保贷款政策知晓率。</w:t>
      </w:r>
    </w:p>
    <w:p w14:paraId="5881D37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color w:val="000000"/>
          <w:sz w:val="32"/>
          <w:szCs w:val="32"/>
          <w:lang w:val="en-US" w:eastAsia="zh-CN"/>
        </w:rPr>
        <w:t>（三）以“四降”</w:t>
      </w:r>
      <w:r>
        <w:rPr>
          <w:rFonts w:hint="default" w:ascii="Times New Roman" w:hAnsi="Times New Roman" w:eastAsia="楷体_GB2312" w:cs="Times New Roman"/>
          <w:color w:val="000000"/>
          <w:sz w:val="32"/>
          <w:szCs w:val="32"/>
          <w:lang w:val="en-US" w:eastAsia="zh-CN"/>
        </w:rPr>
        <w:t>破解融资难题</w:t>
      </w:r>
      <w:r>
        <w:rPr>
          <w:rFonts w:hint="eastAsia" w:ascii="Times New Roman" w:hAnsi="Times New Roman" w:eastAsia="楷体_GB2312" w:cs="Times New Roman"/>
          <w:color w:val="000000"/>
          <w:sz w:val="32"/>
          <w:szCs w:val="32"/>
          <w:lang w:val="en-US" w:eastAsia="zh-CN"/>
        </w:rPr>
        <w:t>。</w:t>
      </w:r>
      <w:r>
        <w:rPr>
          <w:rFonts w:hint="eastAsia" w:ascii="Times New Roman" w:hAnsi="Times New Roman" w:eastAsia="仿宋_GB2312" w:cs="Times New Roman"/>
          <w:b/>
          <w:bCs/>
          <w:kern w:val="2"/>
          <w:sz w:val="32"/>
          <w:szCs w:val="32"/>
          <w:lang w:val="en-US" w:eastAsia="zh-CN" w:bidi="ar-SA"/>
        </w:rPr>
        <w:t>一是降门槛。</w:t>
      </w:r>
      <w:r>
        <w:rPr>
          <w:rFonts w:hint="eastAsia" w:ascii="Times New Roman" w:hAnsi="Times New Roman" w:eastAsia="仿宋_GB2312" w:cs="Times New Roman"/>
          <w:kern w:val="2"/>
          <w:sz w:val="32"/>
          <w:szCs w:val="32"/>
          <w:lang w:val="en-US" w:eastAsia="zh-CN" w:bidi="ar-SA"/>
        </w:rPr>
        <w:t>积极与合作银行对接，创新鹤壁市创业担保贷“</w:t>
      </w:r>
      <w:r>
        <w:rPr>
          <w:rFonts w:hint="default" w:ascii="Times New Roman" w:hAnsi="Times New Roman" w:cs="Times New Roman"/>
          <w:kern w:val="2"/>
          <w:sz w:val="32"/>
          <w:szCs w:val="32"/>
          <w:lang w:val="en-US" w:eastAsia="zh-CN" w:bidi="ar-SA"/>
        </w:rPr>
        <w:t>见贷即担</w:t>
      </w:r>
      <w:r>
        <w:rPr>
          <w:rFonts w:hint="eastAsia" w:ascii="Times New Roman" w:hAnsi="Times New Roman" w:eastAsia="仿宋_GB2312" w:cs="Times New Roman"/>
          <w:kern w:val="2"/>
          <w:sz w:val="32"/>
          <w:szCs w:val="32"/>
          <w:lang w:val="en-US" w:eastAsia="zh-CN" w:bidi="ar-SA"/>
        </w:rPr>
        <w:t>”新模式。</w:t>
      </w:r>
      <w:r>
        <w:rPr>
          <w:rFonts w:hint="default" w:ascii="Times New Roman" w:hAnsi="Times New Roman" w:eastAsia="仿宋_GB2312" w:cs="Times New Roman"/>
          <w:kern w:val="2"/>
          <w:sz w:val="32"/>
          <w:szCs w:val="32"/>
          <w:lang w:val="en-US" w:eastAsia="zh-CN" w:bidi="ar-SA"/>
        </w:rPr>
        <w:t>试</w:t>
      </w:r>
      <w:r>
        <w:rPr>
          <w:rFonts w:hint="eastAsia" w:ascii="仿宋_GB2312" w:hAnsi="仿宋_GB2312" w:eastAsia="仿宋_GB2312" w:cs="仿宋_GB2312"/>
          <w:kern w:val="2"/>
          <w:sz w:val="32"/>
          <w:szCs w:val="32"/>
          <w:lang w:val="en-US" w:eastAsia="zh-CN" w:bidi="ar-SA"/>
        </w:rPr>
        <w:t>行“亲属担保贷”“员工担保贷”“老板担保贷”等创新业务，实现担保“零门槛”。</w:t>
      </w:r>
      <w:r>
        <w:rPr>
          <w:rFonts w:hint="eastAsia" w:ascii="Times New Roman" w:hAnsi="Times New Roman" w:eastAsia="仿宋_GB2312" w:cs="Times New Roman"/>
          <w:b/>
          <w:bCs/>
          <w:kern w:val="2"/>
          <w:sz w:val="32"/>
          <w:szCs w:val="32"/>
          <w:lang w:val="en-US" w:eastAsia="zh-CN" w:bidi="ar-SA"/>
        </w:rPr>
        <w:t>二是降风险。</w:t>
      </w:r>
      <w:r>
        <w:rPr>
          <w:rFonts w:hint="eastAsia" w:ascii="Times New Roman" w:hAnsi="Times New Roman" w:eastAsia="仿宋_GB2312" w:cs="Times New Roman"/>
          <w:kern w:val="2"/>
          <w:sz w:val="32"/>
          <w:szCs w:val="32"/>
          <w:lang w:val="en-US" w:eastAsia="zh-CN" w:bidi="ar-SA"/>
        </w:rPr>
        <w:t>采取与银行“5:5”的风险分担机制，如发生逾期由双方各承担50%风险代偿，基于金融系统风险体系，逾期比例不得高于1.5%，高出部分担保基金不再</w:t>
      </w:r>
      <w:r>
        <w:rPr>
          <w:rFonts w:hint="eastAsia" w:ascii="Times New Roman" w:hAnsi="Times New Roman" w:cs="Times New Roman"/>
          <w:kern w:val="2"/>
          <w:sz w:val="32"/>
          <w:szCs w:val="32"/>
          <w:lang w:val="en-US" w:eastAsia="zh-CN" w:bidi="ar-SA"/>
        </w:rPr>
        <w:t>履行</w:t>
      </w:r>
      <w:r>
        <w:rPr>
          <w:rFonts w:hint="eastAsia" w:ascii="Times New Roman" w:hAnsi="Times New Roman" w:eastAsia="仿宋_GB2312" w:cs="Times New Roman"/>
          <w:kern w:val="2"/>
          <w:sz w:val="32"/>
          <w:szCs w:val="32"/>
          <w:lang w:val="en-US" w:eastAsia="zh-CN" w:bidi="ar-SA"/>
        </w:rPr>
        <w:t>担保义务。</w:t>
      </w:r>
      <w:r>
        <w:rPr>
          <w:rFonts w:hint="eastAsia" w:ascii="Times New Roman" w:hAnsi="Times New Roman" w:eastAsia="仿宋_GB2312" w:cs="Times New Roman"/>
          <w:b/>
          <w:bCs/>
          <w:kern w:val="2"/>
          <w:sz w:val="32"/>
          <w:szCs w:val="32"/>
          <w:lang w:val="en-US" w:eastAsia="zh-CN" w:bidi="ar-SA"/>
        </w:rPr>
        <w:t>三是降基金担保比例。</w:t>
      </w:r>
      <w:r>
        <w:rPr>
          <w:rFonts w:hint="default" w:ascii="Times New Roman" w:hAnsi="Times New Roman" w:eastAsia="仿宋_GB2312" w:cs="Times New Roman"/>
          <w:kern w:val="2"/>
          <w:sz w:val="32"/>
          <w:szCs w:val="32"/>
          <w:lang w:val="en-US" w:eastAsia="zh-CN" w:bidi="ar-SA"/>
        </w:rPr>
        <w:t>创</w:t>
      </w:r>
      <w:r>
        <w:rPr>
          <w:rFonts w:hint="eastAsia" w:ascii="仿宋_GB2312" w:hAnsi="仿宋_GB2312" w:eastAsia="仿宋_GB2312" w:cs="仿宋_GB2312"/>
          <w:kern w:val="2"/>
          <w:sz w:val="32"/>
          <w:szCs w:val="32"/>
          <w:lang w:val="en-US" w:eastAsia="zh-CN" w:bidi="ar-SA"/>
        </w:rPr>
        <w:t>新“风险共担+多元担保+基金放大”模式，突破传统担保限制</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充分发挥担保基金效能</w:t>
      </w:r>
      <w:r>
        <w:rPr>
          <w:rFonts w:hint="default" w:ascii="Times New Roman" w:hAnsi="Times New Roman" w:eastAsia="仿宋_GB2312" w:cs="Times New Roman"/>
          <w:kern w:val="2"/>
          <w:sz w:val="32"/>
          <w:szCs w:val="32"/>
          <w:lang w:val="en-US" w:eastAsia="zh-CN" w:bidi="ar-SA"/>
        </w:rPr>
        <w:t>，撬动更多社会资金。</w:t>
      </w:r>
      <w:r>
        <w:rPr>
          <w:rFonts w:hint="eastAsia" w:ascii="Times New Roman" w:hAnsi="Times New Roman" w:eastAsia="仿宋_GB2312" w:cs="Times New Roman"/>
          <w:b/>
          <w:bCs/>
          <w:kern w:val="2"/>
          <w:sz w:val="32"/>
          <w:szCs w:val="32"/>
          <w:lang w:val="en-US" w:eastAsia="zh-CN" w:bidi="ar-SA"/>
        </w:rPr>
        <w:t>四是降办理时限。</w:t>
      </w:r>
      <w:r>
        <w:rPr>
          <w:rFonts w:hint="eastAsia" w:ascii="仿宋_GB2312" w:hAnsi="仿宋_GB2312" w:cs="仿宋_GB2312"/>
          <w:b w:val="0"/>
          <w:bCs w:val="0"/>
          <w:kern w:val="2"/>
          <w:sz w:val="32"/>
          <w:szCs w:val="32"/>
          <w:lang w:val="en-US" w:eastAsia="zh-CN" w:bidi="ar-SA"/>
        </w:rPr>
        <w:t>“见贷即担”模</w:t>
      </w:r>
      <w:r>
        <w:rPr>
          <w:rFonts w:hint="default" w:ascii="Times New Roman" w:hAnsi="Times New Roman" w:cs="Times New Roman"/>
          <w:b w:val="0"/>
          <w:bCs w:val="0"/>
          <w:kern w:val="2"/>
          <w:sz w:val="32"/>
          <w:szCs w:val="32"/>
          <w:lang w:val="en-US" w:eastAsia="zh-CN" w:bidi="ar-SA"/>
        </w:rPr>
        <w:t>式</w:t>
      </w:r>
      <w:r>
        <w:rPr>
          <w:rFonts w:hint="eastAsia" w:ascii="Times New Roman" w:hAnsi="Times New Roman" w:eastAsia="仿宋_GB2312" w:cs="Times New Roman"/>
          <w:kern w:val="2"/>
          <w:sz w:val="32"/>
          <w:szCs w:val="32"/>
          <w:lang w:val="en-US" w:eastAsia="zh-CN" w:bidi="ar-SA"/>
        </w:rPr>
        <w:t>取消评审会评审额度、不动产办抵、市行审批等环节，实行合署办公，即当日受理材料—当日实地考察—当日贷款上报—</w:t>
      </w:r>
      <w:r>
        <w:rPr>
          <w:rFonts w:hint="default" w:ascii="Times New Roman" w:hAnsi="Times New Roman" w:cs="Times New Roman"/>
          <w:kern w:val="2"/>
          <w:sz w:val="32"/>
          <w:szCs w:val="32"/>
          <w:lang w:val="en-US" w:eastAsia="zh-CN" w:bidi="ar-SA"/>
        </w:rPr>
        <w:t>最快</w:t>
      </w:r>
      <w:r>
        <w:rPr>
          <w:rFonts w:hint="eastAsia" w:ascii="Times New Roman" w:hAnsi="Times New Roman" w:eastAsia="仿宋_GB2312" w:cs="Times New Roman"/>
          <w:kern w:val="2"/>
          <w:sz w:val="32"/>
          <w:szCs w:val="32"/>
          <w:lang w:val="en-US" w:eastAsia="zh-CN" w:bidi="ar-SA"/>
        </w:rPr>
        <w:t>当日/次日贷款发放。</w:t>
      </w:r>
    </w:p>
    <w:p w14:paraId="2EFFEE7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kern w:val="0"/>
          <w:sz w:val="32"/>
          <w:szCs w:val="32"/>
          <w:lang w:eastAsia="zh-CN" w:bidi="ar"/>
        </w:rPr>
        <w:t>取得</w:t>
      </w:r>
      <w:r>
        <w:rPr>
          <w:rFonts w:hint="default" w:ascii="Times New Roman" w:hAnsi="Times New Roman" w:eastAsia="黑体" w:cs="Times New Roman"/>
          <w:color w:val="000000"/>
          <w:kern w:val="0"/>
          <w:sz w:val="32"/>
          <w:szCs w:val="32"/>
          <w:lang w:bidi="ar"/>
        </w:rPr>
        <w:t>成效</w:t>
      </w:r>
    </w:p>
    <w:p w14:paraId="6E1B17B1">
      <w:pPr>
        <w:pStyle w:val="2"/>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鹤壁市实践“一优两稳三联四降”工作法，为推动鹤壁市创业担保贷款工作提质增效提供强大动力。通过优化流程、稳定客户与利率、强化部门银行宣传联动、降低融资门槛风险</w:t>
      </w:r>
      <w:r>
        <w:rPr>
          <w:rFonts w:hint="eastAsia" w:eastAsia="仿宋_GB2312" w:cs="Times New Roman"/>
          <w:kern w:val="2"/>
          <w:sz w:val="32"/>
          <w:szCs w:val="32"/>
          <w:lang w:val="en-US" w:eastAsia="zh-CN" w:bidi="ar-SA"/>
        </w:rPr>
        <w:t>分担</w:t>
      </w:r>
      <w:r>
        <w:rPr>
          <w:rFonts w:hint="eastAsia" w:ascii="Times New Roman" w:hAnsi="Times New Roman" w:eastAsia="仿宋_GB2312" w:cs="Times New Roman"/>
          <w:kern w:val="2"/>
          <w:sz w:val="32"/>
          <w:szCs w:val="32"/>
          <w:lang w:val="en-US" w:eastAsia="zh-CN" w:bidi="ar-SA"/>
        </w:rPr>
        <w:t>比例及时限等系统举措，有效破解创业融资难题，显著提升了创业带动就业水平，为促进鹤壁市高质量充分就业提供了坚强的组织保障和高效的融资服务支撑。2024年以来，鹤壁市通过创业担保贷款扶持880名个体工商户创业，为92家小微企业发放创业贷款4.1亿元，带动6776人就业。</w:t>
      </w:r>
    </w:p>
    <w:p w14:paraId="0F6AA48A">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p>
    <w:p w14:paraId="5A37A58A">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p>
    <w:p w14:paraId="12931A89">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仿宋_GB2312" w:cs="Times New Roman"/>
          <w:kern w:val="0"/>
          <w:sz w:val="32"/>
          <w:szCs w:val="32"/>
          <w:lang w:val="en-US" w:eastAsia="zh-CN" w:bidi="zh-CN"/>
        </w:rPr>
      </w:pPr>
    </w:p>
    <w:p w14:paraId="23D274D5">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6</w:t>
      </w:r>
    </w:p>
    <w:p w14:paraId="5A9DF4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sz w:val="44"/>
          <w:szCs w:val="44"/>
          <w:lang w:val="en-US" w:eastAsia="zh-CN"/>
        </w:rPr>
      </w:pPr>
    </w:p>
    <w:p w14:paraId="6BD1597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南阳市全面打造统一规范的中介服务市场</w:t>
      </w:r>
    </w:p>
    <w:p w14:paraId="7381C7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default" w:ascii="Times New Roman" w:hAnsi="Times New Roman" w:eastAsia="仿宋_GB2312" w:cs="仿宋_GB2312"/>
          <w:sz w:val="32"/>
          <w:szCs w:val="32"/>
          <w:lang w:val="en-US" w:eastAsia="zh-CN"/>
        </w:rPr>
      </w:pPr>
    </w:p>
    <w:p w14:paraId="0127B7E9">
      <w:pPr>
        <w:keepNext w:val="0"/>
        <w:keepLines w:val="0"/>
        <w:pageBreakBefore w:val="0"/>
        <w:widowControl w:val="0"/>
        <w:kinsoku/>
        <w:wordWrap/>
        <w:overflowPunct/>
        <w:topLinePunct w:val="0"/>
        <w:autoSpaceDE/>
        <w:autoSpaceDN/>
        <w:bidi w:val="0"/>
        <w:adjustRightInd/>
        <w:snapToGrid/>
        <w:spacing w:beforeAutospacing="0" w:afterAutospacing="0" w:line="610" w:lineRule="exact"/>
        <w:ind w:left="0" w:right="0" w:rightChars="0" w:firstLine="640" w:firstLineChars="200"/>
        <w:jc w:val="both"/>
        <w:textAlignment w:val="auto"/>
        <w:outlineLvl w:val="9"/>
        <w:rPr>
          <w:rFonts w:hint="eastAsia" w:ascii="Times New Roman" w:hAnsi="Times New Roman" w:eastAsia="楷体_GB2312" w:cs="楷体_GB2312"/>
          <w:color w:val="000000"/>
          <w:sz w:val="32"/>
          <w:szCs w:val="32"/>
          <w:lang w:val="en-US" w:eastAsia="zh-CN"/>
        </w:rPr>
      </w:pPr>
      <w:r>
        <w:rPr>
          <w:rFonts w:hint="eastAsia" w:ascii="黑体" w:hAnsi="黑体" w:eastAsia="黑体" w:cs="黑体"/>
          <w:color w:val="000000"/>
          <w:sz w:val="32"/>
          <w:szCs w:val="32"/>
          <w:lang w:val="en-US" w:eastAsia="zh-CN"/>
        </w:rPr>
        <w:t>推荐词：</w:t>
      </w:r>
      <w:r>
        <w:rPr>
          <w:rFonts w:hint="eastAsia" w:ascii="Times New Roman" w:hAnsi="Times New Roman" w:eastAsia="楷体_GB2312" w:cs="楷体_GB2312"/>
          <w:color w:val="000000"/>
          <w:sz w:val="32"/>
          <w:szCs w:val="32"/>
          <w:lang w:val="en-US" w:eastAsia="zh-CN"/>
        </w:rPr>
        <w:t>南阳市以全国统一大市场“五统一、一开放”为指导，围绕企业和群众需求，打造统一规范的中介服务市场。通过规范信息公开、实施星级评价、强化信用监管，营造公平竞争环境；依托智慧网办实现全流程线上服务，升级超市功能，多端协同提升便捷性；推行事项清单管理，丰富服务类别，助力行政审批加速提效，实现了从“破障”到“立新”的系统性改革，有效破解“中介不中”“红顶中介”“中介中梗阻”问题。</w:t>
      </w:r>
    </w:p>
    <w:p w14:paraId="48A914BE">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lang w:val="en-US" w:eastAsia="zh-CN"/>
        </w:rPr>
        <w:t>实施背景</w:t>
      </w:r>
    </w:p>
    <w:p w14:paraId="6EF4F66F">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为深入贯彻党的二十大</w:t>
      </w:r>
      <w:r>
        <w:rPr>
          <w:rFonts w:hint="eastAsia" w:ascii="仿宋_GB2312" w:hAnsi="仿宋_GB2312" w:eastAsia="仿宋_GB2312" w:cs="仿宋_GB2312"/>
          <w:sz w:val="32"/>
          <w:szCs w:val="32"/>
          <w:lang w:val="en-US" w:eastAsia="zh-CN"/>
        </w:rPr>
        <w:t>“构建全国统一大市场，深化要素市场化改革”精神，落实省委、省政府融入服务全国统一大市场建设部署，南阳市聚焦中介服务市场存在的信息不透明、竞争不充分、服务效率低等问题，以企业群众“中介超市”使用体验为导向，深化简政放权、放管结合、优化服务改革，建成了统一规范、开放竞争、健康有序、高效便捷的中介服务市场。</w:t>
      </w:r>
    </w:p>
    <w:p w14:paraId="466F3DE5">
      <w:pPr>
        <w:pStyle w:val="3"/>
        <w:keepNext w:val="0"/>
        <w:keepLines w:val="0"/>
        <w:pageBreakBefore w:val="0"/>
        <w:widowControl w:val="0"/>
        <w:numPr>
          <w:ilvl w:val="0"/>
          <w:numId w:val="1"/>
        </w:numPr>
        <w:kinsoku/>
        <w:wordWrap/>
        <w:overflowPunct/>
        <w:topLinePunct w:val="0"/>
        <w:autoSpaceDE/>
        <w:autoSpaceDN/>
        <w:bidi w:val="0"/>
        <w:adjustRightInd/>
        <w:snapToGrid/>
        <w:spacing w:after="0" w:line="610" w:lineRule="exact"/>
        <w:ind w:left="0" w:leftChars="0" w:right="0" w:rightChars="0" w:firstLine="640" w:firstLineChars="200"/>
        <w:textAlignment w:val="auto"/>
        <w:outlineLvl w:val="9"/>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黑体" w:cs="Times New Roman"/>
          <w:color w:val="000000"/>
          <w:kern w:val="2"/>
          <w:sz w:val="32"/>
          <w:szCs w:val="32"/>
          <w:lang w:val="en-US" w:eastAsia="zh-CN" w:bidi="ar-SA"/>
        </w:rPr>
        <w:t>主要做法</w:t>
      </w:r>
    </w:p>
    <w:p w14:paraId="17CD419F">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000000"/>
          <w:sz w:val="32"/>
          <w:szCs w:val="32"/>
          <w:lang w:val="en-US" w:eastAsia="zh-CN"/>
        </w:rPr>
        <w:t>（一）“信息公开”营造公平竞争</w:t>
      </w:r>
      <w:r>
        <w:rPr>
          <w:rFonts w:hint="default" w:ascii="Times New Roman" w:hAnsi="Times New Roman" w:eastAsia="楷体_GB2312" w:cs="Times New Roman"/>
          <w:color w:val="000000"/>
          <w:sz w:val="32"/>
          <w:szCs w:val="32"/>
          <w:lang w:val="en-US" w:eastAsia="zh-CN"/>
        </w:rPr>
        <w:t>市场环境。</w:t>
      </w:r>
      <w:r>
        <w:rPr>
          <w:rFonts w:hint="eastAsia" w:ascii="Times New Roman" w:hAnsi="Times New Roman" w:eastAsia="仿宋_GB2312" w:cs="Times New Roman"/>
          <w:sz w:val="32"/>
          <w:szCs w:val="32"/>
          <w:lang w:val="en-US" w:eastAsia="zh-CN"/>
        </w:rPr>
        <w:t>在17个政府部门网站、政府服务大厅公开发布《关于邀请中介服务机构入驻南阳市网上中介服务超市的通告》，面向社会诚邀具备相应资质的中介服务机构入驻。开设“中介超市”专栏，公开评价、咨询、测量、检测、设计、监理、评估、勘查、代办等9类中介机构信息，项目业主可依据自身需求，自主选择中介机构，全过程不受任何干预。强化中介机构日常管理，建立“五星级”信用评价体系，由委托人采取“一事一评”的方式在网上中介超市对中介服务质量进行满意度评价，评价结果进行网上公示，与中介机构的业务承接机会挂钩。强化超市平台信用监管，设立“信用档案”模块，公示“信用红黑榜”，以评价结果作为清退依据，对违法违规或被行业主管部门依法列入“黑名单”的中介机构，实施超市平台和信用南阳平台联合惩戒。</w:t>
      </w:r>
    </w:p>
    <w:p w14:paraId="46DDEAAC">
      <w:pPr>
        <w:keepNext w:val="0"/>
        <w:keepLines w:val="0"/>
        <w:pageBreakBefore w:val="0"/>
        <w:widowControl w:val="0"/>
        <w:numPr>
          <w:ilvl w:val="0"/>
          <w:numId w:val="0"/>
        </w:numPr>
        <w:tabs>
          <w:tab w:val="left" w:pos="7645"/>
        </w:tabs>
        <w:kinsoku/>
        <w:wordWrap/>
        <w:overflowPunct/>
        <w:topLinePunct w:val="0"/>
        <w:autoSpaceDE/>
        <w:autoSpaceDN/>
        <w:bidi w:val="0"/>
        <w:adjustRightInd/>
        <w:snapToGrid/>
        <w:spacing w:beforeAutospacing="0" w:afterAutospacing="0" w:line="610" w:lineRule="exact"/>
        <w:ind w:left="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color w:val="000000"/>
          <w:sz w:val="32"/>
          <w:szCs w:val="32"/>
          <w:lang w:val="en-US" w:eastAsia="zh-CN"/>
        </w:rPr>
        <w:t>（二）“</w:t>
      </w:r>
      <w:r>
        <w:rPr>
          <w:rFonts w:hint="default" w:ascii="Times New Roman" w:hAnsi="Times New Roman" w:eastAsia="楷体_GB2312" w:cs="Times New Roman"/>
          <w:color w:val="000000"/>
          <w:sz w:val="32"/>
          <w:szCs w:val="32"/>
          <w:lang w:val="en-US" w:eastAsia="zh-CN"/>
        </w:rPr>
        <w:t>智慧网办</w:t>
      </w:r>
      <w:r>
        <w:rPr>
          <w:rFonts w:hint="eastAsia" w:ascii="Times New Roman" w:hAnsi="Times New Roman" w:eastAsia="楷体_GB2312" w:cs="Times New Roman"/>
          <w:color w:val="000000"/>
          <w:sz w:val="32"/>
          <w:szCs w:val="32"/>
          <w:lang w:val="en-US" w:eastAsia="zh-CN"/>
        </w:rPr>
        <w:t>”</w:t>
      </w:r>
      <w:r>
        <w:rPr>
          <w:rFonts w:hint="default" w:ascii="Times New Roman" w:hAnsi="Times New Roman" w:eastAsia="楷体_GB2312" w:cs="Times New Roman"/>
          <w:color w:val="000000"/>
          <w:sz w:val="32"/>
          <w:szCs w:val="32"/>
          <w:lang w:val="en-US" w:eastAsia="zh-CN"/>
        </w:rPr>
        <w:t>打造高效便捷服务体系</w:t>
      </w:r>
      <w:r>
        <w:rPr>
          <w:rFonts w:hint="eastAsia" w:ascii="Times New Roman" w:hAnsi="Times New Roman" w:eastAsia="楷体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出台《南阳市行政审批第三方服务机构入驻中介超市管理办法》《南阳市加快中介服务业健康发展实施方案》，升级网上中介服务超市，推动中介服务全流</w:t>
      </w:r>
      <w:r>
        <w:rPr>
          <w:rFonts w:hint="eastAsia" w:ascii="仿宋_GB2312" w:hAnsi="仿宋_GB2312" w:eastAsia="仿宋_GB2312" w:cs="仿宋_GB2312"/>
          <w:sz w:val="32"/>
          <w:szCs w:val="32"/>
          <w:lang w:val="en-US" w:eastAsia="zh-CN"/>
        </w:rPr>
        <w:t>程“一站式”线上</w:t>
      </w:r>
      <w:r>
        <w:rPr>
          <w:rFonts w:hint="default" w:ascii="Times New Roman" w:hAnsi="Times New Roman" w:eastAsia="仿宋_GB2312" w:cs="Times New Roman"/>
          <w:sz w:val="32"/>
          <w:szCs w:val="32"/>
          <w:lang w:val="en-US" w:eastAsia="zh-CN"/>
        </w:rPr>
        <w:t>办理。依托南阳市政务服务网，将中介服务管理纳入市级一体化政务服务平台，将中介机构选择、中介报告编制、中介报告评</w:t>
      </w:r>
      <w:r>
        <w:rPr>
          <w:rFonts w:hint="default" w:ascii="Times New Roman" w:hAnsi="Times New Roman" w:eastAsia="仿宋_GB2312" w:cs="Times New Roman"/>
          <w:b w:val="0"/>
          <w:bCs w:val="0"/>
          <w:sz w:val="32"/>
          <w:szCs w:val="32"/>
          <w:lang w:val="en-US" w:eastAsia="zh-CN"/>
        </w:rPr>
        <w:t>审、中介服务评价纳入线上管理，强化中介服务项目全流程可视化、可追溯。构建线上线下</w:t>
      </w:r>
      <w:r>
        <w:rPr>
          <w:rFonts w:hint="default" w:ascii="Times New Roman" w:hAnsi="Times New Roman" w:eastAsia="仿宋_GB2312" w:cs="Times New Roman"/>
          <w:b w:val="0"/>
          <w:bCs w:val="0"/>
          <w:color w:val="000000"/>
          <w:sz w:val="32"/>
          <w:szCs w:val="32"/>
          <w:lang w:val="en-US" w:eastAsia="zh-CN"/>
        </w:rPr>
        <w:t>多端协同服务体系，</w:t>
      </w:r>
      <w:r>
        <w:rPr>
          <w:rFonts w:hint="default" w:ascii="Times New Roman" w:hAnsi="Times New Roman" w:eastAsia="仿宋_GB2312" w:cs="Times New Roman"/>
          <w:b w:val="0"/>
          <w:bCs w:val="0"/>
          <w:sz w:val="32"/>
          <w:szCs w:val="32"/>
          <w:lang w:val="en-US" w:eastAsia="zh-CN"/>
        </w:rPr>
        <w:t>在政务大厅</w:t>
      </w:r>
      <w:r>
        <w:rPr>
          <w:rFonts w:hint="eastAsia" w:ascii="仿宋_GB2312" w:hAnsi="仿宋_GB2312" w:eastAsia="仿宋_GB2312" w:cs="仿宋_GB2312"/>
          <w:b w:val="0"/>
          <w:bCs w:val="0"/>
          <w:sz w:val="32"/>
          <w:szCs w:val="32"/>
          <w:lang w:val="en-US" w:eastAsia="zh-CN"/>
        </w:rPr>
        <w:t>设立“中介超市”专</w:t>
      </w:r>
      <w:r>
        <w:rPr>
          <w:rFonts w:hint="eastAsia" w:ascii="仿宋_GB2312" w:hAnsi="仿宋_GB2312" w:eastAsia="仿宋_GB2312" w:cs="仿宋_GB2312"/>
          <w:sz w:val="32"/>
          <w:szCs w:val="32"/>
          <w:lang w:val="en-US" w:eastAsia="zh-CN"/>
        </w:rPr>
        <w:t>区</w:t>
      </w:r>
      <w:r>
        <w:rPr>
          <w:rFonts w:hint="default" w:ascii="Times New Roman" w:hAnsi="Times New Roman" w:eastAsia="仿宋_GB2312" w:cs="Times New Roman"/>
          <w:sz w:val="32"/>
          <w:szCs w:val="32"/>
          <w:lang w:val="en-US" w:eastAsia="zh-CN"/>
        </w:rPr>
        <w:t>，提供线下审前辅导、中介服务咨询与导办帮办服务；创新线上导办帮办模式，推动移动端APP实现中介机构报名、选取、评价等功能，随时随地查看项目信息与办理进度，全方位提升服务便捷性，让中介服务触手可及。</w:t>
      </w:r>
    </w:p>
    <w:p w14:paraId="59798147">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楷体_GB2312" w:cs="Times New Roman"/>
          <w:color w:val="000000"/>
          <w:sz w:val="32"/>
          <w:szCs w:val="32"/>
          <w:lang w:val="en-US" w:eastAsia="zh-CN"/>
        </w:rPr>
        <w:t>（三）“</w:t>
      </w:r>
      <w:r>
        <w:rPr>
          <w:rFonts w:hint="default" w:ascii="Times New Roman" w:hAnsi="Times New Roman" w:eastAsia="楷体_GB2312" w:cs="Times New Roman"/>
          <w:color w:val="000000"/>
          <w:sz w:val="32"/>
          <w:szCs w:val="32"/>
          <w:lang w:val="en-US" w:eastAsia="zh-CN"/>
        </w:rPr>
        <w:t>集成服务</w:t>
      </w:r>
      <w:r>
        <w:rPr>
          <w:rFonts w:hint="eastAsia" w:ascii="Times New Roman" w:hAnsi="Times New Roman" w:eastAsia="楷体_GB2312" w:cs="Times New Roman"/>
          <w:color w:val="000000"/>
          <w:sz w:val="32"/>
          <w:szCs w:val="32"/>
          <w:lang w:val="en-US" w:eastAsia="zh-CN"/>
        </w:rPr>
        <w:t>”</w:t>
      </w:r>
      <w:r>
        <w:rPr>
          <w:rFonts w:hint="default" w:ascii="Times New Roman" w:hAnsi="Times New Roman" w:eastAsia="楷体_GB2312" w:cs="Times New Roman"/>
          <w:color w:val="000000"/>
          <w:sz w:val="32"/>
          <w:szCs w:val="32"/>
          <w:lang w:val="en-US" w:eastAsia="zh-CN"/>
        </w:rPr>
        <w:t>助力行政审批加速提效</w:t>
      </w:r>
      <w:r>
        <w:rPr>
          <w:rFonts w:hint="eastAsia" w:ascii="Times New Roman" w:hAnsi="Times New Roman" w:eastAsia="楷体_GB2312" w:cs="Times New Roman"/>
          <w:color w:val="000000"/>
          <w:sz w:val="32"/>
          <w:szCs w:val="32"/>
          <w:lang w:val="en-US" w:eastAsia="zh-CN"/>
        </w:rPr>
        <w:t>。</w:t>
      </w:r>
      <w:r>
        <w:rPr>
          <w:rFonts w:hint="eastAsia" w:ascii="Times New Roman" w:hAnsi="Times New Roman" w:eastAsia="仿宋_GB2312" w:cs="Times New Roman"/>
          <w:sz w:val="32"/>
          <w:szCs w:val="32"/>
          <w:lang w:val="en-US" w:eastAsia="zh-CN"/>
        </w:rPr>
        <w:t>实行中介服务事项清单化管理，编制《南阳市行政审批中介服务事项清单》，明确183项事项服务范围、流程、时限及收费标准，杜绝隐性门槛。建立动态调整机制，根据法律法规立改废和改革推进情况，定期对事项清单进行动态更新调整，确保准确性与时效性。持续丰富中介服务内容，加强对市场需求的调研分析，推动中介超市上线技术审查、评估评价、检验检测、勘察设计等更多领域中介服务事项，覆盖工程建设、社会事务、公共服务等多个政务服务领域，满足不同项目的多样化需求。拓展“一站式”集成服务，针对工程建设项目中关联性强、需求量大、技术要求高的中介服务，设立工程建设项目专区，打造“多测合一”主题模块和“施工图综合审查”绿色通道，大幅提升工程建设项目行政审批速度。</w:t>
      </w:r>
    </w:p>
    <w:p w14:paraId="4ACB02FE">
      <w:pPr>
        <w:pStyle w:val="9"/>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黑体" w:cs="Times New Roman"/>
          <w:color w:val="000000"/>
          <w:kern w:val="2"/>
          <w:sz w:val="32"/>
          <w:szCs w:val="32"/>
          <w:lang w:val="en-US" w:eastAsia="zh-CN" w:bidi="ar-SA"/>
        </w:rPr>
        <w:t>三、取得成效</w:t>
      </w:r>
    </w:p>
    <w:p w14:paraId="55AC5A30">
      <w:pPr>
        <w:pStyle w:val="9"/>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规范统一的市场、智慧网办的服务，助力</w:t>
      </w:r>
      <w:r>
        <w:rPr>
          <w:rFonts w:hint="eastAsia" w:eastAsia="仿宋_GB2312" w:cs="Times New Roman"/>
          <w:kern w:val="2"/>
          <w:sz w:val="32"/>
          <w:szCs w:val="32"/>
          <w:lang w:val="en-US" w:eastAsia="zh-CN" w:bidi="ar-SA"/>
        </w:rPr>
        <w:t>南阳</w:t>
      </w:r>
      <w:r>
        <w:rPr>
          <w:rFonts w:hint="eastAsia" w:ascii="Times New Roman" w:hAnsi="Times New Roman" w:eastAsia="仿宋_GB2312" w:cs="Times New Roman"/>
          <w:kern w:val="2"/>
          <w:sz w:val="32"/>
          <w:szCs w:val="32"/>
          <w:lang w:val="en-US" w:eastAsia="zh-CN" w:bidi="ar-SA"/>
        </w:rPr>
        <w:t>市中介服务市场竞争更加公平，有效降低制度性交易成本，让企业和群众办事更方便、更放心，活跃度和满意度不断提升。截至目前，南阳市网上“中介超市”已入驻804家资质齐全的中介服务机构，累计公告项目465个，机构入驻数量及项目完成数量保持</w:t>
      </w:r>
      <w:r>
        <w:rPr>
          <w:rFonts w:hint="eastAsia" w:ascii="Times New Roman" w:hAnsi="Times New Roman" w:eastAsia="仿宋_GB2312" w:cs="Times New Roman"/>
          <w:spacing w:val="6"/>
          <w:kern w:val="2"/>
          <w:sz w:val="32"/>
          <w:szCs w:val="32"/>
          <w:lang w:val="en-US" w:eastAsia="zh-CN" w:bidi="ar-SA"/>
        </w:rPr>
        <w:t>省内地级市首位，累计帮助342家企业完成中介服务，成交金额5266.03万元，推动中介服务收费下降约5%，效率提升约3%。</w:t>
      </w:r>
    </w:p>
    <w:p w14:paraId="34A3FD68">
      <w:pPr>
        <w:pStyle w:val="9"/>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4562AD83">
      <w:pPr>
        <w:pStyle w:val="9"/>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sectPr>
          <w:pgSz w:w="11906" w:h="16838"/>
          <w:pgMar w:top="2041" w:right="1588" w:bottom="1758" w:left="1588" w:header="851" w:footer="1474" w:gutter="0"/>
          <w:cols w:space="720" w:num="1"/>
          <w:docGrid w:type="lines" w:linePitch="590" w:charSpace="365"/>
        </w:sectPr>
      </w:pPr>
    </w:p>
    <w:p w14:paraId="5DE0E169">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7</w:t>
      </w:r>
    </w:p>
    <w:p w14:paraId="5A2809E8">
      <w:pPr>
        <w:keepNext w:val="0"/>
        <w:keepLines w:val="0"/>
        <w:pageBreakBefore w:val="0"/>
        <w:kinsoku/>
        <w:wordWrap/>
        <w:overflowPunct/>
        <w:topLinePunct w:val="0"/>
        <w:bidi w:val="0"/>
        <w:spacing w:line="600" w:lineRule="exact"/>
        <w:ind w:left="0" w:right="0" w:rightChars="0"/>
        <w:jc w:val="center"/>
        <w:outlineLvl w:val="9"/>
        <w:rPr>
          <w:rFonts w:hint="eastAsia" w:ascii="Times New Roman" w:hAnsi="Times New Roman" w:eastAsia="方正小标宋简体" w:cs="方正小标宋简体"/>
          <w:sz w:val="44"/>
          <w:szCs w:val="44"/>
          <w:lang w:eastAsia="zh-CN"/>
        </w:rPr>
      </w:pPr>
    </w:p>
    <w:p w14:paraId="150181C4">
      <w:pPr>
        <w:keepNext w:val="0"/>
        <w:keepLines w:val="0"/>
        <w:pageBreakBefore w:val="0"/>
        <w:kinsoku/>
        <w:wordWrap/>
        <w:overflowPunct/>
        <w:topLinePunct w:val="0"/>
        <w:bidi w:val="0"/>
        <w:spacing w:line="600" w:lineRule="exact"/>
        <w:ind w:left="0" w:leftChars="0" w:right="0" w:rightChars="0" w:firstLine="0" w:firstLineChars="0"/>
        <w:jc w:val="center"/>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商丘</w:t>
      </w:r>
      <w:r>
        <w:rPr>
          <w:rFonts w:hint="eastAsia" w:ascii="Times New Roman" w:hAnsi="Times New Roman" w:eastAsia="方正小标宋简体" w:cs="方正小标宋简体"/>
          <w:sz w:val="44"/>
          <w:szCs w:val="44"/>
        </w:rPr>
        <w:t>市</w:t>
      </w:r>
      <w:r>
        <w:rPr>
          <w:rFonts w:hint="eastAsia" w:ascii="Times New Roman" w:hAnsi="Times New Roman" w:eastAsia="方正小标宋简体" w:cs="方正小标宋简体"/>
          <w:sz w:val="44"/>
          <w:szCs w:val="44"/>
          <w:lang w:eastAsia="zh-CN"/>
        </w:rPr>
        <w:t>探索推进</w:t>
      </w:r>
      <w:r>
        <w:rPr>
          <w:rFonts w:hint="eastAsia" w:ascii="Times New Roman" w:hAnsi="Times New Roman" w:eastAsia="方正小标宋简体" w:cs="方正小标宋简体"/>
          <w:sz w:val="44"/>
          <w:szCs w:val="44"/>
        </w:rPr>
        <w:t>“一业一证”</w:t>
      </w:r>
      <w:r>
        <w:rPr>
          <w:rFonts w:hint="eastAsia" w:ascii="Times New Roman" w:hAnsi="Times New Roman" w:eastAsia="方正小标宋简体" w:cs="方正小标宋简体"/>
          <w:sz w:val="44"/>
          <w:szCs w:val="44"/>
          <w:lang w:eastAsia="zh-CN"/>
        </w:rPr>
        <w:t>综合</w:t>
      </w:r>
      <w:r>
        <w:rPr>
          <w:rFonts w:hint="eastAsia" w:ascii="Times New Roman" w:hAnsi="Times New Roman" w:eastAsia="方正小标宋简体" w:cs="方正小标宋简体"/>
          <w:sz w:val="44"/>
          <w:szCs w:val="44"/>
        </w:rPr>
        <w:t>改革</w:t>
      </w:r>
    </w:p>
    <w:p w14:paraId="6304C688">
      <w:pPr>
        <w:keepNext w:val="0"/>
        <w:keepLines w:val="0"/>
        <w:pageBreakBefore w:val="0"/>
        <w:kinsoku/>
        <w:wordWrap/>
        <w:overflowPunct/>
        <w:topLinePunct w:val="0"/>
        <w:bidi w:val="0"/>
        <w:spacing w:line="600" w:lineRule="exact"/>
        <w:ind w:left="0" w:leftChars="0" w:right="0" w:rightChars="0" w:firstLine="0" w:firstLineChars="0"/>
        <w:jc w:val="center"/>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助力</w:t>
      </w:r>
      <w:r>
        <w:rPr>
          <w:rFonts w:hint="eastAsia" w:ascii="Times New Roman" w:hAnsi="Times New Roman" w:eastAsia="方正小标宋简体" w:cs="方正小标宋简体"/>
          <w:sz w:val="44"/>
          <w:szCs w:val="44"/>
          <w:lang w:eastAsia="zh-CN"/>
        </w:rPr>
        <w:t>企业开办跑出“加速度”</w:t>
      </w:r>
    </w:p>
    <w:p w14:paraId="6D7A2E84">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Times New Roman" w:hAnsi="Times New Roman" w:eastAsia="楷体_GB2312" w:cs="楷体_GB2312"/>
          <w:sz w:val="32"/>
          <w:szCs w:val="32"/>
          <w:lang w:val="en-US" w:eastAsia="zh-CN"/>
        </w:rPr>
      </w:pPr>
    </w:p>
    <w:p w14:paraId="479D56A1">
      <w:pPr>
        <w:keepNext w:val="0"/>
        <w:keepLines w:val="0"/>
        <w:pageBreakBefore w:val="0"/>
        <w:widowControl w:val="0"/>
        <w:suppressLineNumbers w:val="0"/>
        <w:wordWrap/>
        <w:overflowPunct/>
        <w:topLinePunct w:val="0"/>
        <w:bidi w:val="0"/>
        <w:spacing w:line="240" w:lineRule="auto"/>
        <w:ind w:left="0" w:right="0" w:rightChars="0" w:firstLine="640" w:firstLineChars="200"/>
        <w:jc w:val="both"/>
        <w:outlineLvl w:val="9"/>
        <w:rPr>
          <w:rFonts w:hint="eastAsia" w:ascii="Times New Roman" w:hAnsi="Times New Roman" w:eastAsia="楷体_GB2312" w:cs="楷体_GB2312"/>
          <w:sz w:val="32"/>
          <w:szCs w:val="32"/>
          <w:shd w:val="clear" w:color="auto" w:fill="auto"/>
          <w:lang w:val="en-US" w:eastAsia="zh-CN"/>
        </w:rPr>
      </w:pPr>
      <w:r>
        <w:rPr>
          <w:rFonts w:hint="eastAsia" w:ascii="黑体" w:hAnsi="黑体" w:eastAsia="黑体" w:cs="黑体"/>
          <w:b w:val="0"/>
          <w:bCs w:val="0"/>
          <w:color w:val="auto"/>
          <w:sz w:val="32"/>
          <w:szCs w:val="32"/>
          <w:highlight w:val="none"/>
          <w:lang w:val="en-US" w:eastAsia="zh-CN"/>
        </w:rPr>
        <w:t>推荐词：</w:t>
      </w:r>
      <w:r>
        <w:rPr>
          <w:rFonts w:hint="eastAsia" w:ascii="Times New Roman" w:hAnsi="Times New Roman" w:eastAsia="楷体_GB2312" w:cs="楷体_GB2312"/>
          <w:b w:val="0"/>
          <w:bCs w:val="0"/>
          <w:color w:val="auto"/>
          <w:sz w:val="32"/>
          <w:szCs w:val="32"/>
          <w:highlight w:val="none"/>
          <w:lang w:val="en-US" w:eastAsia="zh-CN"/>
        </w:rPr>
        <w:t>商丘市探索推进“一业一证”综合改革，通过优化审批流程、实行证照联办等措施将多项许可证整合为一张行业综合许可凭证，“一张综合证”即多项行政许可的效力集成。此项改革，实现了减时限、减环节、减材料、降成本、提效率，有效破解了企业开办过程中存在的“流程繁琐、耗时较长、成本高昂”等难题，让市场主体头疼的“一堆证”问题彻底得以解决，为市场经营主体发展铺就了“快车道”。</w:t>
      </w:r>
    </w:p>
    <w:p w14:paraId="3EA0FF5B">
      <w:pPr>
        <w:pStyle w:val="10"/>
        <w:keepNext w:val="0"/>
        <w:keepLines w:val="0"/>
        <w:pageBreakBefore w:val="0"/>
        <w:widowControl w:val="0"/>
        <w:kinsoku w:val="0"/>
        <w:wordWrap/>
        <w:overflowPunct/>
        <w:topLinePunct w:val="0"/>
        <w:autoSpaceDE w:val="0"/>
        <w:autoSpaceDN w:val="0"/>
        <w:bidi w:val="0"/>
        <w:adjustRightInd/>
        <w:snapToGrid/>
        <w:spacing w:line="240" w:lineRule="auto"/>
        <w:ind w:left="0" w:right="0" w:rightChars="0" w:firstLine="640" w:firstLineChars="200"/>
        <w:jc w:val="both"/>
        <w:textAlignment w:val="baseline"/>
        <w:outlineLvl w:val="9"/>
        <w:rPr>
          <w:rFonts w:hint="eastAsia" w:ascii="Times New Roman" w:hAnsi="Times New Roman" w:eastAsia="黑体" w:cs="黑体"/>
          <w:snapToGrid/>
          <w:color w:val="000000"/>
          <w:spacing w:val="0"/>
          <w:kern w:val="0"/>
          <w:sz w:val="32"/>
          <w:szCs w:val="32"/>
          <w:lang w:val="en-US" w:eastAsia="zh-CN" w:bidi="ar-SA"/>
        </w:rPr>
      </w:pPr>
      <w:r>
        <w:rPr>
          <w:rFonts w:hint="eastAsia" w:ascii="Times New Roman" w:hAnsi="Times New Roman" w:eastAsia="黑体" w:cs="黑体"/>
          <w:snapToGrid/>
          <w:color w:val="000000"/>
          <w:spacing w:val="0"/>
          <w:kern w:val="0"/>
          <w:sz w:val="32"/>
          <w:szCs w:val="32"/>
          <w:lang w:val="en-US" w:eastAsia="zh-CN" w:bidi="ar-SA"/>
        </w:rPr>
        <w:t>一、实施背景</w:t>
      </w:r>
    </w:p>
    <w:p w14:paraId="6E9FADF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firstLineChars="200"/>
        <w:jc w:val="both"/>
        <w:textAlignment w:val="baseline"/>
        <w:outlineLvl w:val="9"/>
        <w:rPr>
          <w:rFonts w:hint="default" w:ascii="Times New Roman" w:hAnsi="Times New Roman" w:eastAsia="仿宋_GB2312" w:cs="Times New Roman"/>
          <w:snapToGrid/>
          <w:color w:val="auto"/>
          <w:spacing w:val="0"/>
          <w:kern w:val="0"/>
          <w:sz w:val="32"/>
          <w:szCs w:val="32"/>
          <w:lang w:val="en-US" w:eastAsia="zh-CN" w:bidi="ar-SA"/>
        </w:rPr>
      </w:pPr>
      <w:r>
        <w:rPr>
          <w:rFonts w:hint="default" w:ascii="Times New Roman" w:hAnsi="Times New Roman" w:eastAsia="仿宋_GB2312" w:cs="Times New Roman"/>
          <w:snapToGrid/>
          <w:color w:val="000000"/>
          <w:spacing w:val="0"/>
          <w:kern w:val="0"/>
          <w:sz w:val="32"/>
          <w:szCs w:val="32"/>
          <w:lang w:val="en-US" w:eastAsia="zh-CN" w:bidi="ar-SA"/>
        </w:rPr>
        <w:t>今</w:t>
      </w:r>
      <w:r>
        <w:rPr>
          <w:rFonts w:hint="default" w:ascii="Times New Roman" w:hAnsi="Times New Roman" w:eastAsia="仿宋_GB2312" w:cs="Times New Roman"/>
          <w:snapToGrid/>
          <w:color w:val="auto"/>
          <w:spacing w:val="0"/>
          <w:kern w:val="0"/>
          <w:sz w:val="32"/>
          <w:szCs w:val="32"/>
          <w:lang w:val="en-US" w:eastAsia="zh-CN" w:bidi="ar-SA"/>
        </w:rPr>
        <w:t>年以来，</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snapToGrid/>
          <w:color w:val="auto"/>
          <w:spacing w:val="0"/>
          <w:kern w:val="0"/>
          <w:sz w:val="32"/>
          <w:szCs w:val="32"/>
          <w:lang w:val="en-US" w:eastAsia="zh-CN" w:bidi="ar-SA"/>
        </w:rPr>
        <w:t>进一步增强市场信心、提振社会预期</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napToGrid/>
          <w:color w:val="auto"/>
          <w:spacing w:val="0"/>
          <w:kern w:val="0"/>
          <w:sz w:val="32"/>
          <w:szCs w:val="32"/>
          <w:lang w:val="en-US" w:eastAsia="zh-CN" w:bidi="ar-SA"/>
        </w:rPr>
        <w:t>商丘</w:t>
      </w:r>
      <w:r>
        <w:rPr>
          <w:rFonts w:hint="default" w:ascii="Times New Roman" w:hAnsi="Times New Roman" w:eastAsia="仿宋_GB2312" w:cs="Times New Roman"/>
          <w:snapToGrid/>
          <w:color w:val="000000"/>
          <w:spacing w:val="0"/>
          <w:kern w:val="0"/>
          <w:sz w:val="32"/>
          <w:szCs w:val="32"/>
          <w:lang w:val="en-US" w:eastAsia="zh-CN" w:bidi="ar-SA"/>
        </w:rPr>
        <w:t>市以加快融入服务全国统一大市场为契机，在坚持法治原则、便民原则、责任原则和严管原则基础</w:t>
      </w:r>
      <w:r>
        <w:rPr>
          <w:rFonts w:hint="default" w:ascii="Times New Roman" w:hAnsi="Times New Roman" w:eastAsia="仿宋_GB2312" w:cs="Times New Roman"/>
          <w:snapToGrid/>
          <w:color w:val="auto"/>
          <w:spacing w:val="0"/>
          <w:kern w:val="0"/>
          <w:sz w:val="32"/>
          <w:szCs w:val="32"/>
          <w:lang w:val="en-US" w:eastAsia="zh-CN" w:bidi="ar-SA"/>
        </w:rPr>
        <w:t>上，以审批服务便民化、涉企服务优质化为导向，探索推进行政审</w:t>
      </w:r>
      <w:r>
        <w:rPr>
          <w:rFonts w:hint="eastAsia" w:ascii="仿宋_GB2312" w:hAnsi="仿宋_GB2312" w:eastAsia="仿宋_GB2312" w:cs="仿宋_GB2312"/>
          <w:snapToGrid/>
          <w:color w:val="auto"/>
          <w:spacing w:val="0"/>
          <w:kern w:val="0"/>
          <w:sz w:val="32"/>
          <w:szCs w:val="32"/>
          <w:lang w:val="en-US" w:eastAsia="zh-CN" w:bidi="ar-SA"/>
        </w:rPr>
        <w:t>批制度“一业一证”综合改革，破解“准入不准营”难题，进一步激发市场主体活力。</w:t>
      </w:r>
    </w:p>
    <w:p w14:paraId="4F94A9E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firstLineChars="200"/>
        <w:jc w:val="both"/>
        <w:textAlignment w:val="baseline"/>
        <w:outlineLvl w:val="9"/>
        <w:rPr>
          <w:rFonts w:hint="eastAsia" w:ascii="Times New Roman" w:hAnsi="Times New Roman" w:eastAsia="仿宋_GB2312" w:cs="仿宋_GB2312"/>
          <w:b/>
          <w:bCs/>
          <w:snapToGrid/>
          <w:color w:val="000000"/>
          <w:spacing w:val="0"/>
          <w:kern w:val="0"/>
          <w:sz w:val="32"/>
          <w:szCs w:val="32"/>
          <w:lang w:val="en-US" w:eastAsia="zh-CN" w:bidi="ar-SA"/>
        </w:rPr>
      </w:pPr>
      <w:r>
        <w:rPr>
          <w:rFonts w:hint="eastAsia" w:ascii="Times New Roman" w:hAnsi="Times New Roman" w:eastAsia="黑体" w:cs="黑体"/>
          <w:sz w:val="32"/>
          <w:szCs w:val="32"/>
          <w:lang w:eastAsia="zh-CN"/>
        </w:rPr>
        <w:t>二、主要做法</w:t>
      </w:r>
    </w:p>
    <w:p w14:paraId="7367D7C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640" w:firstLineChars="200"/>
        <w:jc w:val="both"/>
        <w:textAlignment w:val="baseline"/>
        <w:outlineLvl w:val="9"/>
        <w:rPr>
          <w:rFonts w:hint="default" w:ascii="Times New Roman" w:hAnsi="Times New Roman" w:eastAsia="仿宋_GB2312" w:cs="仿宋_GB2312"/>
          <w:b w:val="0"/>
          <w:bCs w:val="0"/>
          <w:color w:val="FF0000"/>
          <w:kern w:val="0"/>
          <w:sz w:val="32"/>
          <w:szCs w:val="32"/>
          <w:lang w:val="en-US" w:eastAsia="zh-CN" w:bidi="ar"/>
        </w:rPr>
      </w:pPr>
      <w:r>
        <w:rPr>
          <w:rFonts w:hint="eastAsia" w:ascii="Times New Roman" w:hAnsi="Times New Roman" w:eastAsia="楷体_GB2312" w:cs="楷体_GB2312"/>
          <w:b w:val="0"/>
          <w:bCs w:val="0"/>
          <w:snapToGrid/>
          <w:color w:val="000000"/>
          <w:spacing w:val="0"/>
          <w:kern w:val="0"/>
          <w:sz w:val="32"/>
          <w:szCs w:val="32"/>
          <w:lang w:val="en-US" w:eastAsia="zh-CN" w:bidi="ar-SA"/>
        </w:rPr>
        <w:t>（一）改革许可模式，</w:t>
      </w:r>
      <w:r>
        <w:rPr>
          <w:rFonts w:hint="eastAsia" w:ascii="Times New Roman" w:hAnsi="Times New Roman" w:eastAsia="楷体_GB2312" w:cs="楷体_GB2312"/>
          <w:b w:val="0"/>
          <w:bCs w:val="0"/>
          <w:snapToGrid/>
          <w:color w:val="auto"/>
          <w:spacing w:val="0"/>
          <w:kern w:val="0"/>
          <w:sz w:val="32"/>
          <w:szCs w:val="32"/>
          <w:lang w:val="en-US" w:eastAsia="zh-CN" w:bidi="ar-SA"/>
        </w:rPr>
        <w:t>推行</w:t>
      </w:r>
      <w:r>
        <w:rPr>
          <w:rFonts w:hint="eastAsia" w:ascii="Times New Roman" w:hAnsi="Times New Roman" w:eastAsia="楷体_GB2312" w:cs="楷体_GB2312"/>
          <w:b w:val="0"/>
          <w:bCs w:val="0"/>
          <w:snapToGrid/>
          <w:color w:val="000000"/>
          <w:spacing w:val="0"/>
          <w:kern w:val="0"/>
          <w:sz w:val="32"/>
          <w:szCs w:val="32"/>
          <w:lang w:val="en-US" w:eastAsia="zh-CN" w:bidi="ar-SA"/>
        </w:rPr>
        <w:t>“一业一证”。</w:t>
      </w:r>
      <w:r>
        <w:rPr>
          <w:rFonts w:hint="default" w:ascii="Times New Roman" w:hAnsi="Times New Roman" w:eastAsia="仿宋_GB2312" w:cs="Times New Roman"/>
          <w:snapToGrid/>
          <w:color w:val="000000"/>
          <w:spacing w:val="0"/>
          <w:kern w:val="0"/>
          <w:sz w:val="32"/>
          <w:szCs w:val="32"/>
          <w:lang w:val="en-US" w:eastAsia="zh-CN" w:bidi="ar-SA"/>
        </w:rPr>
        <w:t>对同时申办药品经营、食品经营、医疗器械经营</w:t>
      </w:r>
      <w:r>
        <w:rPr>
          <w:rFonts w:hint="eastAsia" w:ascii="Times New Roman" w:hAnsi="Times New Roman" w:eastAsia="仿宋_GB2312" w:cs="Times New Roman"/>
          <w:snapToGrid/>
          <w:color w:val="000000"/>
          <w:spacing w:val="0"/>
          <w:kern w:val="0"/>
          <w:sz w:val="32"/>
          <w:szCs w:val="32"/>
          <w:lang w:val="en-US" w:eastAsia="zh-CN" w:bidi="ar-SA"/>
        </w:rPr>
        <w:t>等</w:t>
      </w:r>
      <w:r>
        <w:rPr>
          <w:rFonts w:hint="default" w:ascii="Times New Roman" w:hAnsi="Times New Roman" w:eastAsia="仿宋_GB2312" w:cs="Times New Roman"/>
          <w:snapToGrid/>
          <w:color w:val="000000"/>
          <w:spacing w:val="0"/>
          <w:kern w:val="0"/>
          <w:sz w:val="32"/>
          <w:szCs w:val="32"/>
          <w:lang w:val="en-US" w:eastAsia="zh-CN" w:bidi="ar-SA"/>
        </w:rPr>
        <w:t>两个以上项目的经营主体，将原来分别核发单一《药品经营许可证》《医疗器械经营许可证》等许可事项，</w:t>
      </w:r>
      <w:r>
        <w:rPr>
          <w:rFonts w:hint="default" w:ascii="Times New Roman" w:hAnsi="Times New Roman" w:eastAsia="仿宋_GB2312" w:cs="Times New Roman"/>
          <w:snapToGrid/>
          <w:color w:val="000000"/>
          <w:spacing w:val="0"/>
          <w:kern w:val="0"/>
          <w:sz w:val="32"/>
          <w:szCs w:val="32"/>
          <w:highlight w:val="none"/>
          <w:lang w:val="en-US" w:eastAsia="zh-CN" w:bidi="ar-SA"/>
        </w:rPr>
        <w:t>整合为一张行业综合许可凭证</w:t>
      </w:r>
      <w:r>
        <w:rPr>
          <w:rFonts w:hint="eastAsia" w:ascii="Times New Roman" w:hAnsi="Times New Roman" w:eastAsia="仿宋_GB2312" w:cs="Times New Roman"/>
          <w:snapToGrid/>
          <w:color w:val="000000"/>
          <w:spacing w:val="0"/>
          <w:kern w:val="0"/>
          <w:sz w:val="32"/>
          <w:szCs w:val="32"/>
          <w:highlight w:val="none"/>
          <w:lang w:val="en-US" w:eastAsia="zh-CN" w:bidi="ar-SA"/>
        </w:rPr>
        <w:t>，并将各部门核准的许可证存储在企业档案系统，以备企业跨省经营核验使用</w:t>
      </w:r>
      <w:r>
        <w:rPr>
          <w:rFonts w:hint="eastAsia" w:ascii="仿宋_GB2312" w:hAnsi="仿宋_GB2312" w:eastAsia="仿宋_GB2312" w:cs="仿宋_GB2312"/>
          <w:snapToGrid/>
          <w:color w:val="000000"/>
          <w:spacing w:val="0"/>
          <w:kern w:val="0"/>
          <w:sz w:val="32"/>
          <w:szCs w:val="32"/>
          <w:highlight w:val="none"/>
          <w:lang w:val="en-US" w:eastAsia="zh-CN" w:bidi="ar-SA"/>
        </w:rPr>
        <w:t>。</w:t>
      </w:r>
      <w:r>
        <w:rPr>
          <w:rFonts w:hint="eastAsia" w:ascii="仿宋_GB2312" w:hAnsi="仿宋_GB2312" w:eastAsia="仿宋_GB2312" w:cs="仿宋_GB2312"/>
          <w:snapToGrid/>
          <w:color w:val="000000"/>
          <w:spacing w:val="0"/>
          <w:kern w:val="0"/>
          <w:sz w:val="32"/>
          <w:szCs w:val="32"/>
          <w:lang w:val="en-US" w:eastAsia="zh-CN" w:bidi="ar-SA"/>
        </w:rPr>
        <w:t>“一业一证”许可证核定的经营资质</w:t>
      </w:r>
      <w:r>
        <w:rPr>
          <w:rFonts w:hint="default" w:ascii="Times New Roman" w:hAnsi="Times New Roman" w:eastAsia="仿宋_GB2312" w:cs="Times New Roman"/>
          <w:snapToGrid/>
          <w:color w:val="000000"/>
          <w:spacing w:val="0"/>
          <w:kern w:val="0"/>
          <w:sz w:val="32"/>
          <w:szCs w:val="32"/>
          <w:lang w:val="en-US" w:eastAsia="zh-CN" w:bidi="ar-SA"/>
        </w:rPr>
        <w:t>与各单一许可证核定的经营资质具有同等法律效力</w:t>
      </w:r>
      <w:r>
        <w:rPr>
          <w:rFonts w:hint="eastAsia" w:ascii="Times New Roman" w:hAnsi="Times New Roman" w:eastAsia="仿宋_GB2312" w:cs="Times New Roman"/>
          <w:snapToGrid/>
          <w:color w:val="000000"/>
          <w:spacing w:val="0"/>
          <w:kern w:val="0"/>
          <w:sz w:val="32"/>
          <w:szCs w:val="32"/>
          <w:lang w:val="en-US" w:eastAsia="zh-CN" w:bidi="ar-SA"/>
        </w:rPr>
        <w:t>，</w:t>
      </w:r>
      <w:r>
        <w:rPr>
          <w:rFonts w:hint="default" w:ascii="Times New Roman" w:hAnsi="Times New Roman" w:eastAsia="仿宋_GB2312" w:cs="Times New Roman"/>
          <w:snapToGrid/>
          <w:color w:val="000000"/>
          <w:spacing w:val="0"/>
          <w:kern w:val="0"/>
          <w:sz w:val="32"/>
          <w:szCs w:val="32"/>
          <w:lang w:val="en-US" w:eastAsia="zh-CN" w:bidi="ar-SA"/>
        </w:rPr>
        <w:t>主营项目符合规定的，可认定兼营项目同类条件符合规定。</w:t>
      </w:r>
    </w:p>
    <w:p w14:paraId="7D81F387">
      <w:pPr>
        <w:keepNext w:val="0"/>
        <w:keepLines w:val="0"/>
        <w:pageBreakBefore w:val="0"/>
        <w:widowControl w:val="0"/>
        <w:suppressLineNumbers w:val="0"/>
        <w:wordWrap/>
        <w:overflowPunct/>
        <w:topLinePunct w:val="0"/>
        <w:bidi w:val="0"/>
        <w:spacing w:line="240" w:lineRule="auto"/>
        <w:ind w:left="0" w:right="0" w:rightChars="0" w:firstLine="640" w:firstLineChars="200"/>
        <w:jc w:val="both"/>
        <w:outlineLvl w:val="9"/>
        <w:rPr>
          <w:rFonts w:hint="eastAsia" w:ascii="Times New Roman" w:hAnsi="Times New Roman" w:eastAsia="仿宋_GB2312" w:cs="Times New Roman"/>
          <w:snapToGrid/>
          <w:color w:val="000000"/>
          <w:spacing w:val="0"/>
          <w:kern w:val="0"/>
          <w:sz w:val="32"/>
          <w:szCs w:val="32"/>
          <w:lang w:val="en-US" w:eastAsia="zh-CN" w:bidi="ar-SA"/>
        </w:rPr>
      </w:pPr>
      <w:r>
        <w:rPr>
          <w:rFonts w:hint="eastAsia" w:ascii="Times New Roman" w:hAnsi="Times New Roman" w:eastAsia="楷体_GB2312" w:cs="楷体_GB2312"/>
          <w:b w:val="0"/>
          <w:bCs w:val="0"/>
          <w:snapToGrid/>
          <w:color w:val="000000"/>
          <w:spacing w:val="0"/>
          <w:kern w:val="0"/>
          <w:sz w:val="32"/>
          <w:szCs w:val="32"/>
          <w:lang w:val="en-US" w:eastAsia="zh-CN" w:bidi="ar-SA"/>
        </w:rPr>
        <w:t>（二）优化审批流程，实现集中核查。</w:t>
      </w:r>
      <w:r>
        <w:rPr>
          <w:rFonts w:hint="eastAsia" w:ascii="Times New Roman" w:hAnsi="Times New Roman" w:eastAsia="仿宋_GB2312" w:cs="Times New Roman"/>
          <w:snapToGrid/>
          <w:color w:val="000000"/>
          <w:spacing w:val="0"/>
          <w:kern w:val="0"/>
          <w:sz w:val="32"/>
          <w:szCs w:val="32"/>
          <w:lang w:val="en-US" w:eastAsia="zh-CN" w:bidi="ar-SA"/>
        </w:rPr>
        <w:t>创新开展“一窗受理、一次申报、一并审查、一起核查、一个证件”审批运行机制，企业申请材料同比减少70%，审批流程由3个缩减为1个，大幅度缩短审批时限、降低审批成本。同时，推动3个部门多次现场核查转变为1个部门集中一次现场核查，实现“进一次门，办所有事”。</w:t>
      </w:r>
    </w:p>
    <w:p w14:paraId="1F36322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640" w:firstLineChars="200"/>
        <w:jc w:val="both"/>
        <w:textAlignment w:val="baseline"/>
        <w:outlineLvl w:val="9"/>
        <w:rPr>
          <w:rFonts w:hint="eastAsia" w:ascii="Times New Roman" w:hAnsi="Times New Roman" w:eastAsia="仿宋_GB2312" w:cs="Times New Roman"/>
          <w:snapToGrid/>
          <w:color w:val="000000"/>
          <w:spacing w:val="0"/>
          <w:kern w:val="0"/>
          <w:sz w:val="32"/>
          <w:szCs w:val="32"/>
          <w:lang w:val="en-US" w:eastAsia="zh-CN" w:bidi="ar-SA"/>
        </w:rPr>
      </w:pPr>
      <w:r>
        <w:rPr>
          <w:rFonts w:hint="eastAsia" w:ascii="Times New Roman" w:hAnsi="Times New Roman" w:eastAsia="楷体_GB2312" w:cs="楷体_GB2312"/>
          <w:b w:val="0"/>
          <w:bCs w:val="0"/>
          <w:snapToGrid/>
          <w:color w:val="000000"/>
          <w:spacing w:val="0"/>
          <w:kern w:val="0"/>
          <w:sz w:val="32"/>
          <w:szCs w:val="32"/>
          <w:lang w:val="en-US" w:eastAsia="zh-CN" w:bidi="ar-SA"/>
        </w:rPr>
        <w:t>（三）简化办事程序，实行证照联办。</w:t>
      </w:r>
      <w:r>
        <w:rPr>
          <w:rFonts w:hint="eastAsia" w:ascii="Times New Roman" w:hAnsi="Times New Roman" w:eastAsia="仿宋_GB2312" w:cs="Times New Roman"/>
          <w:snapToGrid/>
          <w:color w:val="000000"/>
          <w:spacing w:val="0"/>
          <w:kern w:val="0"/>
          <w:sz w:val="32"/>
          <w:szCs w:val="32"/>
          <w:lang w:val="en-US" w:eastAsia="zh-CN" w:bidi="ar-SA"/>
        </w:rPr>
        <w:t>申请人申办营业执照时，经营范围涉及药品和医疗器械等多个经营事项情形的，办理人员一次性告知申请人需提交的申请资料规范和现场核查标准，实现符合条件的市场主体“一并办结、证照同发”，企业通过获得涵盖所有许可的“综合证”，真正实现“拿证即开业”。</w:t>
      </w:r>
    </w:p>
    <w:p w14:paraId="12801876">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firstLineChars="200"/>
        <w:jc w:val="both"/>
        <w:textAlignment w:val="baseline"/>
        <w:outlineLvl w:val="9"/>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三、取得成效</w:t>
      </w:r>
    </w:p>
    <w:p w14:paraId="5FEA227F">
      <w:pPr>
        <w:pStyle w:val="8"/>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eastAsia" w:ascii="Times New Roman" w:hAnsi="Times New Roman" w:eastAsia="仿宋_GB2312" w:cs="Times New Roman"/>
          <w:snapToGrid/>
          <w:color w:val="000000"/>
          <w:spacing w:val="0"/>
          <w:kern w:val="0"/>
          <w:sz w:val="32"/>
          <w:szCs w:val="32"/>
          <w:lang w:val="en-US" w:eastAsia="zh-CN" w:bidi="ar-SA"/>
        </w:rPr>
        <w:t>“一业一证”改革实施以来，在药品经营行业全面</w:t>
      </w:r>
      <w:r>
        <w:rPr>
          <w:rFonts w:hint="eastAsia" w:ascii="仿宋_GB2312" w:hAnsi="仿宋_GB2312" w:eastAsia="仿宋_GB2312" w:cs="仿宋_GB2312"/>
          <w:snapToGrid/>
          <w:color w:val="000000"/>
          <w:spacing w:val="0"/>
          <w:kern w:val="0"/>
          <w:sz w:val="32"/>
          <w:szCs w:val="32"/>
          <w:lang w:val="en-US" w:eastAsia="zh-CN" w:bidi="ar-SA"/>
        </w:rPr>
        <w:t>推行“一业一证、一企一证、一证一码”，</w:t>
      </w:r>
      <w:r>
        <w:rPr>
          <w:rFonts w:hint="eastAsia" w:ascii="Times New Roman" w:hAnsi="Times New Roman" w:eastAsia="仿宋_GB2312" w:cs="Times New Roman"/>
          <w:snapToGrid/>
          <w:color w:val="000000"/>
          <w:spacing w:val="0"/>
          <w:kern w:val="0"/>
          <w:sz w:val="32"/>
          <w:szCs w:val="32"/>
          <w:lang w:val="en-US" w:eastAsia="zh-CN" w:bidi="ar-SA"/>
        </w:rPr>
        <w:t>全部</w:t>
      </w:r>
      <w:r>
        <w:rPr>
          <w:rFonts w:hint="default" w:ascii="Times New Roman" w:hAnsi="Times New Roman" w:eastAsia="仿宋_GB2312" w:cs="Times New Roman"/>
          <w:snapToGrid/>
          <w:color w:val="000000"/>
          <w:spacing w:val="0"/>
          <w:kern w:val="0"/>
          <w:sz w:val="32"/>
          <w:szCs w:val="32"/>
          <w:lang w:val="en-US" w:eastAsia="zh-CN" w:bidi="ar-SA"/>
        </w:rPr>
        <w:t>实现一表申请、一次提交</w:t>
      </w:r>
      <w:r>
        <w:rPr>
          <w:rFonts w:hint="eastAsia" w:ascii="Times New Roman" w:hAnsi="Times New Roman" w:eastAsia="仿宋_GB2312" w:cs="Times New Roman"/>
          <w:snapToGrid/>
          <w:color w:val="000000"/>
          <w:spacing w:val="0"/>
          <w:kern w:val="0"/>
          <w:sz w:val="32"/>
          <w:szCs w:val="32"/>
          <w:lang w:val="en-US" w:eastAsia="zh-CN" w:bidi="ar-SA"/>
        </w:rPr>
        <w:t>、一窗出证、一并核查；创新实施“一窗受理”等审批运行机制，审批时限从法定15个工作日压缩至1个工作日，实现全省最短时效。截至目前，全市已办理“一业一证”综合许可业务</w:t>
      </w:r>
      <w:r>
        <w:rPr>
          <w:rFonts w:hint="default" w:ascii="Times New Roman" w:hAnsi="Times New Roman" w:eastAsia="仿宋_GB2312" w:cs="Times New Roman"/>
          <w:snapToGrid/>
          <w:color w:val="000000"/>
          <w:spacing w:val="0"/>
          <w:kern w:val="0"/>
          <w:sz w:val="32"/>
          <w:szCs w:val="32"/>
          <w:lang w:val="en-US" w:eastAsia="zh-CN" w:bidi="ar-SA"/>
        </w:rPr>
        <w:t>219</w:t>
      </w:r>
      <w:r>
        <w:rPr>
          <w:rFonts w:hint="eastAsia" w:ascii="Times New Roman" w:hAnsi="Times New Roman" w:eastAsia="仿宋_GB2312" w:cs="Times New Roman"/>
          <w:snapToGrid/>
          <w:color w:val="000000"/>
          <w:spacing w:val="0"/>
          <w:kern w:val="0"/>
          <w:sz w:val="32"/>
          <w:szCs w:val="32"/>
          <w:lang w:val="en-US" w:eastAsia="zh-CN" w:bidi="ar-SA"/>
        </w:rPr>
        <w:t>件，实现了企业进一次门办多样事、一次办妥的服务目标，有效降低了企业办事时间和开办成本。</w:t>
      </w:r>
    </w:p>
    <w:p w14:paraId="27C88868">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8</w:t>
      </w:r>
    </w:p>
    <w:p w14:paraId="3330C85E">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Times New Roman" w:hAnsi="Times New Roman" w:eastAsia="仿宋_GB2312" w:cs="Times New Roman"/>
          <w:kern w:val="2"/>
          <w:sz w:val="32"/>
          <w:szCs w:val="32"/>
          <w:lang w:val="en-US" w:eastAsia="zh-CN" w:bidi="ar-SA"/>
        </w:rPr>
      </w:pPr>
    </w:p>
    <w:p w14:paraId="5A3A5996">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信阳市</w:t>
      </w:r>
      <w:r>
        <w:rPr>
          <w:rFonts w:hint="eastAsia" w:ascii="Times New Roman" w:hAnsi="Times New Roman" w:eastAsia="方正小标宋简体" w:cs="方正小标宋简体"/>
          <w:sz w:val="44"/>
          <w:szCs w:val="44"/>
          <w:lang w:val="en-US" w:eastAsia="zh-CN"/>
        </w:rPr>
        <w:t>探索两省毗邻地区合作发展经验</w:t>
      </w:r>
    </w:p>
    <w:p w14:paraId="2E2482F5">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开展“一河两岸”跨省协同新实践</w:t>
      </w:r>
    </w:p>
    <w:p w14:paraId="216899EF">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center"/>
        <w:textAlignment w:val="auto"/>
        <w:outlineLvl w:val="9"/>
        <w:rPr>
          <w:rFonts w:hint="eastAsia" w:ascii="Times New Roman" w:hAnsi="Times New Roman" w:eastAsia="方正小标宋简体" w:cs="方正小标宋简体"/>
          <w:i w:val="0"/>
          <w:iCs w:val="0"/>
          <w:caps w:val="0"/>
          <w:color w:val="404040"/>
          <w:spacing w:val="0"/>
          <w:sz w:val="32"/>
          <w:szCs w:val="32"/>
          <w:shd w:val="clear" w:color="auto" w:fill="FFFFFF"/>
          <w:lang w:val="en-US" w:eastAsia="zh-CN"/>
        </w:rPr>
      </w:pPr>
    </w:p>
    <w:p w14:paraId="469ABC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楷体_GB2312" w:cs="楷体_GB2312"/>
          <w:color w:val="auto"/>
          <w:sz w:val="32"/>
          <w:szCs w:val="32"/>
          <w:highlight w:val="none"/>
          <w:lang w:val="en-US" w:eastAsia="zh-CN"/>
        </w:rPr>
      </w:pPr>
      <w:r>
        <w:rPr>
          <w:rFonts w:hint="eastAsia" w:ascii="黑体" w:hAnsi="黑体" w:eastAsia="黑体" w:cs="黑体"/>
          <w:color w:val="auto"/>
          <w:sz w:val="32"/>
          <w:szCs w:val="32"/>
          <w:lang w:val="en-US" w:eastAsia="zh-CN"/>
        </w:rPr>
        <w:t>推荐词：</w:t>
      </w:r>
      <w:r>
        <w:rPr>
          <w:rFonts w:hint="eastAsia" w:ascii="Times New Roman" w:hAnsi="Times New Roman" w:eastAsia="楷体_GB2312" w:cs="楷体_GB2312"/>
          <w:b w:val="0"/>
          <w:bCs w:val="0"/>
          <w:color w:val="auto"/>
          <w:sz w:val="32"/>
          <w:szCs w:val="32"/>
          <w:lang w:val="en-US" w:eastAsia="zh-CN"/>
        </w:rPr>
        <w:t>信阳市固始县</w:t>
      </w:r>
      <w:r>
        <w:rPr>
          <w:rFonts w:hint="eastAsia" w:ascii="Times New Roman" w:hAnsi="Times New Roman" w:eastAsia="楷体_GB2312" w:cs="楷体_GB2312"/>
          <w:i w:val="0"/>
          <w:iCs w:val="0"/>
          <w:caps w:val="0"/>
          <w:color w:val="auto"/>
          <w:spacing w:val="0"/>
          <w:sz w:val="32"/>
          <w:szCs w:val="32"/>
          <w:shd w:val="clear" w:color="auto" w:fill="FFFFFF"/>
        </w:rPr>
        <w:t>锚定国家区域协调发展战略，</w:t>
      </w:r>
      <w:r>
        <w:rPr>
          <w:rFonts w:hint="eastAsia" w:ascii="Times New Roman" w:hAnsi="Times New Roman" w:eastAsia="楷体_GB2312" w:cs="楷体_GB2312"/>
          <w:b w:val="0"/>
          <w:bCs w:val="0"/>
          <w:i w:val="0"/>
          <w:iCs w:val="0"/>
          <w:caps w:val="0"/>
          <w:color w:val="auto"/>
          <w:spacing w:val="0"/>
          <w:sz w:val="32"/>
          <w:szCs w:val="32"/>
          <w:shd w:val="clear" w:color="auto" w:fill="FFFFFF"/>
        </w:rPr>
        <w:t>聚焦</w:t>
      </w:r>
      <w:r>
        <w:rPr>
          <w:rStyle w:val="7"/>
          <w:rFonts w:hint="eastAsia" w:ascii="Times New Roman" w:hAnsi="Times New Roman" w:eastAsia="楷体_GB2312" w:cs="楷体_GB2312"/>
          <w:b w:val="0"/>
          <w:bCs w:val="0"/>
          <w:i w:val="0"/>
          <w:iCs w:val="0"/>
          <w:caps w:val="0"/>
          <w:color w:val="auto"/>
          <w:spacing w:val="0"/>
          <w:sz w:val="32"/>
          <w:szCs w:val="32"/>
          <w:shd w:val="clear" w:color="auto" w:fill="FFFFFF"/>
        </w:rPr>
        <w:t>全国统一大市场建设</w:t>
      </w:r>
      <w:r>
        <w:rPr>
          <w:rFonts w:hint="eastAsia" w:ascii="Times New Roman" w:hAnsi="Times New Roman" w:eastAsia="楷体_GB2312" w:cs="楷体_GB2312"/>
          <w:b w:val="0"/>
          <w:bCs w:val="0"/>
          <w:i w:val="0"/>
          <w:iCs w:val="0"/>
          <w:caps w:val="0"/>
          <w:color w:val="auto"/>
          <w:spacing w:val="0"/>
          <w:sz w:val="32"/>
          <w:szCs w:val="32"/>
          <w:shd w:val="clear" w:color="auto" w:fill="FFFFFF"/>
        </w:rPr>
        <w:t>，</w:t>
      </w:r>
      <w:r>
        <w:rPr>
          <w:rFonts w:hint="eastAsia" w:ascii="Times New Roman" w:hAnsi="Times New Roman" w:eastAsia="楷体_GB2312" w:cs="楷体_GB2312"/>
          <w:b w:val="0"/>
          <w:bCs w:val="0"/>
          <w:color w:val="auto"/>
          <w:sz w:val="32"/>
          <w:szCs w:val="32"/>
          <w:lang w:val="en-US" w:eastAsia="zh-CN"/>
        </w:rPr>
        <w:t>携手安徽省六安市叶集区创新推进“一河两岸”省际毗邻合作区建设，以“五统一、一开放”为总遵循，</w:t>
      </w:r>
      <w:r>
        <w:rPr>
          <w:rFonts w:hint="eastAsia" w:ascii="Times New Roman" w:hAnsi="Times New Roman" w:eastAsia="楷体_GB2312" w:cs="楷体_GB2312"/>
          <w:b w:val="0"/>
          <w:bCs w:val="0"/>
          <w:i w:val="0"/>
          <w:iCs w:val="0"/>
          <w:caps w:val="0"/>
          <w:color w:val="auto"/>
          <w:spacing w:val="0"/>
          <w:sz w:val="32"/>
          <w:szCs w:val="32"/>
          <w:shd w:val="clear" w:color="auto" w:fill="FFFFFF"/>
          <w:lang w:eastAsia="zh-CN"/>
        </w:rPr>
        <w:t>构建</w:t>
      </w:r>
      <w:r>
        <w:rPr>
          <w:rStyle w:val="7"/>
          <w:rFonts w:hint="eastAsia" w:ascii="Times New Roman" w:hAnsi="Times New Roman" w:eastAsia="楷体_GB2312" w:cs="楷体_GB2312"/>
          <w:b w:val="0"/>
          <w:bCs w:val="0"/>
          <w:i w:val="0"/>
          <w:iCs w:val="0"/>
          <w:caps w:val="0"/>
          <w:color w:val="auto"/>
          <w:spacing w:val="0"/>
          <w:sz w:val="32"/>
          <w:szCs w:val="32"/>
          <w:shd w:val="clear" w:color="auto" w:fill="FFFFFF"/>
        </w:rPr>
        <w:t>“机制共谋、设施共建、产业共育、服务共享、生态共保”</w:t>
      </w:r>
      <w:r>
        <w:rPr>
          <w:rStyle w:val="7"/>
          <w:rFonts w:hint="eastAsia" w:ascii="Times New Roman" w:hAnsi="Times New Roman" w:eastAsia="楷体_GB2312" w:cs="楷体_GB2312"/>
          <w:b w:val="0"/>
          <w:bCs w:val="0"/>
          <w:i w:val="0"/>
          <w:iCs w:val="0"/>
          <w:caps w:val="0"/>
          <w:color w:val="auto"/>
          <w:spacing w:val="0"/>
          <w:sz w:val="32"/>
          <w:szCs w:val="32"/>
          <w:shd w:val="clear" w:color="auto" w:fill="FFFFFF"/>
          <w:lang w:eastAsia="zh-CN"/>
        </w:rPr>
        <w:t>五位一体协同体系</w:t>
      </w:r>
      <w:r>
        <w:rPr>
          <w:rFonts w:hint="eastAsia" w:ascii="Times New Roman" w:hAnsi="Times New Roman" w:eastAsia="楷体_GB2312" w:cs="楷体_GB2312"/>
          <w:b w:val="0"/>
          <w:bCs w:val="0"/>
          <w:i w:val="0"/>
          <w:iCs w:val="0"/>
          <w:caps w:val="0"/>
          <w:color w:val="auto"/>
          <w:spacing w:val="0"/>
          <w:sz w:val="32"/>
          <w:szCs w:val="32"/>
          <w:shd w:val="clear" w:color="auto" w:fill="FFFFFF"/>
        </w:rPr>
        <w:t>，</w:t>
      </w:r>
      <w:r>
        <w:rPr>
          <w:rFonts w:hint="eastAsia" w:ascii="Times New Roman" w:hAnsi="Times New Roman" w:eastAsia="楷体_GB2312" w:cs="楷体_GB2312"/>
          <w:b w:val="0"/>
          <w:bCs w:val="0"/>
          <w:i w:val="0"/>
          <w:iCs w:val="0"/>
          <w:caps w:val="0"/>
          <w:color w:val="auto"/>
          <w:spacing w:val="0"/>
          <w:sz w:val="32"/>
          <w:szCs w:val="32"/>
          <w:shd w:val="clear" w:color="auto" w:fill="FFFFFF"/>
          <w:lang w:eastAsia="zh-CN"/>
        </w:rPr>
        <w:t>成功</w:t>
      </w:r>
      <w:r>
        <w:rPr>
          <w:rFonts w:hint="eastAsia" w:ascii="Times New Roman" w:hAnsi="Times New Roman" w:eastAsia="楷体_GB2312" w:cs="楷体_GB2312"/>
          <w:b w:val="0"/>
          <w:bCs w:val="0"/>
          <w:i w:val="0"/>
          <w:iCs w:val="0"/>
          <w:caps w:val="0"/>
          <w:color w:val="auto"/>
          <w:spacing w:val="0"/>
          <w:sz w:val="32"/>
          <w:szCs w:val="32"/>
          <w:shd w:val="clear" w:color="auto" w:fill="FFFFFF"/>
        </w:rPr>
        <w:t>打造</w:t>
      </w:r>
      <w:r>
        <w:rPr>
          <w:rStyle w:val="7"/>
          <w:rFonts w:hint="eastAsia" w:ascii="Times New Roman" w:hAnsi="Times New Roman" w:eastAsia="楷体_GB2312" w:cs="楷体_GB2312"/>
          <w:b w:val="0"/>
          <w:bCs w:val="0"/>
          <w:i w:val="0"/>
          <w:iCs w:val="0"/>
          <w:caps w:val="0"/>
          <w:color w:val="auto"/>
          <w:spacing w:val="0"/>
          <w:sz w:val="32"/>
          <w:szCs w:val="32"/>
          <w:shd w:val="clear" w:color="auto" w:fill="FFFFFF"/>
        </w:rPr>
        <w:t>“一河两岸”跨省合作样板</w:t>
      </w:r>
      <w:r>
        <w:rPr>
          <w:rFonts w:hint="eastAsia" w:ascii="Times New Roman" w:hAnsi="Times New Roman" w:eastAsia="楷体_GB2312" w:cs="楷体_GB2312"/>
          <w:b w:val="0"/>
          <w:bCs w:val="0"/>
          <w:i w:val="0"/>
          <w:iCs w:val="0"/>
          <w:caps w:val="0"/>
          <w:color w:val="auto"/>
          <w:spacing w:val="0"/>
          <w:sz w:val="32"/>
          <w:szCs w:val="32"/>
          <w:shd w:val="clear" w:color="auto" w:fill="FFFFFF"/>
        </w:rPr>
        <w:t>，</w:t>
      </w:r>
      <w:r>
        <w:rPr>
          <w:rFonts w:hint="eastAsia" w:ascii="Times New Roman" w:hAnsi="Times New Roman" w:eastAsia="楷体_GB2312" w:cs="楷体_GB2312"/>
          <w:color w:val="auto"/>
          <w:sz w:val="32"/>
          <w:szCs w:val="32"/>
          <w:highlight w:val="none"/>
          <w:lang w:val="en-US" w:eastAsia="zh-CN"/>
        </w:rPr>
        <w:t>为全国省际毗邻区协调发展破题和统一大市场建设贡献了基层智慧和“固始方案”。</w:t>
      </w:r>
    </w:p>
    <w:p w14:paraId="130E6B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left"/>
        <w:textAlignment w:val="auto"/>
        <w:outlineLvl w:val="9"/>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一、</w:t>
      </w:r>
      <w:r>
        <w:rPr>
          <w:rFonts w:hint="eastAsia" w:ascii="Times New Roman" w:hAnsi="Times New Roman" w:eastAsia="黑体" w:cs="黑体"/>
          <w:color w:val="auto"/>
          <w:sz w:val="32"/>
          <w:szCs w:val="32"/>
          <w:lang w:val="en-US" w:eastAsia="zh-CN"/>
        </w:rPr>
        <w:t>实施背景</w:t>
      </w:r>
    </w:p>
    <w:p w14:paraId="42E94982">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安徽省六安市叶集区与</w:t>
      </w:r>
      <w:r>
        <w:rPr>
          <w:rFonts w:hint="eastAsia" w:ascii="Times New Roman" w:hAnsi="Times New Roman" w:eastAsia="仿宋_GB2312" w:cs="Times New Roman"/>
          <w:color w:val="auto"/>
          <w:sz w:val="32"/>
          <w:szCs w:val="32"/>
          <w:lang w:val="en-US" w:eastAsia="zh-CN"/>
        </w:rPr>
        <w:t>河南省信阳市</w:t>
      </w:r>
      <w:r>
        <w:rPr>
          <w:rFonts w:hint="default" w:ascii="Times New Roman" w:hAnsi="Times New Roman" w:eastAsia="仿宋_GB2312" w:cs="Times New Roman"/>
          <w:color w:val="auto"/>
          <w:sz w:val="32"/>
          <w:szCs w:val="32"/>
          <w:lang w:val="en-US" w:eastAsia="zh-CN"/>
        </w:rPr>
        <w:t>固始县隔史河相望，两地地缘相近、经济相融、优势互补，合作发展基础好、潜力大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信阳市锚定国家区域协调发展战略，聚焦全国统一大市场建设</w:t>
      </w:r>
      <w:r>
        <w:rPr>
          <w:rFonts w:hint="eastAsia" w:ascii="Times New Roman" w:hAnsi="Times New Roman" w:eastAsia="仿宋_GB2312" w:cs="Times New Roman"/>
          <w:color w:val="auto"/>
          <w:sz w:val="32"/>
          <w:szCs w:val="32"/>
          <w:lang w:val="en-US" w:eastAsia="zh-CN"/>
        </w:rPr>
        <w:t>，携手叶集区</w:t>
      </w:r>
      <w:r>
        <w:rPr>
          <w:rFonts w:hint="default" w:ascii="Times New Roman" w:hAnsi="Times New Roman" w:eastAsia="仿宋_GB2312" w:cs="Times New Roman"/>
          <w:b w:val="0"/>
          <w:bCs w:val="0"/>
          <w:color w:val="auto"/>
          <w:sz w:val="32"/>
          <w:szCs w:val="32"/>
          <w:lang w:val="en-US" w:eastAsia="zh-CN"/>
        </w:rPr>
        <w:t>积极响应国家部署</w:t>
      </w:r>
      <w:r>
        <w:rPr>
          <w:rFonts w:hint="default" w:ascii="Times New Roman" w:hAnsi="Times New Roman" w:eastAsia="仿宋_GB2312" w:cs="Times New Roman"/>
          <w:color w:val="auto"/>
          <w:sz w:val="32"/>
          <w:szCs w:val="32"/>
          <w:lang w:val="en-US" w:eastAsia="zh-CN"/>
        </w:rPr>
        <w:t>共同规划建设生态优先绿色发展产业合作区，创新</w:t>
      </w:r>
      <w:r>
        <w:rPr>
          <w:rFonts w:hint="eastAsia" w:ascii="仿宋_GB2312" w:hAnsi="仿宋_GB2312" w:eastAsia="仿宋_GB2312" w:cs="仿宋_GB2312"/>
          <w:color w:val="auto"/>
          <w:sz w:val="32"/>
          <w:szCs w:val="32"/>
          <w:lang w:val="en-US" w:eastAsia="zh-CN"/>
        </w:rPr>
        <w:t>推进“一河两岸”省际毗</w:t>
      </w:r>
      <w:r>
        <w:rPr>
          <w:rFonts w:hint="default" w:ascii="Times New Roman" w:hAnsi="Times New Roman" w:eastAsia="仿宋_GB2312" w:cs="Times New Roman"/>
          <w:color w:val="auto"/>
          <w:sz w:val="32"/>
          <w:szCs w:val="32"/>
          <w:lang w:val="en-US" w:eastAsia="zh-CN"/>
        </w:rPr>
        <w:t>邻合作区建设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打造皖豫交界地区人口超50万新兴中等城市，探索两省毗邻地区合作发展经验。</w:t>
      </w:r>
    </w:p>
    <w:p w14:paraId="28CB07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kern w:val="2"/>
          <w:sz w:val="32"/>
          <w:szCs w:val="32"/>
          <w:lang w:val="en-US" w:eastAsia="zh-CN" w:bidi="ar-SA"/>
        </w:rPr>
        <w:t>二、</w:t>
      </w:r>
      <w:r>
        <w:rPr>
          <w:rFonts w:hint="eastAsia" w:ascii="Times New Roman" w:hAnsi="Times New Roman" w:eastAsia="黑体" w:cs="黑体"/>
          <w:color w:val="auto"/>
          <w:sz w:val="32"/>
          <w:szCs w:val="32"/>
          <w:lang w:val="en-US" w:eastAsia="zh-CN"/>
        </w:rPr>
        <w:t>主要做法</w:t>
      </w:r>
    </w:p>
    <w:p w14:paraId="22251CC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snapToGrid/>
          <w:color w:val="000000"/>
          <w:spacing w:val="0"/>
          <w:kern w:val="0"/>
          <w:sz w:val="32"/>
          <w:szCs w:val="32"/>
          <w:lang w:val="en-US" w:eastAsia="zh-CN" w:bidi="ar-SA"/>
        </w:rPr>
        <w:t>（一）机制协同，制度创新破解行政壁垒。</w:t>
      </w:r>
      <w:r>
        <w:rPr>
          <w:rFonts w:hint="default" w:ascii="Times New Roman" w:hAnsi="Times New Roman" w:eastAsia="仿宋_GB2312" w:cs="Times New Roman"/>
          <w:color w:val="auto"/>
          <w:sz w:val="32"/>
          <w:szCs w:val="32"/>
          <w:lang w:val="en-US" w:eastAsia="zh-CN"/>
        </w:rPr>
        <w:t>协同推进规划布局，《</w:t>
      </w:r>
      <w:r>
        <w:rPr>
          <w:rFonts w:hint="eastAsia" w:ascii="仿宋_GB2312" w:hAnsi="仿宋_GB2312" w:eastAsia="仿宋_GB2312" w:cs="仿宋_GB2312"/>
          <w:color w:val="auto"/>
          <w:sz w:val="32"/>
          <w:szCs w:val="32"/>
          <w:lang w:val="en-US" w:eastAsia="zh-CN"/>
        </w:rPr>
        <w:t>叶集—固始“一河两岸”生态优先绿</w:t>
      </w:r>
      <w:r>
        <w:rPr>
          <w:rFonts w:hint="default" w:ascii="Times New Roman" w:hAnsi="Times New Roman" w:eastAsia="仿宋_GB2312" w:cs="Times New Roman"/>
          <w:color w:val="auto"/>
          <w:sz w:val="32"/>
          <w:szCs w:val="32"/>
          <w:lang w:val="en-US" w:eastAsia="zh-CN"/>
        </w:rPr>
        <w:t>色发展产业合作区发展规划》已征得豫皖两省政府同意并由两省发改委联合印发实施。建立政策协同机制，在</w:t>
      </w:r>
      <w:r>
        <w:rPr>
          <w:rFonts w:hint="eastAsia" w:ascii="仿宋_GB2312" w:hAnsi="仿宋_GB2312" w:eastAsia="仿宋_GB2312" w:cs="仿宋_GB2312"/>
          <w:color w:val="auto"/>
          <w:sz w:val="32"/>
          <w:szCs w:val="32"/>
          <w:lang w:val="en-US" w:eastAsia="zh-CN"/>
        </w:rPr>
        <w:t>“黄冈—信阳—六安”三</w:t>
      </w:r>
      <w:r>
        <w:rPr>
          <w:rFonts w:hint="default" w:ascii="Times New Roman" w:hAnsi="Times New Roman" w:eastAsia="仿宋_GB2312" w:cs="Times New Roman"/>
          <w:color w:val="auto"/>
          <w:sz w:val="32"/>
          <w:szCs w:val="32"/>
          <w:lang w:val="en-US" w:eastAsia="zh-CN"/>
        </w:rPr>
        <w:t>市一体化协调发展框架内加强对话，提高政策制定统一性、规则一致性和执行协同性。建立项目统筹机制，将重大合作项目纳入两地重点项目库，进行总体谋划、联合审批、共同推进。健全统一市场机制，深化合作区政务事项跨区域办理，打造一流营商环境。</w:t>
      </w:r>
    </w:p>
    <w:p w14:paraId="2D7D0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color w:val="auto"/>
          <w:spacing w:val="0"/>
          <w:kern w:val="2"/>
          <w:sz w:val="32"/>
          <w:szCs w:val="40"/>
          <w:lang w:val="en-US" w:eastAsia="zh-CN" w:bidi="ar-SA"/>
        </w:rPr>
        <w:t>（二）设施协同，构建要素流动的物理网络。</w:t>
      </w:r>
      <w:r>
        <w:rPr>
          <w:rFonts w:hint="eastAsia" w:ascii="Times New Roman" w:hAnsi="Times New Roman" w:eastAsia="仿宋_GB2312" w:cs="Times New Roman"/>
          <w:color w:val="auto"/>
          <w:sz w:val="32"/>
          <w:szCs w:val="32"/>
          <w:lang w:val="en-US" w:eastAsia="zh-CN"/>
        </w:rPr>
        <w:t>统筹公、铁、水多式联运发展，构建高效联通的交通设施网络。统筹合作区水资源、水环境、水生态安全保护治理，联建水利工程，协作实施农村饮水安全提质增效工程，实现互惠互利。错位建设文体公园、文娱广场等市政设施，避免重复建设，实现高效共用共享。</w:t>
      </w:r>
    </w:p>
    <w:p w14:paraId="0C0D01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color w:val="auto"/>
          <w:spacing w:val="0"/>
          <w:kern w:val="2"/>
          <w:sz w:val="32"/>
          <w:szCs w:val="40"/>
          <w:lang w:val="en-US" w:eastAsia="zh-CN" w:bidi="ar-SA"/>
        </w:rPr>
        <w:t>（三）产业协同，培育区域联动的经济引擎。</w:t>
      </w:r>
      <w:r>
        <w:rPr>
          <w:rFonts w:hint="eastAsia" w:ascii="Times New Roman" w:hAnsi="Times New Roman" w:eastAsia="仿宋_GB2312" w:cs="Times New Roman"/>
          <w:color w:val="auto"/>
          <w:sz w:val="32"/>
          <w:szCs w:val="32"/>
          <w:lang w:val="en-US" w:eastAsia="zh-CN"/>
        </w:rPr>
        <w:t>注册成立固叶协作建设发展有限责任公司，探索“飞地经济”模式。依托两地在家居、电子等产业方面的优势，联手打造中部地区最大的智能家居产业集群。抓住叶集区与上海金山区、固始县与苏州吴江区等新材料产业优势区结对合作机遇，建设辐射皖西豫南市场的新材料产业集群。坚持文旅融合，依托叶集“未名四杰”和固始陈元光、王审知等名人文化，打造特色文化主题园区、红色文旅教育基地。</w:t>
      </w:r>
    </w:p>
    <w:p w14:paraId="64B5E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color w:val="auto"/>
          <w:spacing w:val="0"/>
          <w:kern w:val="2"/>
          <w:sz w:val="32"/>
          <w:szCs w:val="40"/>
          <w:lang w:val="en-US" w:eastAsia="zh-CN" w:bidi="ar-SA"/>
        </w:rPr>
        <w:t>（四）服务协同，实现民生共享的同城效应。</w:t>
      </w:r>
      <w:r>
        <w:rPr>
          <w:rFonts w:hint="eastAsia" w:ascii="Times New Roman" w:hAnsi="Times New Roman" w:eastAsia="仿宋_GB2312" w:cs="Times New Roman"/>
          <w:color w:val="auto"/>
          <w:sz w:val="32"/>
          <w:szCs w:val="32"/>
          <w:lang w:val="en-US" w:eastAsia="zh-CN"/>
        </w:rPr>
        <w:t>推动两地人社服务平台互联互通和信息共享，打造便捷高效公共就业服务体系。推进全国统一医保信息平台跨省异地就医管理子系统落地应用，实现跨省异地就医门急诊医疗直接结算。稳步将常住人口纳入城镇住房保障范围，逐步实现住房公积金转移接续和异地贷款信息共享。聚焦两地就业人员子女异地就学需求，推动教育合作发展。</w:t>
      </w:r>
    </w:p>
    <w:p w14:paraId="083CD6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color w:val="auto"/>
          <w:spacing w:val="0"/>
          <w:kern w:val="2"/>
          <w:sz w:val="32"/>
          <w:szCs w:val="40"/>
          <w:lang w:val="en-US" w:eastAsia="zh-CN" w:bidi="ar-SA"/>
        </w:rPr>
        <w:t>（五）生态协同，践行绿色发展的共保机制。</w:t>
      </w:r>
      <w:r>
        <w:rPr>
          <w:rFonts w:hint="eastAsia" w:ascii="Times New Roman" w:hAnsi="Times New Roman" w:eastAsia="仿宋_GB2312" w:cs="Times New Roman"/>
          <w:color w:val="auto"/>
          <w:sz w:val="32"/>
          <w:szCs w:val="32"/>
          <w:lang w:val="en-US" w:eastAsia="zh-CN"/>
        </w:rPr>
        <w:t>践行“两山”发展理念，联合实施史河水环境综合治理和史河灌河复航工程。推动叶集经济开发区、固始县先进制造业开发区开展循环化改造，推进绿色高端化工与循环经济深度融合。依托叶集看花楼、固始国有林场，加快森林资源保护和重建，共同推进国土绿化和生态修复工程。开展史河流域环境执法，完善省界周边和河流上下游联合执法机制。</w:t>
      </w:r>
    </w:p>
    <w:p w14:paraId="467266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2"/>
          <w:sz w:val="32"/>
          <w:szCs w:val="32"/>
          <w:highlight w:val="none"/>
          <w:lang w:val="en-US" w:eastAsia="zh-CN" w:bidi="ar-SA"/>
        </w:rPr>
        <w:t>三、</w:t>
      </w:r>
      <w:r>
        <w:rPr>
          <w:rFonts w:hint="eastAsia" w:ascii="Times New Roman" w:hAnsi="Times New Roman" w:eastAsia="黑体" w:cs="黑体"/>
          <w:color w:val="auto"/>
          <w:sz w:val="32"/>
          <w:szCs w:val="32"/>
          <w:highlight w:val="none"/>
          <w:lang w:val="en-US" w:eastAsia="zh-CN"/>
        </w:rPr>
        <w:t>取得成效</w:t>
      </w:r>
    </w:p>
    <w:p w14:paraId="5C3F89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固始县与叶集区合作以来，两地在交通互联、产业协同、生态共治、服务共享、社会共治等领域取得突破性进展。目前，G632、史河湾大桥等豫皖两省畅通工程有序建设中，</w:t>
      </w:r>
      <w:r>
        <w:rPr>
          <w:rFonts w:hint="default" w:ascii="Times New Roman" w:hAnsi="Times New Roman" w:eastAsia="仿宋_GB2312" w:cs="Times New Roman"/>
          <w:color w:val="auto"/>
          <w:sz w:val="32"/>
          <w:szCs w:val="32"/>
          <w:lang w:val="en-US" w:eastAsia="zh-CN"/>
        </w:rPr>
        <w:t>3条跨省公交线路</w:t>
      </w:r>
      <w:r>
        <w:rPr>
          <w:rFonts w:hint="eastAsia" w:ascii="Times New Roman" w:hAnsi="Times New Roman" w:eastAsia="仿宋_GB2312" w:cs="Times New Roman"/>
          <w:color w:val="auto"/>
          <w:sz w:val="32"/>
          <w:szCs w:val="32"/>
          <w:lang w:val="en-US" w:eastAsia="zh-CN"/>
        </w:rPr>
        <w:t>稳定</w:t>
      </w:r>
      <w:r>
        <w:rPr>
          <w:rFonts w:hint="default" w:ascii="Times New Roman" w:hAnsi="Times New Roman" w:eastAsia="仿宋_GB2312" w:cs="Times New Roman"/>
          <w:color w:val="auto"/>
          <w:sz w:val="32"/>
          <w:szCs w:val="32"/>
          <w:lang w:val="en-US" w:eastAsia="zh-CN"/>
        </w:rPr>
        <w:t>运行</w:t>
      </w:r>
      <w:r>
        <w:rPr>
          <w:rFonts w:hint="eastAsia" w:ascii="Times New Roman" w:hAnsi="Times New Roman" w:eastAsia="仿宋_GB2312" w:cs="Times New Roman"/>
          <w:color w:val="auto"/>
          <w:sz w:val="32"/>
          <w:szCs w:val="32"/>
          <w:lang w:val="en-US" w:eastAsia="zh-CN"/>
        </w:rPr>
        <w:t>，实现30分钟通勤圈。两地围绕智能家居、新材料等联合打造“皖豫产业合作示范园”，年产值超40亿元。花样果岭、雩娄风景区等成为跨省热门旅游地，两地年游客互送量突破50万人次。史河流域水质提升至III类。社保、医保等204项跨省业务实现异地办理，医保同城化政策已惠及群众</w:t>
      </w:r>
      <w:r>
        <w:rPr>
          <w:rFonts w:hint="default" w:ascii="Times New Roman" w:hAnsi="Times New Roman" w:eastAsia="仿宋_GB2312" w:cs="Times New Roman"/>
          <w:color w:val="auto"/>
          <w:sz w:val="32"/>
          <w:szCs w:val="32"/>
          <w:lang w:val="en-US" w:eastAsia="zh-CN"/>
        </w:rPr>
        <w:t>2074</w:t>
      </w:r>
      <w:r>
        <w:rPr>
          <w:rFonts w:hint="eastAsia" w:ascii="Times New Roman" w:hAnsi="Times New Roman" w:eastAsia="仿宋_GB2312" w:cs="Times New Roman"/>
          <w:color w:val="auto"/>
          <w:sz w:val="32"/>
          <w:szCs w:val="32"/>
          <w:lang w:val="en-US" w:eastAsia="zh-CN"/>
        </w:rPr>
        <w:t>人次、医疗总费用</w:t>
      </w:r>
      <w:r>
        <w:rPr>
          <w:rFonts w:hint="default" w:ascii="Times New Roman" w:hAnsi="Times New Roman" w:eastAsia="仿宋_GB2312" w:cs="Times New Roman"/>
          <w:color w:val="auto"/>
          <w:sz w:val="32"/>
          <w:szCs w:val="32"/>
          <w:lang w:val="en-US" w:eastAsia="zh-CN"/>
        </w:rPr>
        <w:t>816</w:t>
      </w:r>
      <w:r>
        <w:rPr>
          <w:rFonts w:hint="eastAsia" w:ascii="Times New Roman" w:hAnsi="Times New Roman" w:eastAsia="仿宋_GB2312" w:cs="Times New Roman"/>
          <w:color w:val="auto"/>
          <w:sz w:val="32"/>
          <w:szCs w:val="32"/>
          <w:lang w:val="en-US" w:eastAsia="zh-CN"/>
        </w:rPr>
        <w:t>万元。2024年两地经济总量突破550亿元，较协同前增长15%，区域竞争力明显提升，“一河两岸”省际毗邻合作区成为大别山区域高质量发展的新引擎。</w:t>
      </w:r>
    </w:p>
    <w:p w14:paraId="2D691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14:paraId="3ECEB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14:paraId="66F00680">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9</w:t>
      </w:r>
    </w:p>
    <w:p w14:paraId="045277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jc w:val="both"/>
        <w:textAlignment w:val="auto"/>
        <w:outlineLvl w:val="9"/>
        <w:rPr>
          <w:rFonts w:hint="default" w:ascii="Times New Roman" w:hAnsi="Times New Roman" w:eastAsia="仿宋_GB2312" w:cs="Times New Roman"/>
          <w:color w:val="auto"/>
          <w:sz w:val="32"/>
          <w:szCs w:val="32"/>
          <w:lang w:val="en-US" w:eastAsia="zh-CN"/>
        </w:rPr>
      </w:pPr>
    </w:p>
    <w:p w14:paraId="38B985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仿宋_GB2312"/>
          <w:kern w:val="0"/>
          <w:sz w:val="44"/>
          <w:szCs w:val="44"/>
        </w:rPr>
      </w:pPr>
      <w:r>
        <w:rPr>
          <w:rFonts w:hint="eastAsia" w:ascii="Times New Roman" w:hAnsi="Times New Roman" w:eastAsia="方正小标宋简体" w:cs="仿宋_GB2312"/>
          <w:kern w:val="0"/>
          <w:sz w:val="44"/>
          <w:szCs w:val="44"/>
        </w:rPr>
        <w:t>济源示范区聚焦公平公正监管</w:t>
      </w:r>
    </w:p>
    <w:p w14:paraId="6E760A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仿宋_GB2312"/>
          <w:kern w:val="0"/>
          <w:sz w:val="44"/>
          <w:szCs w:val="44"/>
        </w:rPr>
      </w:pPr>
      <w:r>
        <w:rPr>
          <w:rFonts w:hint="eastAsia" w:ascii="Times New Roman" w:hAnsi="Times New Roman" w:eastAsia="方正小标宋简体" w:cs="仿宋_GB2312"/>
          <w:kern w:val="0"/>
          <w:sz w:val="44"/>
          <w:szCs w:val="44"/>
        </w:rPr>
        <w:t>创新“码上服务”提升涉企服务新质效</w:t>
      </w:r>
    </w:p>
    <w:p w14:paraId="47026447">
      <w:pPr>
        <w:pStyle w:val="3"/>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640" w:firstLineChars="200"/>
        <w:textAlignment w:val="auto"/>
        <w:outlineLvl w:val="9"/>
        <w:rPr>
          <w:rFonts w:hint="eastAsia" w:ascii="Times New Roman" w:hAnsi="Times New Roman" w:eastAsia="楷体_GB2312" w:cs="楷体_GB2312"/>
          <w:sz w:val="32"/>
          <w:szCs w:val="32"/>
        </w:rPr>
      </w:pPr>
    </w:p>
    <w:p w14:paraId="70947BC8">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楷体_GB2312" w:cs="楷体_GB2312"/>
          <w:sz w:val="32"/>
          <w:szCs w:val="32"/>
        </w:rPr>
      </w:pPr>
      <w:r>
        <w:rPr>
          <w:rFonts w:hint="eastAsia" w:ascii="Times New Roman" w:hAnsi="Times New Roman" w:eastAsia="黑体" w:cs="黑体"/>
          <w:sz w:val="32"/>
          <w:szCs w:val="32"/>
        </w:rPr>
        <w:t>推荐词</w:t>
      </w:r>
      <w:r>
        <w:rPr>
          <w:rFonts w:hint="eastAsia" w:ascii="Times New Roman" w:hAnsi="Times New Roman" w:eastAsia="楷体_GB2312" w:cs="楷体_GB2312"/>
          <w:sz w:val="32"/>
          <w:szCs w:val="32"/>
        </w:rPr>
        <w:t>：济源示范区持续推进市场监管公平统一，以市场主体需求为导向，建设营商环境“码上服务”平台，入企扫码登记先行先试，通过“先扫码、后入企”，实现执法检查“留痕可溯、标准统一、监管规范”，减少随意执法、重复执法、多头执法等行为，为企业打造出公平公正市场监管环境。优化提升便民利企服务质效，经营主体扫码即可反映诉求，实现企业急难愁盼诉求的高效、精准办理，打通政企沟通最后“一公里”。通过“码上服务”真正实现助企减负增效，加快形成稳定公平透明可预期的营商环境。</w:t>
      </w:r>
    </w:p>
    <w:p w14:paraId="334DC738">
      <w:pPr>
        <w:pStyle w:val="3"/>
        <w:keepNext w:val="0"/>
        <w:keepLines w:val="0"/>
        <w:pageBreakBefore w:val="0"/>
        <w:widowControl w:val="0"/>
        <w:kinsoku/>
        <w:wordWrap/>
        <w:overflowPunct/>
        <w:topLinePunct w:val="0"/>
        <w:autoSpaceDE/>
        <w:autoSpaceDN/>
        <w:bidi w:val="0"/>
        <w:adjustRightInd/>
        <w:snapToGrid/>
        <w:spacing w:after="0" w:line="610" w:lineRule="exact"/>
        <w:ind w:left="0" w:right="0" w:rightChars="0" w:firstLine="640" w:firstLineChars="200"/>
        <w:textAlignment w:val="auto"/>
        <w:outlineLvl w:val="9"/>
        <w:rPr>
          <w:rFonts w:hint="eastAsia" w:ascii="Times New Roman" w:hAnsi="Times New Roman" w:eastAsia="黑体" w:cs="仿宋_GB2312"/>
          <w:sz w:val="32"/>
          <w:szCs w:val="32"/>
        </w:rPr>
      </w:pPr>
      <w:r>
        <w:rPr>
          <w:rFonts w:hint="eastAsia" w:ascii="Times New Roman" w:hAnsi="Times New Roman" w:eastAsia="黑体" w:cs="仿宋_GB2312"/>
          <w:sz w:val="32"/>
          <w:szCs w:val="32"/>
        </w:rPr>
        <w:t>一、实施背景</w:t>
      </w:r>
    </w:p>
    <w:p w14:paraId="1E002CB7">
      <w:pPr>
        <w:pStyle w:val="3"/>
        <w:keepNext w:val="0"/>
        <w:keepLines w:val="0"/>
        <w:pageBreakBefore w:val="0"/>
        <w:widowControl w:val="0"/>
        <w:kinsoku/>
        <w:wordWrap/>
        <w:overflowPunct/>
        <w:topLinePunct w:val="0"/>
        <w:autoSpaceDE/>
        <w:autoSpaceDN/>
        <w:bidi w:val="0"/>
        <w:adjustRightInd/>
        <w:snapToGrid/>
        <w:spacing w:after="0" w:line="610" w:lineRule="exact"/>
        <w:ind w:left="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w:t>
      </w:r>
      <w:r>
        <w:rPr>
          <w:rFonts w:hint="eastAsia" w:eastAsia="仿宋_GB2312" w:cs="Times New Roman"/>
          <w:sz w:val="32"/>
          <w:szCs w:val="32"/>
          <w:lang w:eastAsia="zh-CN"/>
        </w:rPr>
        <w:t>反映</w:t>
      </w:r>
      <w:r>
        <w:rPr>
          <w:rFonts w:hint="default" w:ascii="Times New Roman" w:hAnsi="Times New Roman" w:eastAsia="仿宋_GB2312" w:cs="Times New Roman"/>
          <w:sz w:val="32"/>
          <w:szCs w:val="32"/>
        </w:rPr>
        <w:t>在生产经营过程中遇到问题困难</w:t>
      </w:r>
      <w:r>
        <w:rPr>
          <w:rFonts w:hint="eastAsia" w:eastAsia="仿宋_GB2312" w:cs="Times New Roman"/>
          <w:sz w:val="32"/>
          <w:szCs w:val="32"/>
          <w:lang w:eastAsia="zh-CN"/>
        </w:rPr>
        <w:t>时求助</w:t>
      </w:r>
      <w:r>
        <w:rPr>
          <w:rFonts w:hint="default" w:ascii="Times New Roman" w:hAnsi="Times New Roman" w:eastAsia="仿宋_GB2312" w:cs="Times New Roman"/>
          <w:sz w:val="32"/>
          <w:szCs w:val="32"/>
          <w:lang w:eastAsia="zh-CN"/>
        </w:rPr>
        <w:t>渠道</w:t>
      </w:r>
      <w:r>
        <w:rPr>
          <w:rFonts w:hint="default" w:ascii="Times New Roman" w:hAnsi="Times New Roman" w:eastAsia="仿宋_GB2312" w:cs="Times New Roman"/>
          <w:sz w:val="32"/>
          <w:szCs w:val="32"/>
        </w:rPr>
        <w:t>单一、不便捷，尤其小微企业、个体工商户无法享受包联企业服务</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行政检查事项多、随意性大，</w:t>
      </w:r>
      <w:r>
        <w:rPr>
          <w:rFonts w:hint="eastAsia" w:eastAsia="仿宋_GB2312" w:cs="Times New Roman"/>
          <w:sz w:val="32"/>
          <w:szCs w:val="32"/>
          <w:lang w:eastAsia="zh-CN"/>
        </w:rPr>
        <w:t>存在</w:t>
      </w:r>
      <w:r>
        <w:rPr>
          <w:rFonts w:hint="default" w:ascii="Times New Roman" w:hAnsi="Times New Roman" w:eastAsia="仿宋_GB2312" w:cs="Times New Roman"/>
          <w:sz w:val="32"/>
          <w:szCs w:val="32"/>
        </w:rPr>
        <w:t>多头执法</w:t>
      </w:r>
      <w:r>
        <w:rPr>
          <w:rFonts w:hint="default" w:ascii="Times New Roman" w:hAnsi="Times New Roman" w:eastAsia="仿宋_GB2312" w:cs="Times New Roman"/>
          <w:sz w:val="32"/>
          <w:szCs w:val="32"/>
          <w:lang w:eastAsia="zh-CN"/>
        </w:rPr>
        <w:t>问题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解决</w:t>
      </w:r>
      <w:r>
        <w:rPr>
          <w:rFonts w:hint="default" w:ascii="Times New Roman" w:hAnsi="Times New Roman" w:eastAsia="仿宋_GB2312" w:cs="Times New Roman"/>
          <w:sz w:val="32"/>
          <w:szCs w:val="32"/>
        </w:rPr>
        <w:t>统一市场监管执法的共性问题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建立健全统一服务标准，</w:t>
      </w:r>
      <w:r>
        <w:rPr>
          <w:rFonts w:hint="default" w:ascii="Times New Roman" w:hAnsi="Times New Roman" w:eastAsia="仿宋_GB2312" w:cs="Times New Roman"/>
          <w:sz w:val="32"/>
          <w:szCs w:val="32"/>
          <w:lang w:eastAsia="zh-CN"/>
        </w:rPr>
        <w:t>济源示范区</w:t>
      </w:r>
      <w:r>
        <w:rPr>
          <w:rFonts w:hint="default" w:ascii="Times New Roman" w:hAnsi="Times New Roman" w:eastAsia="仿宋_GB2312" w:cs="Times New Roman"/>
          <w:sz w:val="32"/>
          <w:szCs w:val="32"/>
        </w:rPr>
        <w:t>创新推出营商环</w:t>
      </w:r>
      <w:r>
        <w:rPr>
          <w:rFonts w:hint="eastAsia" w:ascii="仿宋_GB2312" w:hAnsi="仿宋_GB2312" w:eastAsia="仿宋_GB2312" w:cs="仿宋_GB2312"/>
          <w:sz w:val="32"/>
          <w:szCs w:val="32"/>
        </w:rPr>
        <w:t>境“码上服务”平台，实现“规范执法”“接诉即办”等一站式服务，遏制“随意执法、多头执法、重复执法”等行为，</w:t>
      </w:r>
      <w:r>
        <w:rPr>
          <w:rFonts w:hint="default" w:ascii="Times New Roman" w:hAnsi="Times New Roman" w:eastAsia="仿宋_GB2312" w:cs="Times New Roman"/>
          <w:sz w:val="32"/>
          <w:szCs w:val="32"/>
        </w:rPr>
        <w:t>精准、快速助企排扰解难。</w:t>
      </w:r>
    </w:p>
    <w:p w14:paraId="203511B4">
      <w:pPr>
        <w:pStyle w:val="3"/>
        <w:keepNext w:val="0"/>
        <w:keepLines w:val="0"/>
        <w:pageBreakBefore w:val="0"/>
        <w:widowControl w:val="0"/>
        <w:kinsoku/>
        <w:wordWrap/>
        <w:overflowPunct/>
        <w:topLinePunct w:val="0"/>
        <w:autoSpaceDE/>
        <w:autoSpaceDN/>
        <w:bidi w:val="0"/>
        <w:adjustRightInd/>
        <w:snapToGrid/>
        <w:spacing w:after="0" w:line="610" w:lineRule="exact"/>
        <w:ind w:left="0" w:right="0" w:rightChars="0" w:firstLine="640" w:firstLineChars="200"/>
        <w:textAlignment w:val="auto"/>
        <w:outlineLvl w:val="9"/>
        <w:rPr>
          <w:rFonts w:hint="eastAsia" w:ascii="Times New Roman" w:hAnsi="Times New Roman" w:eastAsia="黑体" w:cs="仿宋_GB2312"/>
          <w:sz w:val="32"/>
          <w:szCs w:val="32"/>
        </w:rPr>
      </w:pPr>
      <w:r>
        <w:rPr>
          <w:rFonts w:hint="eastAsia" w:ascii="Times New Roman" w:hAnsi="Times New Roman" w:eastAsia="黑体" w:cs="仿宋_GB2312"/>
          <w:sz w:val="32"/>
          <w:szCs w:val="32"/>
        </w:rPr>
        <w:t>二、主要做法</w:t>
      </w:r>
    </w:p>
    <w:p w14:paraId="72C564D7">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楷体_GB2312"/>
          <w:b w:val="0"/>
          <w:bCs/>
          <w:sz w:val="32"/>
          <w:szCs w:val="32"/>
        </w:rPr>
        <w:t>（一）</w:t>
      </w:r>
      <w:r>
        <w:rPr>
          <w:rFonts w:hint="eastAsia" w:ascii="Times New Roman" w:hAnsi="Times New Roman" w:eastAsia="楷体_GB2312" w:cs="仿宋_GB2312"/>
          <w:b w:val="0"/>
          <w:bCs/>
          <w:kern w:val="0"/>
          <w:sz w:val="32"/>
          <w:szCs w:val="32"/>
        </w:rPr>
        <w:t>精准排查，</w:t>
      </w:r>
      <w:r>
        <w:rPr>
          <w:rFonts w:hint="eastAsia" w:ascii="Times New Roman" w:hAnsi="Times New Roman" w:eastAsia="楷体_GB2312" w:cs="楷体_GB2312"/>
          <w:b w:val="0"/>
          <w:bCs/>
          <w:sz w:val="32"/>
          <w:szCs w:val="32"/>
        </w:rPr>
        <w:t>实现</w:t>
      </w:r>
      <w:r>
        <w:rPr>
          <w:rFonts w:hint="eastAsia" w:ascii="Times New Roman" w:hAnsi="Times New Roman" w:eastAsia="楷体_GB2312" w:cs="仿宋_GB2312"/>
          <w:b w:val="0"/>
          <w:bCs/>
          <w:kern w:val="0"/>
          <w:sz w:val="32"/>
          <w:szCs w:val="32"/>
        </w:rPr>
        <w:t>辖区企业全覆盖。</w:t>
      </w:r>
      <w:r>
        <w:rPr>
          <w:rFonts w:hint="eastAsia" w:ascii="Times New Roman" w:hAnsi="Times New Roman" w:eastAsia="仿宋_GB2312" w:cs="Times New Roman"/>
          <w:kern w:val="2"/>
          <w:sz w:val="32"/>
          <w:szCs w:val="32"/>
          <w:lang w:val="en-US" w:eastAsia="zh-CN" w:bidi="ar-SA"/>
        </w:rPr>
        <w:t>组建19个合力服务团，共2215名网格员，对辖区内所有企业和在建项目进行摸底排查，将1.4万户经营主体、所有在建项目全部纳入平台。按照“一企一码”原则，为每个企业赋予专属二维码，设计“张</w:t>
      </w:r>
      <w:r>
        <w:rPr>
          <w:rFonts w:hint="eastAsia" w:ascii="Times New Roman" w:hAnsi="Times New Roman" w:cs="Times New Roman"/>
          <w:kern w:val="2"/>
          <w:sz w:val="32"/>
          <w:szCs w:val="32"/>
          <w:lang w:val="en-US" w:eastAsia="zh-CN" w:bidi="ar-SA"/>
        </w:rPr>
        <w:t>贴</w:t>
      </w:r>
      <w:r>
        <w:rPr>
          <w:rFonts w:hint="eastAsia" w:ascii="Times New Roman" w:hAnsi="Times New Roman" w:eastAsia="仿宋_GB2312" w:cs="Times New Roman"/>
          <w:kern w:val="2"/>
          <w:sz w:val="32"/>
          <w:szCs w:val="32"/>
          <w:lang w:val="en-US" w:eastAsia="zh-CN" w:bidi="ar-SA"/>
        </w:rPr>
        <w:t>码”“台签码”“便签码”等多种便签，印制张贴在企业门口、办公桌及电脑上，方便企业随时扫码反映问题。示范区大、中、小企业在办公场所扫描企业二维码或者搜索“济源营商码上服务”微信小程序，即可接入平台，亨受“规范执法”“问题反馈”“接诉即办”等一站式服务。</w:t>
      </w:r>
    </w:p>
    <w:p w14:paraId="4CF757A1">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楷体_GB2312"/>
          <w:b w:val="0"/>
          <w:bCs/>
          <w:sz w:val="32"/>
          <w:szCs w:val="32"/>
        </w:rPr>
        <w:t>（二）建立机制，“2+2”政策保障全护航。</w:t>
      </w:r>
      <w:r>
        <w:rPr>
          <w:rFonts w:hint="eastAsia" w:ascii="Times New Roman" w:hAnsi="Times New Roman" w:eastAsia="仿宋_GB2312" w:cs="Times New Roman"/>
          <w:kern w:val="2"/>
          <w:sz w:val="32"/>
          <w:szCs w:val="32"/>
          <w:lang w:val="en-US" w:eastAsia="zh-CN" w:bidi="ar-SA"/>
        </w:rPr>
        <w:t>建立健全统一的服务标准，研究制定“码上服务”平台实施方案、平台问题联动处理机制、行政执法检查“入企扫码”工作方案，以及监督保障机制等，形成“2+2”平台高质量运行保障体系，全程护航平台可持续高质量运行。示范区营商中心牵头，建立涉企诉求“1+N”联动办理共享机制，形成“一口归集、台账管理、限时办结”的全链条服务模式，实现从受理、办理、答复、反馈、回访等全“闭环”办理。</w:t>
      </w:r>
    </w:p>
    <w:p w14:paraId="66FE0135">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楷体_GB2312"/>
          <w:b w:val="0"/>
          <w:bCs/>
          <w:sz w:val="32"/>
          <w:szCs w:val="32"/>
        </w:rPr>
        <w:t>（三）智慧监管，入企执法检查全登记。</w:t>
      </w:r>
      <w:r>
        <w:rPr>
          <w:rFonts w:hint="eastAsia" w:ascii="Times New Roman" w:hAnsi="Times New Roman" w:eastAsia="仿宋_GB2312" w:cs="Times New Roman"/>
          <w:spacing w:val="0"/>
          <w:kern w:val="2"/>
          <w:sz w:val="32"/>
          <w:szCs w:val="32"/>
          <w:lang w:val="en-US" w:eastAsia="zh-CN" w:bidi="ar-SA"/>
        </w:rPr>
        <w:t>将43个行政执法单位的2100余</w:t>
      </w:r>
      <w:r>
        <w:rPr>
          <w:rFonts w:hint="eastAsia" w:ascii="Times New Roman" w:hAnsi="Times New Roman" w:cs="Times New Roman"/>
          <w:spacing w:val="0"/>
          <w:kern w:val="2"/>
          <w:sz w:val="32"/>
          <w:szCs w:val="32"/>
          <w:lang w:val="en-US" w:eastAsia="zh-CN" w:bidi="ar-SA"/>
        </w:rPr>
        <w:t>名</w:t>
      </w:r>
      <w:r>
        <w:rPr>
          <w:rFonts w:hint="eastAsia" w:ascii="Times New Roman" w:hAnsi="Times New Roman" w:eastAsia="仿宋_GB2312" w:cs="Times New Roman"/>
          <w:spacing w:val="0"/>
          <w:kern w:val="2"/>
          <w:sz w:val="32"/>
          <w:szCs w:val="32"/>
          <w:lang w:val="en-US" w:eastAsia="zh-CN" w:bidi="ar-SA"/>
        </w:rPr>
        <w:t>执法人员全部纳入平台管理，实行“先扫码，</w:t>
      </w:r>
      <w:r>
        <w:rPr>
          <w:rFonts w:hint="eastAsia" w:ascii="Times New Roman" w:hAnsi="Times New Roman" w:eastAsia="仿宋_GB2312" w:cs="Times New Roman"/>
          <w:kern w:val="2"/>
          <w:sz w:val="32"/>
          <w:szCs w:val="32"/>
          <w:lang w:val="en-US" w:eastAsia="zh-CN" w:bidi="ar-SA"/>
        </w:rPr>
        <w:t>后入企”，执法人员扫码登记后方可入企检查，最大限度减少入企检查频次。司法部门定期通报入企执法检查扫码登记情况，纪检部门进行跟踪问责。扫码登记后各单位检查频率等信息一目了然，</w:t>
      </w:r>
      <w:r>
        <w:rPr>
          <w:rFonts w:hint="eastAsia" w:ascii="Times New Roman" w:hAnsi="Times New Roman" w:cs="Times New Roman"/>
          <w:kern w:val="2"/>
          <w:sz w:val="32"/>
          <w:szCs w:val="32"/>
          <w:lang w:val="en-US" w:eastAsia="zh-CN" w:bidi="ar-SA"/>
        </w:rPr>
        <w:t>既</w:t>
      </w:r>
      <w:r>
        <w:rPr>
          <w:rFonts w:hint="eastAsia" w:ascii="Times New Roman" w:hAnsi="Times New Roman" w:eastAsia="仿宋_GB2312" w:cs="Times New Roman"/>
          <w:kern w:val="2"/>
          <w:sz w:val="32"/>
          <w:szCs w:val="32"/>
          <w:lang w:val="en-US" w:eastAsia="zh-CN" w:bidi="ar-SA"/>
        </w:rPr>
        <w:t>保证执法的公平公正、公开透明，还可以通过大数据对执法检查频次进行监测分析，实现入企留痕、执法可溯、违规预警的精准执法。</w:t>
      </w:r>
    </w:p>
    <w:p w14:paraId="613BDF76">
      <w:pPr>
        <w:keepNext w:val="0"/>
        <w:keepLines w:val="0"/>
        <w:pageBreakBefore w:val="0"/>
        <w:widowControl w:val="0"/>
        <w:kinsoku/>
        <w:wordWrap/>
        <w:overflowPunct/>
        <w:topLinePunct w:val="0"/>
        <w:autoSpaceDE/>
        <w:autoSpaceDN/>
        <w:bidi w:val="0"/>
        <w:adjustRightInd/>
        <w:snapToGrid/>
        <w:spacing w:line="610" w:lineRule="exact"/>
        <w:ind w:left="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楷体_GB2312"/>
          <w:b w:val="0"/>
          <w:bCs/>
          <w:sz w:val="32"/>
          <w:szCs w:val="32"/>
        </w:rPr>
        <w:t>（四）数字赋能</w:t>
      </w:r>
      <w:r>
        <w:rPr>
          <w:rFonts w:hint="eastAsia" w:ascii="楷体_GB2312" w:hAnsi="楷体_GB2312" w:eastAsia="楷体_GB2312" w:cs="楷体_GB2312"/>
          <w:b w:val="0"/>
          <w:bCs/>
          <w:sz w:val="32"/>
          <w:szCs w:val="32"/>
          <w:lang w:eastAsia="zh-CN"/>
        </w:rPr>
        <w:t>，</w:t>
      </w:r>
      <w:r>
        <w:rPr>
          <w:rFonts w:hint="eastAsia" w:ascii="Times New Roman" w:hAnsi="Times New Roman" w:eastAsia="楷体_GB2312" w:cs="楷体_GB2312"/>
          <w:b w:val="0"/>
          <w:bCs/>
          <w:sz w:val="32"/>
          <w:szCs w:val="32"/>
        </w:rPr>
        <w:t>“线上+线下”涉企诉求全响应。</w:t>
      </w:r>
      <w:r>
        <w:rPr>
          <w:rFonts w:hint="eastAsia" w:ascii="Times New Roman" w:hAnsi="Times New Roman" w:eastAsia="仿宋_GB2312" w:cs="Times New Roman"/>
          <w:kern w:val="2"/>
          <w:sz w:val="32"/>
          <w:szCs w:val="32"/>
          <w:lang w:val="en-US" w:eastAsia="zh-CN" w:bidi="ar-SA"/>
        </w:rPr>
        <w:t>“线上”企业可通过扫码留言、上传图片视频等方式在平台反映问题，“线下”开通问题流转办理绿色通道，平时将来电、来信、来访等其他渠道的问题反映全部纳入平台管理，实现“线上+线下”统一办理，“线上”直接反馈结果，实现数字化赋能，涉企诉求全部响应。对企业诉求反映集中度高的重点领域、重点问题，建立直报机制，提交市级层面研究，并将办理过的72个共性问题归纳总结，形成典型案例在平台公开公示，推动“解决一个问题”向“破解一类难题”延伸。</w:t>
      </w:r>
    </w:p>
    <w:p w14:paraId="7EAF5E63">
      <w:pPr>
        <w:pStyle w:val="3"/>
        <w:keepNext w:val="0"/>
        <w:keepLines w:val="0"/>
        <w:pageBreakBefore w:val="0"/>
        <w:widowControl w:val="0"/>
        <w:kinsoku/>
        <w:wordWrap/>
        <w:overflowPunct/>
        <w:topLinePunct w:val="0"/>
        <w:autoSpaceDE/>
        <w:autoSpaceDN/>
        <w:bidi w:val="0"/>
        <w:adjustRightInd/>
        <w:snapToGrid/>
        <w:spacing w:after="0" w:line="610" w:lineRule="exact"/>
        <w:ind w:left="0" w:right="0" w:rightChars="0" w:firstLine="640" w:firstLineChars="200"/>
        <w:textAlignment w:val="auto"/>
        <w:outlineLvl w:val="9"/>
        <w:rPr>
          <w:rFonts w:hint="eastAsia" w:ascii="Times New Roman" w:hAnsi="Times New Roman" w:eastAsia="黑体" w:cs="仿宋_GB2312"/>
          <w:sz w:val="32"/>
          <w:szCs w:val="32"/>
        </w:rPr>
      </w:pPr>
      <w:r>
        <w:rPr>
          <w:rFonts w:hint="eastAsia" w:ascii="Times New Roman" w:hAnsi="Times New Roman" w:eastAsia="黑体" w:cs="仿宋_GB2312"/>
          <w:sz w:val="32"/>
          <w:szCs w:val="32"/>
        </w:rPr>
        <w:t>三、取得成效</w:t>
      </w:r>
    </w:p>
    <w:p w14:paraId="22C3E790">
      <w:pPr>
        <w:pStyle w:val="9"/>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码上服务”实施以来，打通统一执法监督盲区，先行先试入企执法扫码登记制度，实现权力运行“码上督”，行政执法“码上知”。2025年1-6月份，43个执法单位累计入企扫码登记3100次，执法检查次数同比降低15%，为各类经营主体创造更公平的执法环境。服务企业便利化水平再提升，打破传统市场主体投诉举报的局限性，所有经营主体在开办、生产经营过程中遇到困难和问题，以及对营商环境意见建议都可以在平台反映。截</w:t>
      </w:r>
      <w:r>
        <w:rPr>
          <w:rFonts w:hint="eastAsia" w:eastAsia="仿宋_GB2312" w:cs="Times New Roman"/>
          <w:kern w:val="2"/>
          <w:sz w:val="32"/>
          <w:szCs w:val="32"/>
          <w:lang w:val="en-US" w:eastAsia="zh-CN" w:bidi="ar-SA"/>
        </w:rPr>
        <w:t>至</w:t>
      </w:r>
      <w:r>
        <w:rPr>
          <w:rFonts w:hint="eastAsia" w:ascii="Times New Roman" w:hAnsi="Times New Roman" w:eastAsia="仿宋_GB2312" w:cs="Times New Roman"/>
          <w:kern w:val="2"/>
          <w:sz w:val="32"/>
          <w:szCs w:val="32"/>
          <w:lang w:val="en-US" w:eastAsia="zh-CN" w:bidi="ar-SA"/>
        </w:rPr>
        <w:t>目前，平台累计受理企业诉求110件，办结率100%，企业回访满意度达98%，进一步激发了市场主体活力。</w:t>
      </w:r>
    </w:p>
    <w:p w14:paraId="63F0D0E9">
      <w:pPr>
        <w:pStyle w:val="9"/>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2E94C4B3">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baseline"/>
        <w:outlineLvl w:val="9"/>
        <w:rPr>
          <w:rFonts w:hint="eastAsia"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案例</w:t>
      </w:r>
      <w:r>
        <w:rPr>
          <w:rFonts w:hint="eastAsia" w:ascii="Times New Roman" w:hAnsi="Times New Roman" w:eastAsia="黑体" w:cs="Times New Roman"/>
          <w:color w:val="auto"/>
          <w:kern w:val="2"/>
          <w:sz w:val="32"/>
          <w:szCs w:val="32"/>
          <w:lang w:val="en-US" w:eastAsia="zh-CN" w:bidi="ar-SA"/>
        </w:rPr>
        <w:t>10</w:t>
      </w:r>
    </w:p>
    <w:p w14:paraId="0403572E">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outlineLvl w:val="9"/>
        <w:rPr>
          <w:rFonts w:hint="default" w:ascii="Times New Roman" w:hAnsi="Times New Roman" w:eastAsia="方正小标宋简体" w:cs="Times New Roman"/>
          <w:color w:val="000000"/>
          <w:kern w:val="2"/>
          <w:sz w:val="44"/>
          <w:szCs w:val="44"/>
          <w:lang w:val="en-US" w:eastAsia="zh-CN" w:bidi="ar-SA"/>
        </w:rPr>
      </w:pPr>
    </w:p>
    <w:p w14:paraId="12830FC7">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outlineLvl w:val="9"/>
        <w:rPr>
          <w:rFonts w:hint="default" w:ascii="Times New Roman" w:hAnsi="Times New Roman" w:eastAsia="方正小标宋简体" w:cs="Times New Roman"/>
          <w:color w:val="000000"/>
          <w:kern w:val="2"/>
          <w:sz w:val="44"/>
          <w:szCs w:val="44"/>
          <w:lang w:val="en-US" w:eastAsia="zh-CN" w:bidi="ar-SA"/>
        </w:rPr>
      </w:pPr>
      <w:r>
        <w:rPr>
          <w:rFonts w:hint="default" w:ascii="Times New Roman" w:hAnsi="Times New Roman" w:eastAsia="方正小标宋简体" w:cs="Times New Roman"/>
          <w:color w:val="000000"/>
          <w:kern w:val="2"/>
          <w:sz w:val="44"/>
          <w:szCs w:val="44"/>
          <w:lang w:val="en-US" w:eastAsia="zh-CN" w:bidi="ar-SA"/>
        </w:rPr>
        <w:t>郑州航空港区</w:t>
      </w:r>
    </w:p>
    <w:p w14:paraId="773DC048">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outlineLvl w:val="9"/>
        <w:rPr>
          <w:rFonts w:hint="default" w:ascii="Times New Roman" w:hAnsi="Times New Roman" w:eastAsia="方正小标宋简体" w:cs="Times New Roman"/>
          <w:color w:val="000000"/>
          <w:kern w:val="2"/>
          <w:sz w:val="44"/>
          <w:szCs w:val="44"/>
          <w:lang w:val="en-US" w:eastAsia="zh-CN" w:bidi="ar-SA"/>
        </w:rPr>
      </w:pPr>
      <w:r>
        <w:rPr>
          <w:rFonts w:hint="default" w:ascii="Times New Roman" w:hAnsi="Times New Roman" w:eastAsia="方正小标宋简体" w:cs="Times New Roman"/>
          <w:color w:val="000000"/>
          <w:kern w:val="2"/>
          <w:sz w:val="44"/>
          <w:szCs w:val="44"/>
          <w:lang w:val="en-US" w:eastAsia="zh-CN" w:bidi="ar-SA"/>
        </w:rPr>
        <w:t>积极推进TIR国际公路运输新模式</w:t>
      </w:r>
    </w:p>
    <w:p w14:paraId="3C961567">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outlineLvl w:val="9"/>
        <w:rPr>
          <w:rFonts w:hint="default" w:ascii="Times New Roman" w:hAnsi="Times New Roman" w:eastAsia="方正小标宋简体" w:cs="Times New Roman"/>
          <w:color w:val="000000"/>
          <w:kern w:val="2"/>
          <w:sz w:val="44"/>
          <w:szCs w:val="44"/>
          <w:lang w:val="en-US" w:eastAsia="zh-CN" w:bidi="ar-SA"/>
        </w:rPr>
      </w:pPr>
      <w:r>
        <w:rPr>
          <w:rFonts w:hint="default" w:ascii="Times New Roman" w:hAnsi="Times New Roman" w:eastAsia="方正小标宋简体" w:cs="Times New Roman"/>
          <w:color w:val="000000"/>
          <w:kern w:val="2"/>
          <w:sz w:val="44"/>
          <w:szCs w:val="44"/>
          <w:lang w:val="en-US" w:eastAsia="zh-CN" w:bidi="ar-SA"/>
        </w:rPr>
        <w:t>助力公路运输物流企业</w:t>
      </w:r>
      <w:r>
        <w:rPr>
          <w:rFonts w:hint="eastAsia" w:ascii="Times New Roman" w:hAnsi="Times New Roman" w:eastAsia="方正小标宋简体" w:cs="Times New Roman"/>
          <w:color w:val="000000"/>
          <w:kern w:val="2"/>
          <w:sz w:val="44"/>
          <w:szCs w:val="44"/>
          <w:lang w:val="en-US" w:eastAsia="zh-CN" w:bidi="ar-SA"/>
        </w:rPr>
        <w:t>降本增效</w:t>
      </w:r>
    </w:p>
    <w:p w14:paraId="20522583">
      <w:pPr>
        <w:pStyle w:val="8"/>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baseline"/>
        <w:outlineLvl w:val="9"/>
        <w:rPr>
          <w:rFonts w:hint="default" w:ascii="Times New Roman" w:hAnsi="Times New Roman" w:eastAsia="楷体_GB2312" w:cs="Times New Roman"/>
          <w:color w:val="000000"/>
          <w:sz w:val="32"/>
          <w:szCs w:val="32"/>
          <w:lang w:val="en-US" w:eastAsia="zh-CN"/>
        </w:rPr>
      </w:pPr>
    </w:p>
    <w:p w14:paraId="4EF96947">
      <w:pPr>
        <w:pStyle w:val="8"/>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baseline"/>
        <w:outlineLvl w:val="9"/>
        <w:rPr>
          <w:rFonts w:hint="default" w:ascii="Times New Roman" w:hAnsi="Times New Roman" w:eastAsia="楷体_GB2312" w:cs="Times New Roman"/>
          <w:color w:val="000000"/>
          <w:kern w:val="2"/>
          <w:sz w:val="32"/>
          <w:szCs w:val="32"/>
          <w:lang w:val="en-US" w:eastAsia="zh-CN" w:bidi="ar-SA"/>
        </w:rPr>
      </w:pPr>
      <w:r>
        <w:rPr>
          <w:rFonts w:hint="eastAsia" w:ascii="黑体" w:hAnsi="黑体" w:eastAsia="黑体" w:cs="黑体"/>
          <w:color w:val="000000"/>
          <w:sz w:val="32"/>
          <w:szCs w:val="32"/>
          <w:lang w:val="en-US" w:eastAsia="zh-CN"/>
        </w:rPr>
        <w:t>推荐词：</w:t>
      </w:r>
      <w:r>
        <w:rPr>
          <w:rFonts w:hint="default" w:ascii="Times New Roman" w:hAnsi="Times New Roman" w:eastAsia="楷体_GB2312" w:cs="Times New Roman"/>
          <w:color w:val="000000"/>
          <w:kern w:val="2"/>
          <w:sz w:val="32"/>
          <w:szCs w:val="32"/>
          <w:lang w:val="en-US" w:eastAsia="zh-CN" w:bidi="ar-SA"/>
        </w:rPr>
        <w:t>郑州航空港区积极推进TIR国际公路运输新模式，设立全国第三家、内陆第一家经国际道路运输联盟</w:t>
      </w:r>
      <w:r>
        <w:rPr>
          <w:rFonts w:hint="eastAsia"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val="en-US" w:eastAsia="zh-CN" w:bidi="ar-SA"/>
        </w:rPr>
        <w:t>IRU</w:t>
      </w:r>
      <w:r>
        <w:rPr>
          <w:rFonts w:hint="eastAsia"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val="en-US" w:eastAsia="zh-CN" w:bidi="ar-SA"/>
        </w:rPr>
        <w:t>认证的国际公路运输（河南）集结中心，建成集TIR车辆集结、货物中转、仓储服务和信息交换等功能于一体的综合性服务平台，助力公路运输物流企业最高节省58%的运输时间和38%的运输成本，相当于用卡车的价格实现了接近航空运输的时效，为河南融入服务全国统一大市场建设注入新动能。</w:t>
      </w:r>
    </w:p>
    <w:p w14:paraId="0ECA7657">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一、实施背景</w:t>
      </w:r>
    </w:p>
    <w:p w14:paraId="522E9748">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2023年10月，习近平总书记在第三</w:t>
      </w:r>
      <w:r>
        <w:rPr>
          <w:rFonts w:hint="eastAsia" w:ascii="仿宋_GB2312" w:hAnsi="仿宋_GB2312" w:eastAsia="仿宋_GB2312" w:cs="仿宋_GB2312"/>
          <w:color w:val="auto"/>
          <w:sz w:val="32"/>
          <w:szCs w:val="32"/>
        </w:rPr>
        <w:t>届“一带一路”国际合作高峰论坛开幕式上宣布中国支持高质量共建“一带一路”的八项行动，构建“一带一路”立体互联</w:t>
      </w:r>
      <w:r>
        <w:rPr>
          <w:rFonts w:hint="default" w:ascii="Times New Roman" w:hAnsi="Times New Roman" w:eastAsia="仿宋_GB2312" w:cs="Times New Roman"/>
          <w:color w:val="auto"/>
          <w:sz w:val="32"/>
          <w:szCs w:val="32"/>
        </w:rPr>
        <w:t>互通网络，</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color w:val="auto"/>
          <w:sz w:val="32"/>
          <w:szCs w:val="32"/>
        </w:rPr>
        <w:t>会同各方搭建以铁路、公路直达运输为支撑的亚欧大陆物流新通道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河南省政府与海关总署新一轮合作备忘录明确支持河南国际公路运输常态化运行和业务广泛拓展</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TIR国际公路运输新模式发展提供有力支持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郑州航空港区围绕</w:t>
      </w:r>
      <w:r>
        <w:rPr>
          <w:rFonts w:hint="eastAsia" w:ascii="仿宋_GB2312" w:hAnsi="仿宋_GB2312" w:eastAsia="仿宋_GB2312" w:cs="仿宋_GB2312"/>
          <w:color w:val="auto"/>
          <w:sz w:val="32"/>
          <w:szCs w:val="32"/>
          <w:lang w:val="en-US" w:eastAsia="zh-CN"/>
        </w:rPr>
        <w:t>打造“丝路陆运”</w:t>
      </w:r>
      <w:r>
        <w:rPr>
          <w:rFonts w:hint="default" w:ascii="Times New Roman" w:hAnsi="Times New Roman" w:eastAsia="仿宋_GB2312" w:cs="Times New Roman"/>
          <w:color w:val="auto"/>
          <w:sz w:val="32"/>
          <w:szCs w:val="32"/>
          <w:lang w:val="en-US" w:eastAsia="zh-CN"/>
        </w:rPr>
        <w:t>基地，建设国际公路运输（河南）集结中心，积极推进TIR国际公路运输新模式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有效助力河南融入服务全国统一大市场建设。</w:t>
      </w:r>
    </w:p>
    <w:p w14:paraId="1F3231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主要做法</w:t>
      </w:r>
    </w:p>
    <w:p w14:paraId="06FC7C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一</w:t>
      </w: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搭建</w:t>
      </w:r>
      <w:r>
        <w:rPr>
          <w:rFonts w:hint="eastAsia" w:ascii="Times New Roman" w:hAnsi="Times New Roman" w:eastAsia="楷体_GB2312"/>
          <w:color w:val="000000"/>
          <w:sz w:val="32"/>
          <w:szCs w:val="32"/>
          <w:lang w:val="en-US" w:eastAsia="zh-CN"/>
        </w:rPr>
        <w:t>枢纽</w:t>
      </w:r>
      <w:r>
        <w:rPr>
          <w:rFonts w:hint="eastAsia" w:ascii="Times New Roman" w:hAnsi="Times New Roman" w:eastAsia="楷体_GB2312"/>
          <w:color w:val="000000"/>
          <w:sz w:val="32"/>
          <w:szCs w:val="32"/>
        </w:rPr>
        <w:t>平台</w:t>
      </w:r>
      <w:r>
        <w:rPr>
          <w:rFonts w:hint="eastAsia" w:ascii="Times New Roman" w:hAnsi="Times New Roman" w:eastAsia="楷体_GB2312"/>
          <w:color w:val="000000"/>
          <w:sz w:val="32"/>
          <w:szCs w:val="32"/>
          <w:lang w:eastAsia="zh-CN"/>
        </w:rPr>
        <w:t>，</w:t>
      </w:r>
      <w:r>
        <w:rPr>
          <w:rFonts w:hint="eastAsia" w:ascii="Times New Roman" w:hAnsi="Times New Roman" w:eastAsia="楷体_GB2312"/>
          <w:color w:val="000000"/>
          <w:sz w:val="32"/>
          <w:szCs w:val="32"/>
          <w:lang w:val="en-US" w:eastAsia="zh-CN"/>
        </w:rPr>
        <w:t>强化资源整合</w:t>
      </w:r>
      <w:r>
        <w:rPr>
          <w:rFonts w:hint="eastAsia" w:ascii="Times New Roman" w:hAnsi="Times New Roman" w:eastAsia="楷体_GB2312"/>
          <w:color w:val="000000"/>
          <w:sz w:val="32"/>
          <w:szCs w:val="32"/>
          <w:lang w:eastAsia="zh-CN"/>
        </w:rPr>
        <w:t>。</w:t>
      </w:r>
      <w:r>
        <w:rPr>
          <w:rFonts w:hint="default" w:ascii="Times New Roman" w:hAnsi="Times New Roman" w:eastAsia="仿宋_GB2312" w:cs="Times New Roman"/>
          <w:color w:val="auto"/>
          <w:sz w:val="32"/>
          <w:szCs w:val="32"/>
        </w:rPr>
        <w:t>在郑州新郑综保区成立国际公路运输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河南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集结中心，</w:t>
      </w:r>
      <w:r>
        <w:rPr>
          <w:rFonts w:hint="eastAsia" w:ascii="Times New Roman" w:hAnsi="Times New Roman" w:eastAsia="仿宋_GB2312" w:cs="Times New Roman"/>
          <w:color w:val="auto"/>
          <w:sz w:val="32"/>
          <w:szCs w:val="32"/>
          <w:lang w:eastAsia="zh-CN"/>
        </w:rPr>
        <w:t>该中心是</w:t>
      </w:r>
      <w:r>
        <w:rPr>
          <w:rFonts w:hint="eastAsia" w:ascii="Times New Roman" w:hAnsi="Times New Roman" w:eastAsia="仿宋_GB2312" w:cs="Times New Roman"/>
          <w:color w:val="auto"/>
          <w:sz w:val="32"/>
          <w:szCs w:val="32"/>
          <w:lang w:val="en-US" w:eastAsia="zh-CN"/>
        </w:rPr>
        <w:t>全国第三个、内陆地区首个经国际道路运输联盟认证的国际道路运输集结中心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集TIR车辆集结、货物中转、仓储服务和信息交换等功能于一体</w:t>
      </w:r>
      <w:r>
        <w:rPr>
          <w:rFonts w:hint="eastAsia" w:ascii="Times New Roman" w:hAnsi="Times New Roman" w:eastAsia="仿宋_GB2312" w:cs="Times New Roman"/>
          <w:color w:val="auto"/>
          <w:sz w:val="32"/>
          <w:szCs w:val="32"/>
          <w:lang w:eastAsia="zh-CN"/>
        </w:rPr>
        <w:t>，打造</w:t>
      </w:r>
      <w:r>
        <w:rPr>
          <w:rFonts w:hint="default" w:ascii="Times New Roman" w:hAnsi="Times New Roman" w:eastAsia="仿宋_GB2312" w:cs="Times New Roman"/>
          <w:color w:val="auto"/>
          <w:sz w:val="32"/>
          <w:szCs w:val="32"/>
        </w:rPr>
        <w:t>综合性服务平台。设立首个北京之外的TIR证签发点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设立国际道路运输车辆检测中心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河南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、中国道路运输协会郑州便利运输服务中心，相关企业在河南即可申领TIR单证、办理年审年检等业务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推出对俄跨境公路运输签证</w:t>
      </w:r>
      <w:r>
        <w:rPr>
          <w:rFonts w:hint="eastAsia" w:ascii="仿宋_GB2312" w:hAnsi="仿宋_GB2312" w:eastAsia="仿宋_GB2312" w:cs="仿宋_GB2312"/>
          <w:color w:val="auto"/>
          <w:sz w:val="32"/>
          <w:szCs w:val="32"/>
        </w:rPr>
        <w:t>办理“一站式”服务，</w:t>
      </w:r>
      <w:r>
        <w:rPr>
          <w:rFonts w:hint="default" w:ascii="Times New Roman" w:hAnsi="Times New Roman" w:eastAsia="仿宋_GB2312" w:cs="Times New Roman"/>
          <w:color w:val="auto"/>
          <w:sz w:val="32"/>
          <w:szCs w:val="32"/>
        </w:rPr>
        <w:t>促成各环节全过程便利化。</w:t>
      </w:r>
    </w:p>
    <w:p w14:paraId="70C063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000000"/>
          <w:sz w:val="32"/>
          <w:szCs w:val="32"/>
          <w:lang w:val="en-US" w:eastAsia="zh-CN"/>
        </w:rPr>
        <w:t>（二）</w:t>
      </w:r>
      <w:r>
        <w:rPr>
          <w:rFonts w:hint="eastAsia" w:ascii="Times New Roman" w:hAnsi="Times New Roman" w:eastAsia="楷体_GB2312" w:cs="Times New Roman"/>
          <w:color w:val="auto"/>
          <w:sz w:val="32"/>
          <w:szCs w:val="32"/>
          <w:lang w:val="en-US" w:eastAsia="zh-CN"/>
        </w:rPr>
        <w:t>推动</w:t>
      </w:r>
      <w:r>
        <w:rPr>
          <w:rFonts w:hint="default" w:ascii="Times New Roman" w:hAnsi="Times New Roman" w:eastAsia="楷体_GB2312" w:cs="Times New Roman"/>
          <w:color w:val="auto"/>
          <w:sz w:val="32"/>
          <w:szCs w:val="32"/>
          <w:lang w:val="en-US" w:eastAsia="zh-CN"/>
        </w:rPr>
        <w:t>一次申报，</w:t>
      </w:r>
      <w:r>
        <w:rPr>
          <w:rFonts w:hint="eastAsia" w:ascii="Times New Roman" w:hAnsi="Times New Roman" w:eastAsia="楷体_GB2312" w:cs="Times New Roman"/>
          <w:color w:val="auto"/>
          <w:sz w:val="32"/>
          <w:szCs w:val="32"/>
          <w:lang w:val="en-US" w:eastAsia="zh-CN"/>
        </w:rPr>
        <w:t>实现信息共享</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将国际道路运输联盟电子预申报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TIR-EPD</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系统嵌入到河南国际贸</w:t>
      </w:r>
      <w:r>
        <w:rPr>
          <w:rFonts w:hint="eastAsia" w:ascii="仿宋_GB2312" w:hAnsi="仿宋_GB2312" w:eastAsia="仿宋_GB2312" w:cs="仿宋_GB2312"/>
          <w:color w:val="auto"/>
          <w:sz w:val="32"/>
          <w:szCs w:val="32"/>
          <w:lang w:val="en-US" w:eastAsia="zh-CN"/>
        </w:rPr>
        <w:t>易“单一窗口”</w:t>
      </w:r>
      <w:r>
        <w:rPr>
          <w:rFonts w:hint="default" w:ascii="Times New Roman" w:hAnsi="Times New Roman" w:eastAsia="仿宋_GB2312" w:cs="Times New Roman"/>
          <w:color w:val="auto"/>
          <w:sz w:val="32"/>
          <w:szCs w:val="32"/>
          <w:lang w:val="en-US" w:eastAsia="zh-CN"/>
        </w:rPr>
        <w:t>，企业通过系统一次申报货物、车辆、线路、收发货人等信息，启运地海关、出境口岸海关、过境国家入出境口岸海关、指运地国家入境口岸海关和目的地海关均可同步接收到信息，无需再向沿途各个海关多次申报，实现沿途海关信息共享。</w:t>
      </w:r>
    </w:p>
    <w:p w14:paraId="63BBC7F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rightChars="0" w:firstLine="640" w:firstLineChars="200"/>
        <w:jc w:val="left"/>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000000"/>
          <w:sz w:val="32"/>
          <w:szCs w:val="32"/>
        </w:rPr>
        <w:t>（三）创新跨境监管，保障安全高效</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auto"/>
          <w:sz w:val="32"/>
          <w:szCs w:val="32"/>
          <w:lang w:val="en-US" w:eastAsia="zh-CN"/>
        </w:rPr>
        <w:t>创新搭建TIR国际公路运输智能在途监管平台，运用利用北斗卫星定位、5G通信、物联网等技术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构建</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属地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途中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口岸</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全程监管体系，海关监管人员可随时跟踪车辆状态，追踪车辆轨迹，发现异常报警</w:t>
      </w:r>
      <w:r>
        <w:rPr>
          <w:rFonts w:hint="default" w:ascii="Times New Roman" w:hAnsi="Times New Roman" w:eastAsia="仿宋_GB2312" w:cs="Times New Roman"/>
          <w:color w:val="auto"/>
          <w:sz w:val="32"/>
          <w:szCs w:val="32"/>
          <w:lang w:val="en-US" w:eastAsia="zh-CN"/>
        </w:rPr>
        <w:t>。郑州海关与乌鲁木齐、满洲里等口岸海关联动监管，制定联合监管方案，明确业务异常处置机制，构建全场景单证及实货监管链条，确保车</w:t>
      </w:r>
      <w:r>
        <w:rPr>
          <w:rFonts w:hint="eastAsia" w:ascii="仿宋_GB2312" w:hAnsi="仿宋_GB2312" w:eastAsia="仿宋_GB2312" w:cs="仿宋_GB2312"/>
          <w:color w:val="auto"/>
          <w:sz w:val="32"/>
          <w:szCs w:val="32"/>
          <w:lang w:val="en-US" w:eastAsia="zh-CN"/>
        </w:rPr>
        <w:t>辆既“通得快”又“管得住”。</w:t>
      </w:r>
    </w:p>
    <w:p w14:paraId="56AC21C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rightChars="0" w:firstLine="640" w:firstLineChars="200"/>
        <w:jc w:val="left"/>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（四）创新合作机制，拓展运输网络。</w:t>
      </w:r>
      <w:r>
        <w:rPr>
          <w:rFonts w:hint="eastAsia"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lang w:val="en-US" w:eastAsia="zh-CN"/>
        </w:rPr>
        <w:t>参与国家“跨里海”中欧公路直达快运</w:t>
      </w:r>
      <w:r>
        <w:rPr>
          <w:rFonts w:hint="eastAsia" w:ascii="Times New Roman" w:hAnsi="Times New Roman" w:eastAsia="仿宋_GB2312" w:cs="Times New Roman"/>
          <w:color w:val="auto"/>
          <w:sz w:val="32"/>
          <w:szCs w:val="32"/>
          <w:lang w:val="en-US" w:eastAsia="zh-CN"/>
        </w:rPr>
        <w:t>活动、培育“豫欧快线”“东盟快线”等精品线路；</w:t>
      </w:r>
      <w:r>
        <w:rPr>
          <w:rFonts w:hint="default" w:ascii="Times New Roman" w:hAnsi="Times New Roman" w:eastAsia="仿宋_GB2312" w:cs="Times New Roman"/>
          <w:color w:val="auto"/>
          <w:sz w:val="32"/>
          <w:szCs w:val="32"/>
          <w:lang w:val="en-US" w:eastAsia="zh-CN"/>
        </w:rPr>
        <w:t>与俄罗斯、哈萨克斯坦</w:t>
      </w:r>
      <w:r>
        <w:rPr>
          <w:rFonts w:hint="eastAsia" w:ascii="Times New Roman" w:hAnsi="Times New Roman" w:eastAsia="仿宋_GB2312" w:cs="Times New Roman"/>
          <w:color w:val="auto"/>
          <w:sz w:val="32"/>
          <w:szCs w:val="32"/>
          <w:lang w:val="en-US" w:eastAsia="zh-CN"/>
        </w:rPr>
        <w:t>等国家，</w:t>
      </w:r>
      <w:r>
        <w:rPr>
          <w:rFonts w:hint="default" w:ascii="Times New Roman" w:hAnsi="Times New Roman" w:eastAsia="仿宋_GB2312" w:cs="Times New Roman"/>
          <w:color w:val="auto"/>
          <w:sz w:val="32"/>
          <w:szCs w:val="32"/>
          <w:lang w:val="en-US" w:eastAsia="zh-CN"/>
        </w:rPr>
        <w:t>霍尔果斯、阿拉山口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二连浩特</w:t>
      </w:r>
      <w:r>
        <w:rPr>
          <w:rFonts w:hint="eastAsia" w:ascii="Times New Roman" w:hAnsi="Times New Roman" w:eastAsia="仿宋_GB2312" w:cs="Times New Roman"/>
          <w:color w:val="auto"/>
          <w:sz w:val="32"/>
          <w:szCs w:val="32"/>
          <w:lang w:val="en-US" w:eastAsia="zh-CN"/>
        </w:rPr>
        <w:t>等边境口岸建立合作机制；</w:t>
      </w:r>
      <w:r>
        <w:rPr>
          <w:rFonts w:hint="default" w:ascii="Times New Roman" w:hAnsi="Times New Roman" w:eastAsia="仿宋_GB2312" w:cs="Times New Roman"/>
          <w:color w:val="auto"/>
          <w:sz w:val="32"/>
          <w:szCs w:val="32"/>
          <w:lang w:val="en-US" w:eastAsia="zh-CN"/>
        </w:rPr>
        <w:t>在云南、广西等地设立集货仓，</w:t>
      </w:r>
      <w:r>
        <w:rPr>
          <w:rFonts w:hint="eastAsia" w:ascii="Times New Roman" w:hAnsi="Times New Roman" w:eastAsia="仿宋_GB2312" w:cs="Times New Roman"/>
          <w:color w:val="auto"/>
          <w:sz w:val="32"/>
          <w:szCs w:val="32"/>
          <w:lang w:val="en-US" w:eastAsia="zh-CN"/>
        </w:rPr>
        <w:t>积极融入“西部陆海新通道”；探索构建“郑州、深圳、义乌”三角物流，</w:t>
      </w:r>
      <w:r>
        <w:rPr>
          <w:rFonts w:hint="default" w:ascii="Times New Roman" w:hAnsi="Times New Roman" w:eastAsia="仿宋_GB2312" w:cs="Times New Roman"/>
          <w:color w:val="auto"/>
          <w:sz w:val="32"/>
          <w:szCs w:val="32"/>
          <w:lang w:val="en-US" w:eastAsia="zh-CN"/>
        </w:rPr>
        <w:t>扩大</w:t>
      </w:r>
      <w:r>
        <w:rPr>
          <w:rFonts w:hint="eastAsia" w:ascii="Times New Roman" w:hAnsi="Times New Roman" w:eastAsia="仿宋_GB2312" w:cs="Times New Roman"/>
          <w:color w:val="auto"/>
          <w:sz w:val="32"/>
          <w:szCs w:val="32"/>
          <w:lang w:val="en-US" w:eastAsia="zh-CN"/>
        </w:rPr>
        <w:t>国际公路运</w:t>
      </w:r>
      <w:r>
        <w:rPr>
          <w:rFonts w:hint="eastAsia" w:ascii="仿宋_GB2312" w:hAnsi="仿宋_GB2312" w:eastAsia="仿宋_GB2312" w:cs="仿宋_GB2312"/>
          <w:color w:val="auto"/>
          <w:sz w:val="32"/>
          <w:szCs w:val="32"/>
          <w:lang w:val="en-US" w:eastAsia="zh-CN"/>
        </w:rPr>
        <w:t>输“朋友圈”，形</w:t>
      </w:r>
      <w:r>
        <w:rPr>
          <w:rFonts w:hint="eastAsia" w:ascii="Times New Roman" w:hAnsi="Times New Roman" w:eastAsia="仿宋_GB2312" w:cs="Times New Roman"/>
          <w:color w:val="auto"/>
          <w:sz w:val="32"/>
          <w:szCs w:val="32"/>
          <w:lang w:val="en-US" w:eastAsia="zh-CN"/>
        </w:rPr>
        <w:t>成跨境“双循环”协作体系。</w:t>
      </w:r>
    </w:p>
    <w:p w14:paraId="085E9C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三、取得成效</w:t>
      </w:r>
    </w:p>
    <w:p w14:paraId="7EE70847">
      <w:pPr>
        <w:ind w:firstLine="640" w:firstLineChars="200"/>
        <w:rPr>
          <w:rFonts w:ascii="Times New Roman" w:hAnsi="Times New Roman"/>
          <w:kern w:val="32"/>
          <w:sz w:val="32"/>
          <w:szCs w:val="32"/>
        </w:rPr>
      </w:pPr>
      <w:r>
        <w:rPr>
          <w:rFonts w:hint="default" w:ascii="Times New Roman" w:hAnsi="Times New Roman" w:eastAsia="仿宋_GB2312" w:cs="Times New Roman"/>
          <w:color w:val="auto"/>
          <w:sz w:val="32"/>
          <w:szCs w:val="32"/>
          <w:lang w:val="en-US" w:eastAsia="zh-CN"/>
        </w:rPr>
        <w:t>郑州航空港区TIR国际公路运输新模式开行以来，已实现常态化运行，取得良好成效。</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国际公路运输货运量增长强劲</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2025年上半年</w:t>
      </w:r>
      <w:r>
        <w:rPr>
          <w:rFonts w:hint="default" w:ascii="Times New Roman" w:hAnsi="Times New Roman" w:eastAsia="仿宋_GB2312" w:cs="Times New Roman"/>
          <w:color w:val="auto"/>
          <w:sz w:val="32"/>
          <w:szCs w:val="32"/>
          <w:lang w:val="en-US" w:eastAsia="zh-CN"/>
        </w:rPr>
        <w:t>，国际公路运输车辆175辆次，货运量2418.81吨，同比增长40.16%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其中TIR运输110</w:t>
      </w:r>
      <w:r>
        <w:rPr>
          <w:rFonts w:hint="eastAsia" w:ascii="Times New Roman" w:hAnsi="Times New Roman" w:eastAsia="仿宋_GB2312" w:cs="Times New Roman"/>
          <w:color w:val="auto"/>
          <w:sz w:val="32"/>
          <w:szCs w:val="32"/>
          <w:lang w:val="en-US" w:eastAsia="zh-CN"/>
        </w:rPr>
        <w:t>辆</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实现货运量1447.46吨，同比增长33.42%。</w:t>
      </w:r>
      <w:r>
        <w:rPr>
          <w:rFonts w:hint="eastAsia" w:ascii="Times New Roman" w:hAnsi="Times New Roman" w:eastAsia="仿宋_GB2312" w:cs="Times New Roman"/>
          <w:color w:val="auto"/>
          <w:sz w:val="32"/>
          <w:szCs w:val="32"/>
          <w:lang w:val="en-US" w:eastAsia="zh-CN"/>
        </w:rPr>
        <w:t>目前已</w:t>
      </w:r>
      <w:r>
        <w:rPr>
          <w:rFonts w:hint="default" w:ascii="Times New Roman" w:hAnsi="Times New Roman" w:eastAsia="仿宋_GB2312" w:cs="Times New Roman"/>
          <w:color w:val="auto"/>
          <w:sz w:val="32"/>
          <w:szCs w:val="32"/>
          <w:lang w:val="en-US" w:eastAsia="zh-CN"/>
        </w:rPr>
        <w:t>开通郑州直达11个国家的21条运输线路，形</w:t>
      </w:r>
      <w:r>
        <w:rPr>
          <w:rFonts w:hint="eastAsia" w:ascii="仿宋_GB2312" w:hAnsi="仿宋_GB2312" w:eastAsia="仿宋_GB2312" w:cs="仿宋_GB2312"/>
          <w:color w:val="auto"/>
          <w:sz w:val="32"/>
          <w:szCs w:val="32"/>
          <w:lang w:val="en-US" w:eastAsia="zh-CN"/>
        </w:rPr>
        <w:t>成“北上、南下、西进”的运</w:t>
      </w:r>
      <w:r>
        <w:rPr>
          <w:rFonts w:hint="default" w:ascii="Times New Roman" w:hAnsi="Times New Roman" w:eastAsia="仿宋_GB2312" w:cs="Times New Roman"/>
          <w:color w:val="auto"/>
          <w:sz w:val="32"/>
          <w:szCs w:val="32"/>
          <w:lang w:val="en-US" w:eastAsia="zh-CN"/>
        </w:rPr>
        <w:t>输网络。</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多项业务实现全国首创。国际公路运输</w:t>
      </w:r>
      <w:r>
        <w:rPr>
          <w:rFonts w:hint="eastAsia" w:ascii="仿宋_GB2312" w:hAnsi="仿宋_GB2312" w:eastAsia="仿宋_GB2312" w:cs="仿宋_GB2312"/>
          <w:color w:val="auto"/>
          <w:sz w:val="32"/>
          <w:szCs w:val="32"/>
          <w:lang w:val="en-US" w:eastAsia="zh-CN"/>
        </w:rPr>
        <w:t>实现“中国证中国车”首</w:t>
      </w:r>
      <w:r>
        <w:rPr>
          <w:rFonts w:hint="default" w:ascii="Times New Roman" w:hAnsi="Times New Roman" w:eastAsia="仿宋_GB2312" w:cs="Times New Roman"/>
          <w:color w:val="auto"/>
          <w:sz w:val="32"/>
          <w:szCs w:val="32"/>
          <w:lang w:val="en-US" w:eastAsia="zh-CN"/>
        </w:rPr>
        <w:t>发出境、国际公路运输双向联通和常态化运营、大件运输首单启运、冷链运输首车进口、鲜切花中国首单出境、全国首票TIR重卡运输等6个全国首创。</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助力外贸企业降本增效。已经集聚国内外2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家（其中俄罗斯1家）TIR持证企业开展业务，形成规模化运输集群，为深圳华为、郑州宇通等25个省区市的1200余家进出口企业提供了低成本、高时效、安全稳定便捷的国际物流服务，助力公路运输物流企业最高节省58%的运输时间和38%的运输成本，对河南更好融入全国统一大市场建设具有重要意义</w:t>
      </w:r>
      <w:r>
        <w:rPr>
          <w:rFonts w:hint="eastAsia" w:ascii="Times New Roman" w:hAnsi="Times New Roman" w:eastAsia="仿宋_GB2312" w:cs="Times New Roman"/>
          <w:color w:val="auto"/>
          <w:sz w:val="32"/>
          <w:szCs w:val="32"/>
          <w:lang w:val="en-US" w:eastAsia="zh-CN"/>
        </w:rPr>
        <w:t>。</w:t>
      </w:r>
    </w:p>
    <w:p w14:paraId="6E2B7C2F">
      <w:pPr>
        <w:rPr>
          <w:rFonts w:hint="eastAsia" w:ascii="Times New Roman" w:hAnsi="Times New Roman"/>
          <w:kern w:val="32"/>
          <w:sz w:val="32"/>
          <w:szCs w:val="20"/>
        </w:rPr>
      </w:pPr>
    </w:p>
    <w:p w14:paraId="2D9AF0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D1AF07-00A8-433C-A89C-6A3CF77C14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CBCE26B-4868-4227-9885-9A64AE496E13}"/>
  </w:font>
  <w:font w:name="仿宋_GB2312">
    <w:altName w:val="仿宋"/>
    <w:panose1 w:val="02010609030101010101"/>
    <w:charset w:val="86"/>
    <w:family w:val="modern"/>
    <w:pitch w:val="default"/>
    <w:sig w:usb0="00000000" w:usb1="00000000" w:usb2="00000000" w:usb3="00000000" w:csb0="00040000" w:csb1="00000000"/>
    <w:embedRegular r:id="rId3" w:fontKey="{AC02F23B-87AA-444A-A7D1-8C3C462BB7EC}"/>
  </w:font>
  <w:font w:name="方正小标宋简体">
    <w:panose1 w:val="02000000000000000000"/>
    <w:charset w:val="86"/>
    <w:family w:val="auto"/>
    <w:pitch w:val="default"/>
    <w:sig w:usb0="00000001" w:usb1="08000000" w:usb2="00000000" w:usb3="00000000" w:csb0="00040000" w:csb1="00000000"/>
    <w:embedRegular r:id="rId4" w:fontKey="{8343980C-DF35-474E-92DF-04FFF95FD209}"/>
  </w:font>
  <w:font w:name="楷体_GB2312">
    <w:altName w:val="楷体"/>
    <w:panose1 w:val="02010609030101010101"/>
    <w:charset w:val="86"/>
    <w:family w:val="modern"/>
    <w:pitch w:val="default"/>
    <w:sig w:usb0="00000000" w:usb1="00000000" w:usb2="00000000" w:usb3="00000000" w:csb0="00040000" w:csb1="00000000"/>
    <w:embedRegular r:id="rId5" w:fontKey="{E283B258-8F14-41D4-A5C6-78CB46AFC20E}"/>
  </w:font>
  <w:font w:name="华文仿宋">
    <w:altName w:val="仿宋"/>
    <w:panose1 w:val="02010600040101010101"/>
    <w:charset w:val="86"/>
    <w:family w:val="auto"/>
    <w:pitch w:val="default"/>
    <w:sig w:usb0="00000000" w:usb1="00000000" w:usb2="00000000" w:usb3="00000000" w:csb0="0004009F" w:csb1="DFD70000"/>
    <w:embedRegular r:id="rId6" w:fontKey="{C9DDA82A-467F-4776-A7B2-29290C65B943}"/>
  </w:font>
  <w:font w:name="方正黑体_GBK">
    <w:altName w:val="微软雅黑"/>
    <w:panose1 w:val="02000000000000000000"/>
    <w:charset w:val="86"/>
    <w:family w:val="auto"/>
    <w:pitch w:val="default"/>
    <w:sig w:usb0="00000000" w:usb1="00000000" w:usb2="00000000" w:usb3="00000000" w:csb0="00040000" w:csb1="00000000"/>
    <w:embedRegular r:id="rId7" w:fontKey="{B920FB57-CE34-4C02-B334-BA24FF01144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7421">
    <w:pPr>
      <w:pStyle w:val="4"/>
      <w:snapToGrid/>
      <w:ind w:left="310" w:leftChars="100" w:right="310" w:rightChars="100"/>
      <w:jc w:val="right"/>
      <w:rPr>
        <w:rFonts w:hint="eastAsia" w:eastAsia="宋体"/>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FF95">
    <w:pPr>
      <w:pStyle w:val="4"/>
      <w:snapToGrid/>
      <w:ind w:left="310" w:leftChars="100" w:right="310" w:rightChars="100"/>
      <w:jc w:val="lef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FEAE"/>
    <w:multiLevelType w:val="singleLevel"/>
    <w:tmpl w:val="EFFFFEAE"/>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704F0"/>
    <w:rsid w:val="61F7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jc w:val="both"/>
    </w:pPr>
    <w:rPr>
      <w:rFonts w:ascii="Times New Roman" w:hAnsi="Times New Roman" w:eastAsia="宋体" w:cs="Times New Roman"/>
      <w:kern w:val="0"/>
      <w:sz w:val="32"/>
      <w:szCs w:val="22"/>
      <w:lang w:val="en-US" w:eastAsia="zh-CN" w:bidi="ar-SA"/>
    </w:rPr>
  </w:style>
  <w:style w:type="paragraph" w:styleId="4">
    <w:name w:val="footer"/>
    <w:basedOn w:val="1"/>
    <w:qFormat/>
    <w:uiPriority w:val="0"/>
    <w:pPr>
      <w:tabs>
        <w:tab w:val="center" w:pos="4153"/>
        <w:tab w:val="right" w:pos="8306"/>
      </w:tabs>
      <w:snapToGrid w:val="0"/>
      <w:jc w:val="left"/>
    </w:pPr>
    <w:rPr>
      <w:rFonts w:ascii="Calibri" w:hAnsi="Calibri" w:eastAsia="宋体"/>
      <w:sz w:val="18"/>
      <w:szCs w:val="18"/>
    </w:rPr>
  </w:style>
  <w:style w:type="character" w:styleId="7">
    <w:name w:val="Strong"/>
    <w:basedOn w:val="6"/>
    <w:qFormat/>
    <w:uiPriority w:val="0"/>
    <w:rPr>
      <w:b/>
    </w:rPr>
  </w:style>
  <w:style w:type="paragraph" w:customStyle="1" w:styleId="8">
    <w:name w:val="BodyText"/>
    <w:qFormat/>
    <w:uiPriority w:val="0"/>
    <w:pPr>
      <w:widowControl w:val="0"/>
      <w:jc w:val="both"/>
      <w:textAlignment w:val="baseline"/>
    </w:pPr>
    <w:rPr>
      <w:rFonts w:ascii="Calibri" w:hAnsi="Calibri" w:eastAsia="宋体" w:cs="Times New Roman"/>
      <w:kern w:val="2"/>
      <w:sz w:val="21"/>
      <w:szCs w:val="24"/>
      <w:lang w:val="en-US" w:eastAsia="zh-CN" w:bidi="ar-SA"/>
    </w:rPr>
  </w:style>
  <w:style w:type="paragraph" w:customStyle="1" w:styleId="9">
    <w:name w:val="正文文本 21"/>
    <w:basedOn w:val="1"/>
    <w:qFormat/>
    <w:uiPriority w:val="0"/>
    <w:pPr>
      <w:spacing w:line="480" w:lineRule="auto"/>
    </w:pPr>
    <w:rPr>
      <w:rFonts w:ascii="Times New Roman" w:hAnsi="Times New Roman" w:eastAsia="宋体" w:cs="Times New Roman"/>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2025-08-26T08:06:00Z</dcterms:created>
  <dc:creator>我是这个家祺的家祺</dc:creator>
  <cp:lastModifiedBy>我是这个家祺的家祺</cp:lastModifiedBy>
  <dcterms:modified xsi:type="dcterms:W3CDTF">2025-08-26T08:07:31Z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F95773A061CB49ACAB6B87021540E4FB_11</vt:lpwstr>
  </property>
  <property fmtid="{D5CDD505-2E9C-101B-9397-08002B2CF9AE}" pid="4" name="KSOTemplateDocerSaveRecord">
    <vt:lpwstr>eyJoZGlkIjoiODc4N2ZkZTJhNzk3MTVkYzhkMzA2ODVmMjI1OTI3MjQiLCJ1c2VySWQiOiIyNTU0NDE5MzAifQ==</vt:lpwstr>
  </property>
</Properties>
</file>