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黑体" w:hAnsi="黑体" w:eastAsia="黑体" w:cs="黑体"/>
          <w:b w:val="0"/>
          <w:bCs w:val="0"/>
          <w:sz w:val="44"/>
          <w:szCs w:val="44"/>
          <w:shd w:val="clear" w:color="auto" w:fill="FFFFFF"/>
        </w:rPr>
      </w:pPr>
      <w:r>
        <w:rPr>
          <w:rFonts w:hint="eastAsia" w:ascii="黑体" w:hAnsi="黑体" w:eastAsia="黑体" w:cs="黑体"/>
          <w:b w:val="0"/>
          <w:bCs w:val="0"/>
          <w:sz w:val="44"/>
          <w:szCs w:val="44"/>
          <w:shd w:val="clear" w:color="auto" w:fill="FFFFFF"/>
          <w:lang w:val="en-US" w:eastAsia="zh-CN"/>
        </w:rPr>
        <w:t>浉河区</w:t>
      </w:r>
      <w:r>
        <w:rPr>
          <w:rFonts w:hint="eastAsia" w:ascii="黑体" w:hAnsi="黑体" w:eastAsia="黑体" w:cs="黑体"/>
          <w:b w:val="0"/>
          <w:bCs w:val="0"/>
          <w:spacing w:val="-20"/>
          <w:sz w:val="44"/>
          <w:szCs w:val="44"/>
          <w:shd w:val="clear" w:color="auto" w:fill="FFFFFF"/>
        </w:rPr>
        <w:t>人力资源和社会保障</w:t>
      </w:r>
      <w:r>
        <w:rPr>
          <w:rFonts w:hint="eastAsia" w:ascii="黑体" w:hAnsi="黑体" w:eastAsia="黑体" w:cs="黑体"/>
          <w:b w:val="0"/>
          <w:bCs w:val="0"/>
          <w:spacing w:val="-20"/>
          <w:sz w:val="44"/>
          <w:szCs w:val="44"/>
          <w:shd w:val="clear" w:color="auto" w:fill="FFFFFF"/>
          <w:lang w:val="en-US" w:eastAsia="zh-CN"/>
        </w:rPr>
        <w:t>局</w:t>
      </w:r>
      <w:r>
        <w:rPr>
          <w:rFonts w:hint="eastAsia" w:ascii="黑体" w:hAnsi="黑体" w:eastAsia="黑体" w:cs="黑体"/>
          <w:b w:val="0"/>
          <w:bCs w:val="0"/>
          <w:spacing w:val="-20"/>
          <w:sz w:val="44"/>
          <w:szCs w:val="44"/>
          <w:shd w:val="clear" w:color="auto" w:fill="FFFFFF"/>
        </w:rPr>
        <w:t>行政执法权责清单</w:t>
      </w:r>
    </w:p>
    <w:tbl>
      <w:tblPr>
        <w:tblStyle w:val="4"/>
        <w:tblW w:w="14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8"/>
        <w:gridCol w:w="6017"/>
        <w:gridCol w:w="1163"/>
        <w:gridCol w:w="1534"/>
        <w:gridCol w:w="1129"/>
        <w:gridCol w:w="1466"/>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jc w:val="center"/>
        </w:trPr>
        <w:tc>
          <w:tcPr>
            <w:tcW w:w="669" w:type="dxa"/>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黑体" w:hAnsi="黑体" w:eastAsia="黑体"/>
                <w:szCs w:val="21"/>
                <w:shd w:val="clear" w:color="auto" w:fill="FFFFFF"/>
              </w:rPr>
            </w:pPr>
            <w:r>
              <w:rPr>
                <w:rFonts w:ascii="黑体" w:hAnsi="黑体" w:eastAsia="黑体"/>
                <w:szCs w:val="21"/>
                <w:shd w:val="clear" w:color="auto" w:fill="FFFFFF"/>
              </w:rPr>
              <w:t>序号</w:t>
            </w:r>
          </w:p>
        </w:tc>
        <w:tc>
          <w:tcPr>
            <w:tcW w:w="1028" w:type="dxa"/>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黑体" w:hAnsi="黑体" w:eastAsia="黑体"/>
                <w:szCs w:val="21"/>
                <w:shd w:val="clear" w:color="auto" w:fill="FFFFFF"/>
              </w:rPr>
            </w:pPr>
            <w:r>
              <w:rPr>
                <w:rFonts w:ascii="黑体" w:hAnsi="黑体" w:eastAsia="黑体"/>
                <w:szCs w:val="21"/>
                <w:shd w:val="clear" w:color="auto" w:fill="FFFFFF"/>
              </w:rPr>
              <w:t>项目</w:t>
            </w:r>
          </w:p>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黑体" w:hAnsi="黑体" w:eastAsia="黑体"/>
                <w:szCs w:val="21"/>
                <w:shd w:val="clear" w:color="auto" w:fill="FFFFFF"/>
              </w:rPr>
            </w:pPr>
            <w:r>
              <w:rPr>
                <w:rFonts w:ascii="黑体" w:hAnsi="黑体" w:eastAsia="黑体"/>
                <w:szCs w:val="21"/>
                <w:shd w:val="clear" w:color="auto" w:fill="FFFFFF"/>
              </w:rPr>
              <w:t>名称</w:t>
            </w:r>
          </w:p>
        </w:tc>
        <w:tc>
          <w:tcPr>
            <w:tcW w:w="6017" w:type="dxa"/>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黑体" w:hAnsi="黑体" w:eastAsia="黑体"/>
                <w:szCs w:val="21"/>
                <w:shd w:val="clear" w:color="auto" w:fill="FFFFFF"/>
              </w:rPr>
            </w:pPr>
            <w:r>
              <w:rPr>
                <w:rFonts w:ascii="黑体" w:hAnsi="黑体" w:eastAsia="黑体"/>
                <w:szCs w:val="21"/>
                <w:shd w:val="clear" w:color="auto" w:fill="FFFFFF"/>
              </w:rPr>
              <w:t>设定依据</w:t>
            </w:r>
          </w:p>
        </w:tc>
        <w:tc>
          <w:tcPr>
            <w:tcW w:w="1163" w:type="dxa"/>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黑体" w:hAnsi="黑体" w:eastAsia="黑体"/>
                <w:szCs w:val="21"/>
                <w:shd w:val="clear" w:color="auto" w:fill="FFFFFF"/>
              </w:rPr>
            </w:pPr>
            <w:r>
              <w:rPr>
                <w:rFonts w:ascii="黑体" w:hAnsi="黑体" w:eastAsia="黑体"/>
                <w:szCs w:val="21"/>
                <w:shd w:val="clear" w:color="auto" w:fill="FFFFFF"/>
              </w:rPr>
              <w:t>职权类别</w:t>
            </w:r>
          </w:p>
        </w:tc>
        <w:tc>
          <w:tcPr>
            <w:tcW w:w="1534" w:type="dxa"/>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黑体" w:hAnsi="黑体" w:eastAsia="黑体"/>
                <w:szCs w:val="21"/>
                <w:shd w:val="clear" w:color="auto" w:fill="FFFFFF"/>
                <w:lang w:eastAsia="zh-CN"/>
              </w:rPr>
            </w:pPr>
            <w:r>
              <w:rPr>
                <w:rFonts w:hint="eastAsia" w:ascii="黑体" w:hAnsi="黑体" w:eastAsia="黑体"/>
                <w:szCs w:val="21"/>
                <w:shd w:val="clear" w:color="auto" w:fill="FFFFFF"/>
                <w:lang w:eastAsia="zh-CN"/>
              </w:rPr>
              <w:t>办理环节</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黑体" w:hAnsi="黑体" w:eastAsia="黑体"/>
                <w:szCs w:val="21"/>
                <w:shd w:val="clear" w:color="auto" w:fill="FFFFFF"/>
                <w:lang w:eastAsia="zh-CN"/>
              </w:rPr>
            </w:pPr>
            <w:r>
              <w:rPr>
                <w:rFonts w:ascii="黑体" w:hAnsi="黑体" w:eastAsia="黑体"/>
                <w:szCs w:val="21"/>
                <w:shd w:val="clear" w:color="auto" w:fill="FFFFFF"/>
              </w:rPr>
              <w:t>责任</w:t>
            </w:r>
            <w:r>
              <w:rPr>
                <w:rFonts w:hint="eastAsia" w:ascii="黑体" w:hAnsi="黑体" w:eastAsia="黑体"/>
                <w:szCs w:val="21"/>
                <w:shd w:val="clear" w:color="auto" w:fill="FFFFFF"/>
                <w:lang w:eastAsia="zh-CN"/>
              </w:rPr>
              <w:t>科室</w:t>
            </w:r>
          </w:p>
        </w:tc>
        <w:tc>
          <w:tcPr>
            <w:tcW w:w="1466" w:type="dxa"/>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黑体" w:hAnsi="黑体" w:eastAsia="黑体"/>
                <w:szCs w:val="21"/>
                <w:shd w:val="clear" w:color="auto" w:fill="FFFFFF"/>
                <w:lang w:eastAsia="zh-CN"/>
              </w:rPr>
            </w:pPr>
            <w:r>
              <w:rPr>
                <w:rFonts w:hint="eastAsia" w:ascii="黑体" w:hAnsi="黑体" w:eastAsia="黑体"/>
                <w:szCs w:val="21"/>
                <w:shd w:val="clear" w:color="auto" w:fill="FFFFFF"/>
                <w:lang w:eastAsia="zh-CN"/>
              </w:rPr>
              <w:t>承诺时限</w:t>
            </w:r>
          </w:p>
        </w:tc>
        <w:tc>
          <w:tcPr>
            <w:tcW w:w="1494" w:type="dxa"/>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黑体" w:hAnsi="黑体" w:eastAsia="黑体"/>
                <w:szCs w:val="21"/>
                <w:shd w:val="clear" w:color="auto" w:fill="FFFFFF"/>
                <w:lang w:eastAsia="zh-CN"/>
              </w:rPr>
            </w:pPr>
            <w:r>
              <w:rPr>
                <w:rFonts w:hint="eastAsia" w:ascii="黑体" w:hAnsi="黑体" w:eastAsia="黑体"/>
                <w:szCs w:val="21"/>
                <w:shd w:val="clear" w:color="auto" w:fill="FFFFFF"/>
                <w:lang w:eastAsia="zh-CN"/>
              </w:rPr>
              <w:t>法定时限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669" w:type="dxa"/>
            <w:vAlign w:val="center"/>
          </w:tcPr>
          <w:p>
            <w:pPr>
              <w:spacing w:line="260" w:lineRule="exact"/>
              <w:jc w:val="center"/>
              <w:rPr>
                <w:rFonts w:hint="eastAsia" w:ascii="Times New Roman" w:hAnsi="Times New Roman" w:eastAsia="仿宋_GB2312"/>
                <w:szCs w:val="21"/>
                <w:shd w:val="clear" w:color="auto" w:fill="FFFFFF"/>
                <w:lang w:eastAsia="zh-CN"/>
              </w:rPr>
            </w:pPr>
            <w:r>
              <w:rPr>
                <w:rFonts w:hint="eastAsia" w:ascii="Times New Roman" w:hAnsi="Times New Roman" w:eastAsia="仿宋_GB2312"/>
                <w:szCs w:val="21"/>
                <w:shd w:val="clear" w:color="auto" w:fill="FFFFFF"/>
                <w:lang w:val="en-US" w:eastAsia="zh-CN"/>
              </w:rPr>
              <w:t>1</w:t>
            </w:r>
          </w:p>
        </w:tc>
        <w:tc>
          <w:tcPr>
            <w:tcW w:w="1028" w:type="dxa"/>
            <w:vAlign w:val="center"/>
          </w:tcPr>
          <w:p>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人力资源服务许可</w:t>
            </w:r>
          </w:p>
        </w:tc>
        <w:tc>
          <w:tcPr>
            <w:tcW w:w="6017" w:type="dxa"/>
            <w:vAlign w:val="center"/>
          </w:tcPr>
          <w:p>
            <w:pPr>
              <w:spacing w:line="260" w:lineRule="exact"/>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br w:type="textWrapping"/>
            </w:r>
            <w:r>
              <w:rPr>
                <w:rFonts w:ascii="Times New Roman" w:hAnsi="Times New Roman" w:eastAsia="仿宋_GB2312"/>
                <w:szCs w:val="21"/>
                <w:shd w:val="clear" w:color="auto" w:fill="FFFFFF"/>
              </w:rPr>
              <w:t xml:space="preserve">    《中华人民共和国就业促进法》第四十条：设立职业中介机构应当在工商行政管理部门办理登记后，向劳动行政部门申请行政许可。未经依法许可和登记的机构，不得从事职业中介活动。</w:t>
            </w:r>
            <w:r>
              <w:rPr>
                <w:rFonts w:ascii="Times New Roman" w:hAnsi="Times New Roman" w:eastAsia="仿宋_GB2312"/>
                <w:szCs w:val="21"/>
                <w:shd w:val="clear" w:color="auto" w:fill="FFFFFF"/>
              </w:rPr>
              <w:br w:type="textWrapping"/>
            </w:r>
            <w:r>
              <w:rPr>
                <w:rFonts w:ascii="Times New Roman" w:hAnsi="Times New Roman" w:eastAsia="仿宋_GB2312"/>
                <w:szCs w:val="21"/>
                <w:shd w:val="clear" w:color="auto" w:fill="FFFFFF"/>
              </w:rPr>
              <w:t xml:space="preserve">    《人力资源市场暂行条例》（中华人民共和国国务院令第700号）第十八条：经营性人力资源服务机构从事职业中介活动的，应当依法向人力资源社会保障行政部门申请行政许可，取得人力资源服务许可证。</w:t>
            </w:r>
          </w:p>
        </w:tc>
        <w:tc>
          <w:tcPr>
            <w:tcW w:w="1163" w:type="dxa"/>
            <w:vAlign w:val="center"/>
          </w:tcPr>
          <w:p>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行政许可</w:t>
            </w:r>
          </w:p>
        </w:tc>
        <w:tc>
          <w:tcPr>
            <w:tcW w:w="1534" w:type="dxa"/>
            <w:vAlign w:val="center"/>
          </w:tcPr>
          <w:p>
            <w:pPr>
              <w:spacing w:line="260" w:lineRule="exact"/>
              <w:jc w:val="center"/>
              <w:rPr>
                <w:rFonts w:hint="default"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val="en-US" w:eastAsia="zh-CN"/>
              </w:rPr>
              <w:t>申请—初审—实地核查—公示—批复—制证—送达</w:t>
            </w:r>
          </w:p>
        </w:tc>
        <w:tc>
          <w:tcPr>
            <w:tcW w:w="1129" w:type="dxa"/>
            <w:vAlign w:val="center"/>
          </w:tcPr>
          <w:p>
            <w:pPr>
              <w:spacing w:line="260" w:lineRule="exact"/>
              <w:jc w:val="center"/>
              <w:rPr>
                <w:rFonts w:hint="default"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val="en-US" w:eastAsia="zh-CN"/>
              </w:rPr>
              <w:t>就业促进股</w:t>
            </w:r>
          </w:p>
        </w:tc>
        <w:tc>
          <w:tcPr>
            <w:tcW w:w="1466" w:type="dxa"/>
            <w:vAlign w:val="center"/>
          </w:tcPr>
          <w:p>
            <w:pPr>
              <w:spacing w:line="260" w:lineRule="exact"/>
              <w:jc w:val="center"/>
              <w:rPr>
                <w:rFonts w:hint="default"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val="en-US" w:eastAsia="zh-CN"/>
              </w:rPr>
              <w:t>20天</w:t>
            </w:r>
          </w:p>
        </w:tc>
        <w:tc>
          <w:tcPr>
            <w:tcW w:w="1494" w:type="dxa"/>
            <w:vAlign w:val="center"/>
          </w:tcPr>
          <w:p>
            <w:pPr>
              <w:spacing w:line="260" w:lineRule="exact"/>
              <w:jc w:val="center"/>
              <w:rPr>
                <w:rFonts w:hint="default"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val="en-US" w:eastAsia="zh-CN"/>
              </w:rPr>
              <w:t>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jc w:val="center"/>
        </w:trPr>
        <w:tc>
          <w:tcPr>
            <w:tcW w:w="669" w:type="dxa"/>
            <w:vAlign w:val="center"/>
          </w:tcPr>
          <w:p>
            <w:pPr>
              <w:spacing w:line="260" w:lineRule="exact"/>
              <w:jc w:val="center"/>
              <w:rPr>
                <w:rFonts w:hint="eastAsia" w:ascii="Times New Roman" w:hAnsi="Times New Roman" w:eastAsia="仿宋_GB2312"/>
                <w:szCs w:val="21"/>
                <w:shd w:val="clear" w:color="auto" w:fill="FFFFFF"/>
                <w:lang w:eastAsia="zh-CN"/>
              </w:rPr>
            </w:pPr>
            <w:r>
              <w:rPr>
                <w:rFonts w:hint="eastAsia" w:ascii="Times New Roman" w:hAnsi="Times New Roman" w:eastAsia="仿宋_GB2312"/>
                <w:szCs w:val="21"/>
                <w:shd w:val="clear" w:color="auto" w:fill="FFFFFF"/>
                <w:lang w:val="en-US" w:eastAsia="zh-CN"/>
              </w:rPr>
              <w:t>2</w:t>
            </w:r>
          </w:p>
        </w:tc>
        <w:tc>
          <w:tcPr>
            <w:tcW w:w="1028" w:type="dxa"/>
            <w:vAlign w:val="center"/>
          </w:tcPr>
          <w:p>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民办职业培训学校设立审批</w:t>
            </w:r>
          </w:p>
        </w:tc>
        <w:tc>
          <w:tcPr>
            <w:tcW w:w="6017" w:type="dxa"/>
            <w:vAlign w:val="center"/>
          </w:tcPr>
          <w:p>
            <w:pPr>
              <w:spacing w:line="260" w:lineRule="exact"/>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中华人民共和国民办教育促进法》第八条：“县级以上地方各级人民政府教育行政部门主管本行政区域内的民办教育工作。县级以上地方各级人民政府劳动和社会保障行政部门及其他有关部门在各自的职责范围内，分别负责有关的民办教育工作。”第十一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劳动和社会保障行政部门按照国家规定的权限审批，并抄送同级教育行政部门备案。”第十六条：“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p>
        </w:tc>
        <w:tc>
          <w:tcPr>
            <w:tcW w:w="1163" w:type="dxa"/>
            <w:vAlign w:val="center"/>
          </w:tcPr>
          <w:p>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行政许可</w:t>
            </w:r>
          </w:p>
        </w:tc>
        <w:tc>
          <w:tcPr>
            <w:tcW w:w="1534" w:type="dxa"/>
            <w:vAlign w:val="center"/>
          </w:tcPr>
          <w:p>
            <w:pPr>
              <w:spacing w:line="260" w:lineRule="exact"/>
              <w:jc w:val="center"/>
              <w:rPr>
                <w:rFonts w:hint="eastAsia"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val="en-US" w:eastAsia="zh-CN"/>
              </w:rPr>
              <w:t>申请—初审—实地核查—公示—批复—制证—送达</w:t>
            </w:r>
          </w:p>
        </w:tc>
        <w:tc>
          <w:tcPr>
            <w:tcW w:w="1129" w:type="dxa"/>
            <w:vAlign w:val="center"/>
          </w:tcPr>
          <w:p>
            <w:pPr>
              <w:spacing w:line="260" w:lineRule="exact"/>
              <w:jc w:val="center"/>
              <w:rPr>
                <w:rFonts w:hint="default"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val="en-US" w:eastAsia="zh-CN"/>
              </w:rPr>
              <w:t>就业促进股</w:t>
            </w:r>
          </w:p>
        </w:tc>
        <w:tc>
          <w:tcPr>
            <w:tcW w:w="1466" w:type="dxa"/>
            <w:vAlign w:val="center"/>
          </w:tcPr>
          <w:p>
            <w:pPr>
              <w:spacing w:line="260" w:lineRule="exact"/>
              <w:jc w:val="center"/>
              <w:rPr>
                <w:rFonts w:hint="eastAsia"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val="en-US" w:eastAsia="zh-CN"/>
              </w:rPr>
              <w:t>90天</w:t>
            </w:r>
          </w:p>
        </w:tc>
        <w:tc>
          <w:tcPr>
            <w:tcW w:w="1494" w:type="dxa"/>
            <w:vAlign w:val="center"/>
          </w:tcPr>
          <w:p>
            <w:pPr>
              <w:spacing w:line="260" w:lineRule="exact"/>
              <w:jc w:val="center"/>
              <w:rPr>
                <w:rFonts w:hint="default"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669" w:type="dxa"/>
            <w:vAlign w:val="center"/>
          </w:tcPr>
          <w:p>
            <w:pPr>
              <w:spacing w:line="260" w:lineRule="exact"/>
              <w:jc w:val="center"/>
              <w:rPr>
                <w:rFonts w:hint="eastAsia" w:ascii="Times New Roman" w:hAnsi="Times New Roman" w:eastAsia="仿宋_GB2312"/>
                <w:szCs w:val="21"/>
                <w:shd w:val="clear" w:color="auto" w:fill="FFFFFF"/>
                <w:lang w:eastAsia="zh-CN"/>
              </w:rPr>
            </w:pPr>
            <w:r>
              <w:rPr>
                <w:rFonts w:hint="eastAsia" w:ascii="Times New Roman" w:hAnsi="Times New Roman" w:eastAsia="仿宋_GB2312"/>
                <w:szCs w:val="21"/>
                <w:shd w:val="clear" w:color="auto" w:fill="FFFFFF"/>
                <w:lang w:val="en-US" w:eastAsia="zh-CN"/>
              </w:rPr>
              <w:t>3</w:t>
            </w:r>
          </w:p>
        </w:tc>
        <w:tc>
          <w:tcPr>
            <w:tcW w:w="1028" w:type="dxa"/>
            <w:vAlign w:val="center"/>
          </w:tcPr>
          <w:p>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企业实行不定时工作制和综合计算工时工作制审批</w:t>
            </w:r>
          </w:p>
        </w:tc>
        <w:tc>
          <w:tcPr>
            <w:tcW w:w="6017" w:type="dxa"/>
            <w:vAlign w:val="center"/>
          </w:tcPr>
          <w:p>
            <w:pPr>
              <w:spacing w:line="260" w:lineRule="exact"/>
              <w:rPr>
                <w:rFonts w:hint="eastAsia" w:ascii="Times New Roman" w:hAnsi="Times New Roman" w:eastAsia="仿宋_GB2312"/>
                <w:szCs w:val="21"/>
                <w:shd w:val="clear" w:color="auto" w:fill="FFFFFF"/>
                <w:lang w:val="en-US" w:eastAsia="zh-CN"/>
              </w:rPr>
            </w:pPr>
            <w:r>
              <w:rPr>
                <w:rFonts w:ascii="Times New Roman" w:hAnsi="Times New Roman" w:eastAsia="仿宋_GB2312"/>
                <w:szCs w:val="21"/>
                <w:shd w:val="clear" w:color="auto" w:fill="FFFFFF"/>
              </w:rPr>
              <w:t>《中华人民共和国劳动法》第三十六条：“国家实行劳动者每日工作时间不超过八小时、平均每周工作时间不超过四十四小时的工时制度。”第三十八条：“用人单位应当保证劳动者每周至少休息一日。”第三十九条：“企业因生产特点不能实行本法第三十六条、第三十八条规定的，经劳动行政部门批准，可以实行其他工作和休息办法。</w:t>
            </w:r>
          </w:p>
        </w:tc>
        <w:tc>
          <w:tcPr>
            <w:tcW w:w="1163" w:type="dxa"/>
            <w:vAlign w:val="center"/>
          </w:tcPr>
          <w:p>
            <w:pPr>
              <w:spacing w:line="26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行政许可</w:t>
            </w:r>
          </w:p>
        </w:tc>
        <w:tc>
          <w:tcPr>
            <w:tcW w:w="1534" w:type="dxa"/>
            <w:vAlign w:val="center"/>
          </w:tcPr>
          <w:p>
            <w:pPr>
              <w:spacing w:line="260" w:lineRule="exact"/>
              <w:jc w:val="center"/>
              <w:rPr>
                <w:rFonts w:hint="default"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eastAsia="zh-CN"/>
              </w:rPr>
              <w:t>申请—受理—审核—办结—反馈办理结果</w:t>
            </w:r>
          </w:p>
        </w:tc>
        <w:tc>
          <w:tcPr>
            <w:tcW w:w="1129" w:type="dxa"/>
            <w:vAlign w:val="center"/>
          </w:tcPr>
          <w:p>
            <w:pPr>
              <w:spacing w:line="260" w:lineRule="exact"/>
              <w:jc w:val="center"/>
              <w:rPr>
                <w:rFonts w:hint="eastAsia" w:ascii="Times New Roman" w:hAnsi="Times New Roman" w:eastAsia="仿宋_GB2312"/>
                <w:szCs w:val="21"/>
                <w:shd w:val="clear" w:color="auto" w:fill="FFFFFF"/>
                <w:lang w:eastAsia="zh-CN"/>
              </w:rPr>
            </w:pPr>
            <w:r>
              <w:rPr>
                <w:rFonts w:hint="eastAsia" w:ascii="Times New Roman" w:hAnsi="Times New Roman" w:eastAsia="仿宋_GB2312"/>
                <w:szCs w:val="21"/>
                <w:shd w:val="clear" w:color="auto" w:fill="FFFFFF"/>
                <w:lang w:eastAsia="zh-CN"/>
              </w:rPr>
              <w:t>劳动保障监察股</w:t>
            </w:r>
          </w:p>
        </w:tc>
        <w:tc>
          <w:tcPr>
            <w:tcW w:w="1466" w:type="dxa"/>
            <w:vAlign w:val="center"/>
          </w:tcPr>
          <w:p>
            <w:pPr>
              <w:spacing w:line="260" w:lineRule="exact"/>
              <w:jc w:val="center"/>
              <w:rPr>
                <w:rFonts w:hint="default" w:ascii="Times New Roman" w:hAnsi="Times New Roman" w:eastAsia="仿宋_GB2312"/>
                <w:szCs w:val="21"/>
                <w:shd w:val="clear" w:color="auto" w:fill="FFFFFF"/>
                <w:lang w:val="en-US" w:eastAsia="zh-CN"/>
              </w:rPr>
            </w:pPr>
            <w:r>
              <w:rPr>
                <w:rFonts w:hint="eastAsia" w:ascii="Times New Roman" w:hAnsi="Times New Roman" w:eastAsia="仿宋_GB2312"/>
                <w:szCs w:val="21"/>
                <w:shd w:val="clear" w:color="auto" w:fill="FFFFFF"/>
                <w:lang w:val="en-US" w:eastAsia="zh-CN"/>
              </w:rPr>
              <w:t>20个工作日</w:t>
            </w:r>
          </w:p>
        </w:tc>
        <w:tc>
          <w:tcPr>
            <w:tcW w:w="1494" w:type="dxa"/>
            <w:vAlign w:val="center"/>
          </w:tcPr>
          <w:p>
            <w:pPr>
              <w:spacing w:line="260" w:lineRule="exact"/>
              <w:jc w:val="center"/>
              <w:rPr>
                <w:rFonts w:hint="eastAsia" w:ascii="Times New Roman" w:hAnsi="Times New Roman" w:eastAsia="仿宋_GB2312"/>
                <w:szCs w:val="21"/>
                <w:shd w:val="clear" w:color="auto" w:fill="FFFFFF"/>
                <w:lang w:eastAsia="zh-CN"/>
              </w:rPr>
            </w:pPr>
            <w:r>
              <w:rPr>
                <w:rFonts w:hint="eastAsia" w:ascii="Times New Roman" w:hAnsi="Times New Roman" w:eastAsia="仿宋_GB2312"/>
                <w:szCs w:val="21"/>
                <w:shd w:val="clear" w:color="auto" w:fill="FFFFFF"/>
                <w:lang w:val="en-US" w:eastAsia="zh-CN"/>
              </w:rPr>
              <w:t>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669" w:type="dxa"/>
            <w:vAlign w:val="center"/>
          </w:tcPr>
          <w:p>
            <w:pPr>
              <w:spacing w:line="260" w:lineRule="exact"/>
              <w:jc w:val="center"/>
              <w:rPr>
                <w:rFonts w:hint="default" w:ascii="华文仿宋" w:hAnsi="华文仿宋" w:eastAsia="华文仿宋" w:cs="华文仿宋"/>
                <w:sz w:val="22"/>
                <w:szCs w:val="22"/>
                <w:shd w:val="clear" w:color="auto" w:fill="FFFFFF"/>
                <w:lang w:val="en-US" w:eastAsia="zh-CN"/>
              </w:rPr>
            </w:pPr>
            <w:r>
              <w:rPr>
                <w:rFonts w:hint="eastAsia" w:ascii="华文仿宋" w:hAnsi="华文仿宋" w:eastAsia="华文仿宋" w:cs="华文仿宋"/>
                <w:sz w:val="22"/>
                <w:szCs w:val="22"/>
                <w:shd w:val="clear" w:color="auto" w:fill="FFFFFF"/>
                <w:lang w:val="en-US" w:eastAsia="zh-CN"/>
              </w:rPr>
              <w:t>4</w:t>
            </w:r>
          </w:p>
        </w:tc>
        <w:tc>
          <w:tcPr>
            <w:tcW w:w="1028" w:type="dxa"/>
            <w:vAlign w:val="center"/>
          </w:tcPr>
          <w:p>
            <w:pPr>
              <w:spacing w:line="260" w:lineRule="exact"/>
              <w:jc w:val="center"/>
              <w:rPr>
                <w:rFonts w:hint="eastAsia" w:ascii="华文仿宋" w:hAnsi="华文仿宋" w:eastAsia="华文仿宋" w:cs="华文仿宋"/>
                <w:sz w:val="22"/>
                <w:szCs w:val="22"/>
                <w:shd w:val="clear" w:color="auto" w:fill="FFFFFF"/>
              </w:rPr>
            </w:pPr>
            <w:r>
              <w:rPr>
                <w:rFonts w:hint="eastAsia" w:ascii="华文仿宋" w:hAnsi="华文仿宋" w:eastAsia="华文仿宋" w:cs="华文仿宋"/>
                <w:b w:val="0"/>
                <w:bCs w:val="0"/>
                <w:kern w:val="0"/>
                <w:sz w:val="22"/>
                <w:szCs w:val="22"/>
                <w:lang w:val="en-US" w:eastAsia="zh-CN" w:bidi="ar"/>
              </w:rPr>
              <w:t>对企业违法实行不定时作工时制和综合计算工作制情况的行政处罚</w:t>
            </w:r>
          </w:p>
        </w:tc>
        <w:tc>
          <w:tcPr>
            <w:tcW w:w="6017" w:type="dxa"/>
            <w:vAlign w:val="center"/>
          </w:tcPr>
          <w:p>
            <w:pPr>
              <w:spacing w:line="260" w:lineRule="exact"/>
              <w:rPr>
                <w:rFonts w:hint="eastAsia" w:ascii="华文仿宋" w:hAnsi="华文仿宋" w:eastAsia="华文仿宋" w:cs="华文仿宋"/>
                <w:sz w:val="22"/>
                <w:szCs w:val="22"/>
                <w:shd w:val="clear" w:color="auto" w:fill="FFFFFF"/>
              </w:rPr>
            </w:pPr>
            <w:r>
              <w:rPr>
                <w:rFonts w:hint="eastAsia" w:ascii="华文仿宋" w:hAnsi="华文仿宋" w:eastAsia="华文仿宋" w:cs="华文仿宋"/>
                <w:b w:val="0"/>
                <w:bCs w:val="0"/>
                <w:kern w:val="0"/>
                <w:sz w:val="22"/>
                <w:szCs w:val="22"/>
                <w:lang w:val="en-US" w:eastAsia="zh-CN" w:bidi="ar"/>
              </w:rPr>
              <w:t>《劳动保障监察条例》第二十五条“用人单位违反劳动保障法律、法规或者规章延长劳动者工作时间的，由劳动保障行政部门给予警告，责令限期改正，并可以按照受侵害者的劳动者每人100元以上500元以下的标准计算，处以罚款”。</w:t>
            </w:r>
          </w:p>
        </w:tc>
        <w:tc>
          <w:tcPr>
            <w:tcW w:w="1163" w:type="dxa"/>
            <w:vAlign w:val="center"/>
          </w:tcPr>
          <w:p>
            <w:pPr>
              <w:spacing w:line="260" w:lineRule="exact"/>
              <w:jc w:val="center"/>
              <w:rPr>
                <w:rFonts w:hint="eastAsia" w:ascii="华文仿宋" w:hAnsi="华文仿宋" w:eastAsia="华文仿宋" w:cs="华文仿宋"/>
                <w:sz w:val="22"/>
                <w:szCs w:val="22"/>
                <w:shd w:val="clear" w:color="auto" w:fill="FFFFFF"/>
                <w:lang w:eastAsia="zh-CN"/>
              </w:rPr>
            </w:pPr>
            <w:r>
              <w:rPr>
                <w:rFonts w:hint="eastAsia" w:ascii="华文仿宋" w:hAnsi="华文仿宋" w:eastAsia="华文仿宋" w:cs="华文仿宋"/>
                <w:sz w:val="22"/>
                <w:szCs w:val="22"/>
                <w:shd w:val="clear" w:color="auto" w:fill="FFFFFF"/>
                <w:lang w:eastAsia="zh-CN"/>
              </w:rPr>
              <w:t>行政处罚</w:t>
            </w:r>
          </w:p>
        </w:tc>
        <w:tc>
          <w:tcPr>
            <w:tcW w:w="1534" w:type="dxa"/>
            <w:vAlign w:val="center"/>
          </w:tcPr>
          <w:p>
            <w:pPr>
              <w:spacing w:line="260" w:lineRule="exact"/>
              <w:jc w:val="center"/>
              <w:rPr>
                <w:rFonts w:hint="eastAsia" w:ascii="华文仿宋" w:hAnsi="华文仿宋" w:eastAsia="华文仿宋" w:cs="华文仿宋"/>
                <w:color w:val="auto"/>
                <w:sz w:val="22"/>
                <w:szCs w:val="22"/>
                <w:shd w:val="clear" w:color="auto" w:fill="FFFFFF"/>
                <w:lang w:val="en-US" w:eastAsia="zh-CN" w:bidi="ar-SA"/>
              </w:rPr>
            </w:pPr>
            <w:r>
              <w:rPr>
                <w:rFonts w:hint="eastAsia" w:ascii="华文仿宋" w:hAnsi="华文仿宋" w:eastAsia="华文仿宋" w:cs="华文仿宋"/>
                <w:color w:val="auto"/>
                <w:sz w:val="22"/>
                <w:szCs w:val="22"/>
                <w:shd w:val="clear" w:color="auto" w:fill="FFFFFF"/>
                <w:lang w:eastAsia="zh-CN"/>
              </w:rPr>
              <w:t>调查、审查、决定</w:t>
            </w:r>
          </w:p>
        </w:tc>
        <w:tc>
          <w:tcPr>
            <w:tcW w:w="1129" w:type="dxa"/>
            <w:vAlign w:val="center"/>
          </w:tcPr>
          <w:p>
            <w:pPr>
              <w:spacing w:line="260" w:lineRule="exact"/>
              <w:jc w:val="center"/>
              <w:rPr>
                <w:rFonts w:hint="eastAsia" w:ascii="华文仿宋" w:hAnsi="华文仿宋" w:eastAsia="华文仿宋" w:cs="华文仿宋"/>
                <w:color w:val="auto"/>
                <w:sz w:val="22"/>
                <w:szCs w:val="22"/>
                <w:shd w:val="clear" w:color="auto" w:fill="FFFFFF"/>
                <w:lang w:val="en-US" w:eastAsia="zh-CN" w:bidi="ar-SA"/>
              </w:rPr>
            </w:pPr>
            <w:r>
              <w:rPr>
                <w:rFonts w:hint="eastAsia" w:ascii="华文仿宋" w:hAnsi="华文仿宋" w:eastAsia="华文仿宋" w:cs="华文仿宋"/>
                <w:color w:val="auto"/>
                <w:sz w:val="22"/>
                <w:szCs w:val="22"/>
                <w:shd w:val="clear" w:color="auto" w:fill="FFFFFF"/>
                <w:lang w:eastAsia="zh-CN"/>
              </w:rPr>
              <w:t>劳动保障监察股</w:t>
            </w:r>
          </w:p>
        </w:tc>
        <w:tc>
          <w:tcPr>
            <w:tcW w:w="1466" w:type="dxa"/>
            <w:vAlign w:val="center"/>
          </w:tcPr>
          <w:p>
            <w:pPr>
              <w:spacing w:line="260" w:lineRule="exact"/>
              <w:jc w:val="center"/>
              <w:rPr>
                <w:rFonts w:hint="eastAsia" w:ascii="华文仿宋" w:hAnsi="华文仿宋" w:eastAsia="华文仿宋" w:cs="华文仿宋"/>
                <w:color w:val="auto"/>
                <w:sz w:val="22"/>
                <w:szCs w:val="22"/>
                <w:shd w:val="clear" w:color="auto" w:fill="FFFFFF"/>
                <w:lang w:val="en-US" w:eastAsia="zh-CN" w:bidi="ar-SA"/>
              </w:rPr>
            </w:pPr>
            <w:r>
              <w:rPr>
                <w:rFonts w:hint="eastAsia" w:ascii="华文仿宋" w:hAnsi="华文仿宋" w:eastAsia="华文仿宋" w:cs="华文仿宋"/>
                <w:color w:val="auto"/>
                <w:sz w:val="22"/>
                <w:szCs w:val="22"/>
                <w:shd w:val="clear" w:color="auto" w:fill="FFFFFF"/>
                <w:lang w:eastAsia="zh-CN"/>
              </w:rPr>
              <w:t>《劳动保障监察条例》第十七条：“劳动保障行政部门对违反劳动保障法律、法规或者规章的行为的调查，应当自立案之日起</w:t>
            </w:r>
            <w:r>
              <w:rPr>
                <w:rFonts w:hint="eastAsia" w:ascii="华文仿宋" w:hAnsi="华文仿宋" w:eastAsia="华文仿宋" w:cs="华文仿宋"/>
                <w:color w:val="auto"/>
                <w:sz w:val="22"/>
                <w:szCs w:val="22"/>
                <w:shd w:val="clear" w:color="auto" w:fill="FFFFFF"/>
                <w:lang w:val="en-US" w:eastAsia="zh-CN"/>
              </w:rPr>
              <w:t>60个工作日内完成；对情况复杂的，经劳动保障行政部门负责人批准，可以延长30个工作日。</w:t>
            </w:r>
          </w:p>
        </w:tc>
        <w:tc>
          <w:tcPr>
            <w:tcW w:w="1494" w:type="dxa"/>
            <w:vAlign w:val="center"/>
          </w:tcPr>
          <w:p>
            <w:pPr>
              <w:spacing w:line="260" w:lineRule="exact"/>
              <w:jc w:val="center"/>
              <w:rPr>
                <w:rFonts w:hint="eastAsia" w:ascii="华文仿宋" w:hAnsi="华文仿宋" w:eastAsia="华文仿宋" w:cs="华文仿宋"/>
                <w:sz w:val="22"/>
                <w:szCs w:val="22"/>
                <w:shd w:val="clear" w:color="auto" w:fill="FFFFFF"/>
                <w:lang w:val="en-US" w:eastAsia="zh-CN" w:bidi="ar-SA"/>
              </w:rPr>
            </w:pPr>
            <w:r>
              <w:rPr>
                <w:rFonts w:hint="eastAsia" w:ascii="华文仿宋" w:hAnsi="华文仿宋" w:eastAsia="华文仿宋" w:cs="华文仿宋"/>
                <w:sz w:val="22"/>
                <w:szCs w:val="22"/>
                <w:shd w:val="clear" w:color="auto" w:fill="FFFFFF"/>
                <w:lang w:eastAsia="zh-CN"/>
              </w:rPr>
              <w:t>《劳动保障监察条例》第十七条：“劳动保障行政部门对违反劳动保障法律、法规或者规章的行为的调查，应当自立案之日起</w:t>
            </w:r>
            <w:r>
              <w:rPr>
                <w:rFonts w:hint="eastAsia" w:ascii="华文仿宋" w:hAnsi="华文仿宋" w:eastAsia="华文仿宋" w:cs="华文仿宋"/>
                <w:sz w:val="22"/>
                <w:szCs w:val="22"/>
                <w:shd w:val="clear" w:color="auto" w:fill="FFFFFF"/>
                <w:lang w:val="en-US" w:eastAsia="zh-CN"/>
              </w:rPr>
              <w:t>60个工作日内完成；对情况复杂的，经劳动保障行政部门负责人批准，可以延长30个工作日。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jc w:val="center"/>
        </w:trPr>
        <w:tc>
          <w:tcPr>
            <w:tcW w:w="669" w:type="dxa"/>
            <w:vAlign w:val="center"/>
          </w:tcPr>
          <w:p>
            <w:pPr>
              <w:spacing w:line="260" w:lineRule="exact"/>
              <w:jc w:val="center"/>
              <w:rPr>
                <w:rFonts w:hint="eastAsia" w:ascii="华文仿宋" w:hAnsi="华文仿宋" w:eastAsia="华文仿宋" w:cs="华文仿宋"/>
                <w:sz w:val="22"/>
                <w:szCs w:val="22"/>
                <w:shd w:val="clear" w:color="auto" w:fill="FFFFFF"/>
                <w:lang w:eastAsia="zh-CN"/>
              </w:rPr>
            </w:pPr>
            <w:r>
              <w:rPr>
                <w:rFonts w:hint="eastAsia" w:ascii="华文仿宋" w:hAnsi="华文仿宋" w:eastAsia="华文仿宋" w:cs="华文仿宋"/>
                <w:sz w:val="22"/>
                <w:szCs w:val="22"/>
                <w:shd w:val="clear" w:color="auto" w:fill="FFFFFF"/>
                <w:lang w:val="en-US" w:eastAsia="zh-CN"/>
              </w:rPr>
              <w:t>5</w:t>
            </w:r>
          </w:p>
        </w:tc>
        <w:tc>
          <w:tcPr>
            <w:tcW w:w="1028" w:type="dxa"/>
            <w:vAlign w:val="center"/>
          </w:tcPr>
          <w:p>
            <w:pPr>
              <w:spacing w:line="260" w:lineRule="exact"/>
              <w:jc w:val="center"/>
              <w:rPr>
                <w:rFonts w:hint="eastAsia" w:ascii="华文仿宋" w:hAnsi="华文仿宋" w:eastAsia="华文仿宋" w:cs="华文仿宋"/>
                <w:sz w:val="22"/>
                <w:szCs w:val="22"/>
                <w:shd w:val="clear" w:color="auto" w:fill="FFFFFF"/>
              </w:rPr>
            </w:pPr>
            <w:r>
              <w:rPr>
                <w:rFonts w:hint="eastAsia" w:ascii="华文仿宋" w:hAnsi="华文仿宋" w:eastAsia="华文仿宋" w:cs="华文仿宋"/>
                <w:b w:val="0"/>
                <w:bCs w:val="0"/>
                <w:kern w:val="0"/>
                <w:sz w:val="22"/>
                <w:szCs w:val="22"/>
                <w:lang w:val="en-US" w:eastAsia="zh-CN" w:bidi="ar"/>
              </w:rPr>
              <w:t>对用人单位遵守劳动用工和社会保障法律、法规支付职工工资和最低工资保障情况的行政处罚</w:t>
            </w:r>
          </w:p>
        </w:tc>
        <w:tc>
          <w:tcPr>
            <w:tcW w:w="6017" w:type="dxa"/>
            <w:vAlign w:val="center"/>
          </w:tcPr>
          <w:p>
            <w:pPr>
              <w:spacing w:line="260" w:lineRule="exact"/>
              <w:rPr>
                <w:rFonts w:hint="eastAsia" w:ascii="华文仿宋" w:hAnsi="华文仿宋" w:eastAsia="华文仿宋" w:cs="华文仿宋"/>
                <w:sz w:val="22"/>
                <w:szCs w:val="22"/>
                <w:shd w:val="clear" w:color="auto" w:fill="FFFFFF"/>
              </w:rPr>
            </w:pPr>
            <w:r>
              <w:rPr>
                <w:rFonts w:hint="eastAsia" w:ascii="华文仿宋" w:hAnsi="华文仿宋" w:eastAsia="华文仿宋" w:cs="华文仿宋"/>
                <w:b w:val="0"/>
                <w:bCs w:val="0"/>
                <w:kern w:val="0"/>
                <w:sz w:val="22"/>
                <w:szCs w:val="22"/>
                <w:lang w:val="en-US" w:eastAsia="zh-CN" w:bidi="ar"/>
              </w:rPr>
              <w:t>《河南省劳动保障监察条例》第二十一条：“用人单位违反工资支付有关规定，有下列侵害劳动者合法权益行为之一的，由劳动保障行政部门责令限期支付劳动者工资报酬、经济补偿，并可责令按相当于支付劳动者工资报酬、经济补偿总和的一至五倍支付劳动者赔偿金：（一）克扣或者无故拖欠劳动者工资的；（二）拒不支付劳动者延长工作时间工作报酬的；（三）低于当地最低工资标准支付劳动者工资的；（四）解除劳动合同后，未依照法律、法规的规定给予劳动者经济补偿的</w:t>
            </w:r>
          </w:p>
        </w:tc>
        <w:tc>
          <w:tcPr>
            <w:tcW w:w="1163" w:type="dxa"/>
            <w:vAlign w:val="center"/>
          </w:tcPr>
          <w:p>
            <w:pPr>
              <w:spacing w:line="260" w:lineRule="exact"/>
              <w:jc w:val="center"/>
              <w:rPr>
                <w:rFonts w:hint="eastAsia" w:ascii="华文仿宋" w:hAnsi="华文仿宋" w:eastAsia="华文仿宋" w:cs="华文仿宋"/>
                <w:sz w:val="22"/>
                <w:szCs w:val="22"/>
                <w:shd w:val="clear" w:color="auto" w:fill="FFFFFF"/>
              </w:rPr>
            </w:pPr>
            <w:r>
              <w:rPr>
                <w:rFonts w:hint="eastAsia" w:ascii="华文仿宋" w:hAnsi="华文仿宋" w:eastAsia="华文仿宋" w:cs="华文仿宋"/>
                <w:sz w:val="22"/>
                <w:szCs w:val="22"/>
                <w:shd w:val="clear" w:color="auto" w:fill="FFFFFF"/>
              </w:rPr>
              <w:t>行政处罚</w:t>
            </w:r>
          </w:p>
        </w:tc>
        <w:tc>
          <w:tcPr>
            <w:tcW w:w="1534" w:type="dxa"/>
            <w:vAlign w:val="center"/>
          </w:tcPr>
          <w:p>
            <w:pPr>
              <w:spacing w:line="260" w:lineRule="exact"/>
              <w:jc w:val="center"/>
              <w:rPr>
                <w:rFonts w:hint="eastAsia" w:ascii="华文仿宋" w:hAnsi="华文仿宋" w:eastAsia="华文仿宋" w:cs="华文仿宋"/>
                <w:color w:val="auto"/>
                <w:sz w:val="22"/>
                <w:szCs w:val="22"/>
                <w:shd w:val="clear" w:color="auto" w:fill="FFFFFF"/>
                <w:lang w:val="en-US" w:eastAsia="zh-CN" w:bidi="ar-SA"/>
              </w:rPr>
            </w:pPr>
            <w:r>
              <w:rPr>
                <w:rFonts w:hint="eastAsia" w:ascii="华文仿宋" w:hAnsi="华文仿宋" w:eastAsia="华文仿宋" w:cs="华文仿宋"/>
                <w:color w:val="auto"/>
                <w:sz w:val="22"/>
                <w:szCs w:val="22"/>
                <w:shd w:val="clear" w:color="auto" w:fill="FFFFFF"/>
                <w:lang w:eastAsia="zh-CN"/>
              </w:rPr>
              <w:t>调查、审查、决定</w:t>
            </w:r>
          </w:p>
        </w:tc>
        <w:tc>
          <w:tcPr>
            <w:tcW w:w="1129" w:type="dxa"/>
            <w:vAlign w:val="center"/>
          </w:tcPr>
          <w:p>
            <w:pPr>
              <w:spacing w:line="260" w:lineRule="exact"/>
              <w:jc w:val="center"/>
              <w:rPr>
                <w:rFonts w:hint="eastAsia" w:ascii="华文仿宋" w:hAnsi="华文仿宋" w:eastAsia="华文仿宋" w:cs="华文仿宋"/>
                <w:color w:val="auto"/>
                <w:sz w:val="22"/>
                <w:szCs w:val="22"/>
                <w:shd w:val="clear" w:color="auto" w:fill="FFFFFF"/>
                <w:lang w:val="en-US" w:eastAsia="zh-CN" w:bidi="ar-SA"/>
              </w:rPr>
            </w:pPr>
            <w:r>
              <w:rPr>
                <w:rFonts w:hint="eastAsia" w:ascii="华文仿宋" w:hAnsi="华文仿宋" w:eastAsia="华文仿宋" w:cs="华文仿宋"/>
                <w:color w:val="auto"/>
                <w:sz w:val="22"/>
                <w:szCs w:val="22"/>
                <w:shd w:val="clear" w:color="auto" w:fill="FFFFFF"/>
              </w:rPr>
              <w:t>劳动保障监察</w:t>
            </w:r>
            <w:r>
              <w:rPr>
                <w:rFonts w:hint="eastAsia" w:ascii="华文仿宋" w:hAnsi="华文仿宋" w:eastAsia="华文仿宋" w:cs="华文仿宋"/>
                <w:color w:val="auto"/>
                <w:sz w:val="22"/>
                <w:szCs w:val="22"/>
                <w:shd w:val="clear" w:color="auto" w:fill="FFFFFF"/>
                <w:lang w:val="en-US" w:eastAsia="zh-CN"/>
              </w:rPr>
              <w:t>股</w:t>
            </w:r>
          </w:p>
        </w:tc>
        <w:tc>
          <w:tcPr>
            <w:tcW w:w="1466" w:type="dxa"/>
            <w:vAlign w:val="center"/>
          </w:tcPr>
          <w:p>
            <w:pPr>
              <w:spacing w:line="260" w:lineRule="exact"/>
              <w:jc w:val="center"/>
              <w:rPr>
                <w:rFonts w:hint="eastAsia" w:ascii="华文仿宋" w:hAnsi="华文仿宋" w:eastAsia="华文仿宋" w:cs="华文仿宋"/>
                <w:color w:val="auto"/>
                <w:sz w:val="22"/>
                <w:szCs w:val="22"/>
                <w:shd w:val="clear" w:color="auto" w:fill="FFFFFF"/>
                <w:lang w:val="en-US" w:eastAsia="zh-CN" w:bidi="ar-SA"/>
              </w:rPr>
            </w:pPr>
            <w:r>
              <w:rPr>
                <w:rFonts w:hint="eastAsia" w:ascii="华文仿宋" w:hAnsi="华文仿宋" w:eastAsia="华文仿宋" w:cs="华文仿宋"/>
                <w:color w:val="auto"/>
                <w:sz w:val="22"/>
                <w:szCs w:val="22"/>
                <w:shd w:val="clear" w:color="auto" w:fill="FFFFFF"/>
                <w:lang w:eastAsia="zh-CN"/>
              </w:rPr>
              <w:t>《劳动保障监察条例》第十七条：“劳动保障行政部门对违反劳动保障法律、法规或者规章的行为的调查，应当自立案之日起</w:t>
            </w:r>
            <w:r>
              <w:rPr>
                <w:rFonts w:hint="eastAsia" w:ascii="华文仿宋" w:hAnsi="华文仿宋" w:eastAsia="华文仿宋" w:cs="华文仿宋"/>
                <w:color w:val="auto"/>
                <w:sz w:val="22"/>
                <w:szCs w:val="22"/>
                <w:shd w:val="clear" w:color="auto" w:fill="FFFFFF"/>
                <w:lang w:val="en-US" w:eastAsia="zh-CN"/>
              </w:rPr>
              <w:t>60个工作日内完成；对情况复杂的，经劳动保障行政部门负责人批准，可以延长30个工作日。</w:t>
            </w:r>
          </w:p>
        </w:tc>
        <w:tc>
          <w:tcPr>
            <w:tcW w:w="1494" w:type="dxa"/>
            <w:vAlign w:val="center"/>
          </w:tcPr>
          <w:p>
            <w:pPr>
              <w:spacing w:line="260" w:lineRule="exact"/>
              <w:jc w:val="center"/>
              <w:rPr>
                <w:rFonts w:hint="eastAsia" w:ascii="华文仿宋" w:hAnsi="华文仿宋" w:eastAsia="华文仿宋" w:cs="华文仿宋"/>
                <w:sz w:val="22"/>
                <w:szCs w:val="22"/>
                <w:shd w:val="clear" w:color="auto" w:fill="FFFFFF"/>
                <w:lang w:val="en-US" w:eastAsia="zh-CN" w:bidi="ar-SA"/>
              </w:rPr>
            </w:pPr>
            <w:r>
              <w:rPr>
                <w:rFonts w:hint="eastAsia" w:ascii="华文仿宋" w:hAnsi="华文仿宋" w:eastAsia="华文仿宋" w:cs="华文仿宋"/>
                <w:sz w:val="22"/>
                <w:szCs w:val="22"/>
                <w:shd w:val="clear" w:color="auto" w:fill="FFFFFF"/>
                <w:lang w:eastAsia="zh-CN"/>
              </w:rPr>
              <w:t>《劳动保障监察条例》第十七条：“劳动保障行政部门对违反劳动保障法律、法规或者规章的行为的调查，应当自立案之日起</w:t>
            </w:r>
            <w:r>
              <w:rPr>
                <w:rFonts w:hint="eastAsia" w:ascii="华文仿宋" w:hAnsi="华文仿宋" w:eastAsia="华文仿宋" w:cs="华文仿宋"/>
                <w:sz w:val="22"/>
                <w:szCs w:val="22"/>
                <w:shd w:val="clear" w:color="auto" w:fill="FFFFFF"/>
                <w:lang w:val="en-US" w:eastAsia="zh-CN"/>
              </w:rPr>
              <w:t>60个工作日内完成；对情况复杂的，经劳动保障行政部门负责人批准，可以延长30个工作日。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jc w:val="center"/>
        </w:trPr>
        <w:tc>
          <w:tcPr>
            <w:tcW w:w="669" w:type="dxa"/>
            <w:vAlign w:val="center"/>
          </w:tcPr>
          <w:p>
            <w:pPr>
              <w:spacing w:line="260" w:lineRule="exact"/>
              <w:jc w:val="center"/>
              <w:rPr>
                <w:rFonts w:hint="eastAsia" w:ascii="华文仿宋" w:hAnsi="华文仿宋" w:eastAsia="华文仿宋" w:cs="华文仿宋"/>
                <w:sz w:val="22"/>
                <w:szCs w:val="22"/>
                <w:shd w:val="clear" w:color="auto" w:fill="FFFFFF"/>
                <w:lang w:eastAsia="zh-CN"/>
              </w:rPr>
            </w:pPr>
            <w:r>
              <w:rPr>
                <w:rFonts w:hint="eastAsia" w:ascii="华文仿宋" w:hAnsi="华文仿宋" w:eastAsia="华文仿宋" w:cs="华文仿宋"/>
                <w:sz w:val="22"/>
                <w:szCs w:val="22"/>
                <w:shd w:val="clear" w:color="auto" w:fill="FFFFFF"/>
                <w:lang w:val="en-US" w:eastAsia="zh-CN"/>
              </w:rPr>
              <w:t>6</w:t>
            </w:r>
          </w:p>
        </w:tc>
        <w:tc>
          <w:tcPr>
            <w:tcW w:w="1028" w:type="dxa"/>
            <w:vAlign w:val="center"/>
          </w:tcPr>
          <w:p>
            <w:pPr>
              <w:spacing w:line="240" w:lineRule="exact"/>
              <w:ind w:firstLine="0" w:firstLineChars="0"/>
              <w:jc w:val="center"/>
              <w:rPr>
                <w:rFonts w:hint="eastAsia" w:ascii="华文仿宋" w:hAnsi="华文仿宋" w:eastAsia="华文仿宋" w:cs="华文仿宋"/>
                <w:sz w:val="22"/>
                <w:szCs w:val="22"/>
                <w:shd w:val="clear" w:color="auto" w:fill="FFFFFF"/>
              </w:rPr>
            </w:pPr>
            <w:r>
              <w:rPr>
                <w:rFonts w:hint="eastAsia" w:ascii="华文仿宋" w:hAnsi="华文仿宋" w:eastAsia="华文仿宋" w:cs="华文仿宋"/>
                <w:color w:val="000000"/>
                <w:spacing w:val="-16"/>
                <w:sz w:val="22"/>
                <w:szCs w:val="22"/>
              </w:rPr>
              <w:t>对用人单位和个人遵守劳动用工法律、法规和规章情况的</w:t>
            </w:r>
            <w:r>
              <w:rPr>
                <w:rFonts w:hint="eastAsia" w:ascii="华文仿宋" w:hAnsi="华文仿宋" w:eastAsia="华文仿宋" w:cs="华文仿宋"/>
                <w:color w:val="000000"/>
                <w:spacing w:val="-16"/>
                <w:sz w:val="22"/>
                <w:szCs w:val="22"/>
                <w:lang w:eastAsia="zh-CN"/>
              </w:rPr>
              <w:t>行政</w:t>
            </w:r>
            <w:r>
              <w:rPr>
                <w:rFonts w:hint="eastAsia" w:ascii="华文仿宋" w:hAnsi="华文仿宋" w:eastAsia="华文仿宋" w:cs="华文仿宋"/>
                <w:color w:val="000000"/>
                <w:spacing w:val="-16"/>
                <w:sz w:val="22"/>
                <w:szCs w:val="22"/>
              </w:rPr>
              <w:t>检查</w:t>
            </w:r>
          </w:p>
        </w:tc>
        <w:tc>
          <w:tcPr>
            <w:tcW w:w="6017" w:type="dxa"/>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firstLine="0" w:firstLineChars="0"/>
              <w:jc w:val="left"/>
              <w:textAlignment w:val="auto"/>
              <w:rPr>
                <w:rFonts w:hint="eastAsia" w:ascii="华文仿宋" w:hAnsi="华文仿宋" w:eastAsia="华文仿宋" w:cs="华文仿宋"/>
                <w:sz w:val="22"/>
                <w:szCs w:val="22"/>
                <w:shd w:val="clear" w:color="auto" w:fill="FFFFFF"/>
                <w:lang w:val="en-US" w:eastAsia="zh-CN"/>
              </w:rPr>
            </w:pPr>
            <w:r>
              <w:rPr>
                <w:rFonts w:hint="eastAsia" w:ascii="华文仿宋" w:hAnsi="华文仿宋" w:eastAsia="华文仿宋" w:cs="华文仿宋"/>
                <w:color w:val="000000"/>
                <w:spacing w:val="-16"/>
                <w:sz w:val="22"/>
                <w:szCs w:val="22"/>
              </w:rPr>
              <w:t>《劳动保障监察条例》（国务院令第423号）第三条第一款</w:t>
            </w:r>
            <w:r>
              <w:rPr>
                <w:rFonts w:hint="eastAsia" w:ascii="华文仿宋" w:hAnsi="华文仿宋" w:eastAsia="华文仿宋" w:cs="华文仿宋"/>
                <w:color w:val="000000"/>
                <w:spacing w:val="-16"/>
                <w:sz w:val="22"/>
                <w:szCs w:val="22"/>
                <w:lang w:eastAsia="zh-CN"/>
              </w:rPr>
              <w:t>：“县级以上地方各级人民政府劳动保障行政部门主管本行政区域内的劳动保障监察工作。”</w:t>
            </w:r>
            <w:r>
              <w:rPr>
                <w:rFonts w:hint="eastAsia" w:ascii="华文仿宋" w:hAnsi="华文仿宋" w:eastAsia="华文仿宋" w:cs="华文仿宋"/>
                <w:color w:val="000000"/>
                <w:spacing w:val="-16"/>
                <w:sz w:val="22"/>
                <w:szCs w:val="22"/>
              </w:rPr>
              <w:t>第六条；</w:t>
            </w:r>
            <w:r>
              <w:rPr>
                <w:rFonts w:hint="eastAsia" w:ascii="华文仿宋" w:hAnsi="华文仿宋" w:eastAsia="华文仿宋" w:cs="华文仿宋"/>
                <w:color w:val="000000"/>
                <w:spacing w:val="-16"/>
                <w:sz w:val="22"/>
                <w:szCs w:val="22"/>
                <w:lang w:eastAsia="zh-CN"/>
              </w:rPr>
              <w:t>“用人单位应当遵守劳动保障法律、法规和规章，接受并配合劳动保障监察。”</w:t>
            </w:r>
          </w:p>
        </w:tc>
        <w:tc>
          <w:tcPr>
            <w:tcW w:w="1163" w:type="dxa"/>
            <w:vAlign w:val="center"/>
          </w:tcPr>
          <w:p>
            <w:pPr>
              <w:spacing w:line="260" w:lineRule="exact"/>
              <w:jc w:val="center"/>
              <w:rPr>
                <w:rFonts w:hint="eastAsia" w:ascii="华文仿宋" w:hAnsi="华文仿宋" w:eastAsia="华文仿宋" w:cs="华文仿宋"/>
                <w:sz w:val="22"/>
                <w:szCs w:val="22"/>
                <w:shd w:val="clear" w:color="auto" w:fill="FFFFFF"/>
              </w:rPr>
            </w:pPr>
            <w:r>
              <w:rPr>
                <w:rFonts w:hint="eastAsia" w:ascii="华文仿宋" w:hAnsi="华文仿宋" w:eastAsia="华文仿宋" w:cs="华文仿宋"/>
                <w:sz w:val="22"/>
                <w:szCs w:val="22"/>
                <w:shd w:val="clear" w:color="auto" w:fill="FFFFFF"/>
              </w:rPr>
              <w:t>行政检查</w:t>
            </w:r>
          </w:p>
        </w:tc>
        <w:tc>
          <w:tcPr>
            <w:tcW w:w="1534" w:type="dxa"/>
            <w:vAlign w:val="center"/>
          </w:tcPr>
          <w:p>
            <w:pPr>
              <w:spacing w:line="260" w:lineRule="exact"/>
              <w:jc w:val="center"/>
              <w:rPr>
                <w:rFonts w:hint="eastAsia" w:ascii="华文仿宋" w:hAnsi="华文仿宋" w:eastAsia="华文仿宋" w:cs="华文仿宋"/>
                <w:sz w:val="22"/>
                <w:szCs w:val="22"/>
                <w:shd w:val="clear" w:color="auto" w:fill="FFFFFF"/>
                <w:lang w:val="en-US" w:eastAsia="zh-CN" w:bidi="ar-SA"/>
              </w:rPr>
            </w:pPr>
            <w:r>
              <w:rPr>
                <w:rFonts w:hint="eastAsia" w:ascii="华文仿宋" w:hAnsi="华文仿宋" w:eastAsia="华文仿宋" w:cs="华文仿宋"/>
                <w:sz w:val="22"/>
                <w:szCs w:val="22"/>
                <w:shd w:val="clear" w:color="auto" w:fill="FFFFFF"/>
                <w:lang w:val="en-US" w:eastAsia="zh-CN" w:bidi="ar-SA"/>
              </w:rPr>
              <w:t>现场检查或书面检查</w:t>
            </w:r>
          </w:p>
        </w:tc>
        <w:tc>
          <w:tcPr>
            <w:tcW w:w="1129" w:type="dxa"/>
            <w:vAlign w:val="center"/>
          </w:tcPr>
          <w:p>
            <w:pPr>
              <w:spacing w:line="260" w:lineRule="exact"/>
              <w:jc w:val="center"/>
              <w:rPr>
                <w:rFonts w:hint="eastAsia" w:ascii="华文仿宋" w:hAnsi="华文仿宋" w:eastAsia="华文仿宋" w:cs="华文仿宋"/>
                <w:sz w:val="22"/>
                <w:szCs w:val="22"/>
                <w:shd w:val="clear" w:color="auto" w:fill="FFFFFF"/>
                <w:lang w:val="en-US" w:eastAsia="zh-CN" w:bidi="ar-SA"/>
              </w:rPr>
            </w:pPr>
            <w:r>
              <w:rPr>
                <w:rFonts w:hint="eastAsia" w:ascii="华文仿宋" w:hAnsi="华文仿宋" w:eastAsia="华文仿宋" w:cs="华文仿宋"/>
                <w:sz w:val="22"/>
                <w:szCs w:val="22"/>
                <w:shd w:val="clear" w:color="auto" w:fill="FFFFFF"/>
              </w:rPr>
              <w:t>劳动保障监察</w:t>
            </w:r>
            <w:r>
              <w:rPr>
                <w:rFonts w:hint="eastAsia" w:ascii="华文仿宋" w:hAnsi="华文仿宋" w:eastAsia="华文仿宋" w:cs="华文仿宋"/>
                <w:sz w:val="22"/>
                <w:szCs w:val="22"/>
                <w:shd w:val="clear" w:color="auto" w:fill="FFFFFF"/>
                <w:lang w:val="en-US" w:eastAsia="zh-CN"/>
              </w:rPr>
              <w:t>股</w:t>
            </w:r>
          </w:p>
        </w:tc>
        <w:tc>
          <w:tcPr>
            <w:tcW w:w="1466" w:type="dxa"/>
            <w:vAlign w:val="center"/>
          </w:tcPr>
          <w:p>
            <w:pPr>
              <w:spacing w:line="260" w:lineRule="exact"/>
              <w:jc w:val="center"/>
              <w:rPr>
                <w:rFonts w:hint="eastAsia" w:ascii="华文仿宋" w:hAnsi="华文仿宋" w:eastAsia="华文仿宋" w:cs="华文仿宋"/>
                <w:sz w:val="22"/>
                <w:szCs w:val="22"/>
                <w:shd w:val="clear" w:color="auto" w:fill="FFFFFF"/>
                <w:lang w:val="en-US" w:eastAsia="zh-CN" w:bidi="ar-SA"/>
              </w:rPr>
            </w:pPr>
          </w:p>
        </w:tc>
        <w:tc>
          <w:tcPr>
            <w:tcW w:w="1494" w:type="dxa"/>
            <w:vAlign w:val="center"/>
          </w:tcPr>
          <w:p>
            <w:pPr>
              <w:spacing w:line="260" w:lineRule="exact"/>
              <w:jc w:val="center"/>
              <w:rPr>
                <w:rFonts w:hint="eastAsia" w:ascii="华文仿宋" w:hAnsi="华文仿宋" w:eastAsia="华文仿宋" w:cs="华文仿宋"/>
                <w:sz w:val="22"/>
                <w:szCs w:val="22"/>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669" w:type="dxa"/>
            <w:vAlign w:val="center"/>
          </w:tcPr>
          <w:p>
            <w:pPr>
              <w:spacing w:line="260" w:lineRule="exact"/>
              <w:jc w:val="center"/>
              <w:rPr>
                <w:rFonts w:hint="eastAsia" w:ascii="华文仿宋" w:hAnsi="华文仿宋" w:eastAsia="华文仿宋" w:cs="华文仿宋"/>
                <w:color w:val="000000" w:themeColor="text1"/>
                <w:sz w:val="22"/>
                <w:szCs w:val="22"/>
                <w:u w:val="none"/>
                <w:shd w:val="clear" w:color="auto" w:fill="FFFFFF"/>
                <w:lang w:eastAsia="zh-CN"/>
                <w14:textFill>
                  <w14:solidFill>
                    <w14:schemeClr w14:val="tx1"/>
                  </w14:solidFill>
                </w14:textFill>
              </w:rPr>
            </w:pPr>
            <w:r>
              <w:rPr>
                <w:rFonts w:hint="eastAsia" w:ascii="华文仿宋" w:hAnsi="华文仿宋" w:eastAsia="华文仿宋" w:cs="华文仿宋"/>
                <w:color w:val="000000" w:themeColor="text1"/>
                <w:sz w:val="22"/>
                <w:szCs w:val="22"/>
                <w:u w:val="none"/>
                <w:shd w:val="clear" w:color="auto" w:fill="FFFFFF"/>
                <w:lang w:val="en-US" w:eastAsia="zh-CN"/>
                <w14:textFill>
                  <w14:solidFill>
                    <w14:schemeClr w14:val="tx1"/>
                  </w14:solidFill>
                </w14:textFill>
              </w:rPr>
              <w:t>7</w:t>
            </w:r>
          </w:p>
        </w:tc>
        <w:tc>
          <w:tcPr>
            <w:tcW w:w="1028" w:type="dxa"/>
            <w:vAlign w:val="center"/>
          </w:tcPr>
          <w:p>
            <w:pPr>
              <w:spacing w:line="260" w:lineRule="exact"/>
              <w:jc w:val="center"/>
              <w:rPr>
                <w:rFonts w:hint="eastAsia" w:ascii="华文仿宋" w:hAnsi="华文仿宋" w:eastAsia="华文仿宋" w:cs="华文仿宋"/>
                <w:color w:val="000000" w:themeColor="text1"/>
                <w:sz w:val="22"/>
                <w:szCs w:val="22"/>
                <w:u w:val="none"/>
                <w:shd w:val="clear" w:color="auto" w:fill="FFFFFF"/>
                <w14:textFill>
                  <w14:solidFill>
                    <w14:schemeClr w14:val="tx1"/>
                  </w14:solidFill>
                </w14:textFill>
              </w:rPr>
            </w:pPr>
            <w:r>
              <w:rPr>
                <w:rFonts w:hint="eastAsia" w:ascii="华文仿宋" w:hAnsi="华文仿宋" w:eastAsia="华文仿宋" w:cs="华文仿宋"/>
                <w:color w:val="000000" w:themeColor="text1"/>
                <w:sz w:val="22"/>
                <w:szCs w:val="22"/>
                <w:u w:val="none"/>
                <w:shd w:val="clear" w:color="auto" w:fill="FFFFFF"/>
                <w14:textFill>
                  <w14:solidFill>
                    <w14:schemeClr w14:val="tx1"/>
                  </w14:solidFill>
                </w14:textFill>
              </w:rPr>
              <w:t>工伤</w:t>
            </w:r>
            <w:r>
              <w:rPr>
                <w:rFonts w:hint="eastAsia" w:ascii="华文仿宋" w:hAnsi="华文仿宋" w:eastAsia="华文仿宋" w:cs="华文仿宋"/>
                <w:color w:val="000000" w:themeColor="text1"/>
                <w:sz w:val="22"/>
                <w:szCs w:val="22"/>
                <w:u w:val="none"/>
                <w:shd w:val="clear" w:color="auto" w:fill="FFFFFF"/>
                <w:lang w:eastAsia="zh-CN"/>
                <w14:textFill>
                  <w14:solidFill>
                    <w14:schemeClr w14:val="tx1"/>
                  </w14:solidFill>
                </w14:textFill>
              </w:rPr>
              <w:t>认定</w:t>
            </w:r>
          </w:p>
        </w:tc>
        <w:tc>
          <w:tcPr>
            <w:tcW w:w="6017" w:type="dxa"/>
            <w:vAlign w:val="center"/>
          </w:tcPr>
          <w:p>
            <w:pPr>
              <w:keepNext w:val="0"/>
              <w:keepLines w:val="0"/>
              <w:widowControl/>
              <w:suppressLineNumbers w:val="0"/>
              <w:jc w:val="left"/>
              <w:rPr>
                <w:rFonts w:hint="eastAsia" w:ascii="华文仿宋" w:hAnsi="华文仿宋" w:eastAsia="华文仿宋" w:cs="华文仿宋"/>
                <w:color w:val="000000" w:themeColor="text1"/>
                <w:sz w:val="22"/>
                <w:szCs w:val="22"/>
                <w:u w:val="none"/>
                <w:shd w:val="clear" w:color="auto" w:fill="FFFFFF"/>
                <w14:textFill>
                  <w14:solidFill>
                    <w14:schemeClr w14:val="tx1"/>
                  </w14:solidFill>
                </w14:textFill>
              </w:rPr>
            </w:pPr>
            <w:r>
              <w:rPr>
                <w:rFonts w:hint="eastAsia" w:ascii="华文仿宋" w:hAnsi="华文仿宋" w:eastAsia="华文仿宋" w:cs="华文仿宋"/>
                <w:color w:val="000000" w:themeColor="text1"/>
                <w:sz w:val="22"/>
                <w:szCs w:val="22"/>
                <w:u w:val="none"/>
                <w:shd w:val="clear" w:color="auto" w:fill="FFFFFF"/>
                <w14:textFill>
                  <w14:solidFill>
                    <w14:schemeClr w14:val="tx1"/>
                  </w14:solidFill>
                </w14:textFill>
              </w:rPr>
              <w:t>《河南省工伤保险条例》（2007年省人大常委会公告第71号）</w:t>
            </w:r>
            <w:r>
              <w:rPr>
                <w:rFonts w:hint="eastAsia" w:ascii="华文仿宋" w:hAnsi="华文仿宋" w:eastAsia="华文仿宋" w:cs="华文仿宋"/>
                <w:color w:val="000000" w:themeColor="text1"/>
                <w:sz w:val="22"/>
                <w:szCs w:val="22"/>
                <w:u w:val="none"/>
                <w:shd w:val="clear" w:color="auto" w:fill="FFFFFF"/>
                <w:lang w:eastAsia="zh-CN"/>
                <w14:textFill>
                  <w14:solidFill>
                    <w14:schemeClr w14:val="tx1"/>
                  </w14:solidFill>
                </w14:textFill>
              </w:rPr>
              <w:t>第一章第五条：</w:t>
            </w:r>
            <w:r>
              <w:rPr>
                <w:rFonts w:hint="eastAsia" w:ascii="华文仿宋" w:hAnsi="华文仿宋" w:eastAsia="华文仿宋" w:cs="华文仿宋"/>
                <w:color w:val="000000" w:themeColor="text1"/>
                <w:sz w:val="22"/>
                <w:szCs w:val="22"/>
                <w:u w:val="none"/>
                <w:shd w:val="clear" w:color="auto" w:fill="FFFFFF"/>
                <w14:textFill>
                  <w14:solidFill>
                    <w14:schemeClr w14:val="tx1"/>
                  </w14:solidFill>
                </w14:textFill>
              </w:rPr>
              <w:t>“</w:t>
            </w:r>
            <w:r>
              <w:rPr>
                <w:rFonts w:hint="eastAsia" w:ascii="华文仿宋" w:hAnsi="华文仿宋" w:eastAsia="华文仿宋" w:cs="华文仿宋"/>
                <w:i w:val="0"/>
                <w:iCs w:val="0"/>
                <w:caps w:val="0"/>
                <w:color w:val="000000" w:themeColor="text1"/>
                <w:spacing w:val="0"/>
                <w:kern w:val="0"/>
                <w:sz w:val="22"/>
                <w:szCs w:val="22"/>
                <w:u w:val="none"/>
                <w:shd w:val="clear" w:fill="FFFFFF"/>
                <w:lang w:val="en-US" w:eastAsia="zh-CN" w:bidi="ar"/>
                <w14:textFill>
                  <w14:solidFill>
                    <w14:schemeClr w14:val="tx1"/>
                  </w14:solidFill>
                </w14:textFill>
              </w:rPr>
              <w:t>县级以上人民政府劳动保障行政部门负责本行政区域内的</w:t>
            </w:r>
            <w:r>
              <w:rPr>
                <w:rFonts w:hint="eastAsia" w:ascii="华文仿宋" w:hAnsi="华文仿宋" w:eastAsia="华文仿宋" w:cs="华文仿宋"/>
                <w:i w:val="0"/>
                <w:iCs w:val="0"/>
                <w:caps w:val="0"/>
                <w:color w:val="000000" w:themeColor="text1"/>
                <w:spacing w:val="0"/>
                <w:kern w:val="0"/>
                <w:sz w:val="22"/>
                <w:szCs w:val="22"/>
                <w:u w:val="none"/>
                <w:shd w:val="clear" w:fill="FFFFFF"/>
                <w:lang w:val="en-US" w:eastAsia="zh-CN" w:bidi="ar"/>
                <w14:textFill>
                  <w14:solidFill>
                    <w14:schemeClr w14:val="tx1"/>
                  </w14:solidFill>
                </w14:textFill>
              </w:rPr>
              <w:fldChar w:fldCharType="begin"/>
            </w:r>
            <w:r>
              <w:rPr>
                <w:rFonts w:hint="eastAsia" w:ascii="华文仿宋" w:hAnsi="华文仿宋" w:eastAsia="华文仿宋" w:cs="华文仿宋"/>
                <w:i w:val="0"/>
                <w:iCs w:val="0"/>
                <w:caps w:val="0"/>
                <w:color w:val="000000" w:themeColor="text1"/>
                <w:spacing w:val="0"/>
                <w:kern w:val="0"/>
                <w:sz w:val="22"/>
                <w:szCs w:val="22"/>
                <w:u w:val="none"/>
                <w:shd w:val="clear" w:fill="FFFFFF"/>
                <w:lang w:val="en-US" w:eastAsia="zh-CN" w:bidi="ar"/>
                <w14:textFill>
                  <w14:solidFill>
                    <w14:schemeClr w14:val="tx1"/>
                  </w14:solidFill>
                </w14:textFill>
              </w:rPr>
              <w:instrText xml:space="preserve"> HYPERLINK "https://baike.baidu.com/item/%E5%B7%A5%E4%BC%A4%E4%BF%9D%E9%99%A9/1835823?fromModule=lemma_inlink" \t "/home/kylin/文档\\x/_blank" </w:instrText>
            </w:r>
            <w:r>
              <w:rPr>
                <w:rFonts w:hint="eastAsia" w:ascii="华文仿宋" w:hAnsi="华文仿宋" w:eastAsia="华文仿宋" w:cs="华文仿宋"/>
                <w:i w:val="0"/>
                <w:iCs w:val="0"/>
                <w:caps w:val="0"/>
                <w:color w:val="000000" w:themeColor="text1"/>
                <w:spacing w:val="0"/>
                <w:kern w:val="0"/>
                <w:sz w:val="22"/>
                <w:szCs w:val="22"/>
                <w:u w:val="none"/>
                <w:shd w:val="clear" w:fill="FFFFFF"/>
                <w:lang w:val="en-US" w:eastAsia="zh-CN" w:bidi="ar"/>
                <w14:textFill>
                  <w14:solidFill>
                    <w14:schemeClr w14:val="tx1"/>
                  </w14:solidFill>
                </w14:textFill>
              </w:rPr>
              <w:fldChar w:fldCharType="separate"/>
            </w:r>
            <w:r>
              <w:rPr>
                <w:rStyle w:val="7"/>
                <w:rFonts w:hint="eastAsia" w:ascii="华文仿宋" w:hAnsi="华文仿宋" w:eastAsia="华文仿宋" w:cs="华文仿宋"/>
                <w:i w:val="0"/>
                <w:iCs w:val="0"/>
                <w:caps w:val="0"/>
                <w:color w:val="000000" w:themeColor="text1"/>
                <w:spacing w:val="0"/>
                <w:sz w:val="22"/>
                <w:szCs w:val="22"/>
                <w:u w:val="none"/>
                <w:shd w:val="clear" w:fill="FFFFFF"/>
                <w14:textFill>
                  <w14:solidFill>
                    <w14:schemeClr w14:val="tx1"/>
                  </w14:solidFill>
                </w14:textFill>
              </w:rPr>
              <w:t>工伤保险</w:t>
            </w:r>
            <w:r>
              <w:rPr>
                <w:rFonts w:hint="eastAsia" w:ascii="华文仿宋" w:hAnsi="华文仿宋" w:eastAsia="华文仿宋" w:cs="华文仿宋"/>
                <w:i w:val="0"/>
                <w:iCs w:val="0"/>
                <w:caps w:val="0"/>
                <w:color w:val="000000" w:themeColor="text1"/>
                <w:spacing w:val="0"/>
                <w:kern w:val="0"/>
                <w:sz w:val="22"/>
                <w:szCs w:val="22"/>
                <w:u w:val="none"/>
                <w:shd w:val="clear" w:fill="FFFFFF"/>
                <w:lang w:val="en-US" w:eastAsia="zh-CN" w:bidi="ar"/>
                <w14:textFill>
                  <w14:solidFill>
                    <w14:schemeClr w14:val="tx1"/>
                  </w14:solidFill>
                </w14:textFill>
              </w:rPr>
              <w:fldChar w:fldCharType="end"/>
            </w:r>
            <w:r>
              <w:rPr>
                <w:rFonts w:hint="eastAsia" w:ascii="华文仿宋" w:hAnsi="华文仿宋" w:eastAsia="华文仿宋" w:cs="华文仿宋"/>
                <w:i w:val="0"/>
                <w:iCs w:val="0"/>
                <w:caps w:val="0"/>
                <w:color w:val="000000" w:themeColor="text1"/>
                <w:spacing w:val="0"/>
                <w:kern w:val="0"/>
                <w:sz w:val="22"/>
                <w:szCs w:val="22"/>
                <w:u w:val="none"/>
                <w:shd w:val="clear" w:fill="FFFFFF"/>
                <w:lang w:val="en-US" w:eastAsia="zh-CN" w:bidi="ar"/>
                <w14:textFill>
                  <w14:solidFill>
                    <w14:schemeClr w14:val="tx1"/>
                  </w14:solidFill>
                </w14:textFill>
              </w:rPr>
              <w:t>工作</w:t>
            </w:r>
            <w:r>
              <w:rPr>
                <w:rFonts w:hint="eastAsia" w:ascii="华文仿宋" w:hAnsi="华文仿宋" w:eastAsia="华文仿宋" w:cs="华文仿宋"/>
                <w:color w:val="000000" w:themeColor="text1"/>
                <w:sz w:val="22"/>
                <w:szCs w:val="22"/>
                <w:u w:val="none"/>
                <w:shd w:val="clear" w:color="auto" w:fill="FFFFFF"/>
                <w14:textFill>
                  <w14:solidFill>
                    <w14:schemeClr w14:val="tx1"/>
                  </w14:solidFill>
                </w14:textFill>
              </w:rPr>
              <w:t>”</w:t>
            </w:r>
          </w:p>
        </w:tc>
        <w:tc>
          <w:tcPr>
            <w:tcW w:w="1163" w:type="dxa"/>
            <w:vAlign w:val="center"/>
          </w:tcPr>
          <w:p>
            <w:pPr>
              <w:spacing w:line="260" w:lineRule="exact"/>
              <w:jc w:val="center"/>
              <w:rPr>
                <w:rFonts w:hint="eastAsia" w:ascii="华文仿宋" w:hAnsi="华文仿宋" w:eastAsia="华文仿宋" w:cs="华文仿宋"/>
                <w:color w:val="000000" w:themeColor="text1"/>
                <w:sz w:val="22"/>
                <w:szCs w:val="22"/>
                <w:u w:val="none"/>
                <w:shd w:val="clear" w:color="auto" w:fill="FFFFFF"/>
                <w14:textFill>
                  <w14:solidFill>
                    <w14:schemeClr w14:val="tx1"/>
                  </w14:solidFill>
                </w14:textFill>
              </w:rPr>
            </w:pPr>
            <w:r>
              <w:rPr>
                <w:rFonts w:hint="eastAsia" w:ascii="华文仿宋" w:hAnsi="华文仿宋" w:eastAsia="华文仿宋" w:cs="华文仿宋"/>
                <w:color w:val="000000" w:themeColor="text1"/>
                <w:sz w:val="22"/>
                <w:szCs w:val="22"/>
                <w:u w:val="none"/>
                <w:shd w:val="clear" w:color="auto" w:fill="FFFFFF"/>
                <w14:textFill>
                  <w14:solidFill>
                    <w14:schemeClr w14:val="tx1"/>
                  </w14:solidFill>
                </w14:textFill>
              </w:rPr>
              <w:t>行政确认</w:t>
            </w:r>
          </w:p>
        </w:tc>
        <w:tc>
          <w:tcPr>
            <w:tcW w:w="1534" w:type="dxa"/>
            <w:vAlign w:val="center"/>
          </w:tcPr>
          <w:p>
            <w:pPr>
              <w:spacing w:line="260" w:lineRule="exact"/>
              <w:jc w:val="center"/>
              <w:rPr>
                <w:rFonts w:hint="eastAsia" w:ascii="华文仿宋" w:hAnsi="华文仿宋" w:eastAsia="华文仿宋" w:cs="华文仿宋"/>
                <w:color w:val="000000" w:themeColor="text1"/>
                <w:sz w:val="22"/>
                <w:szCs w:val="22"/>
                <w:u w:val="none"/>
                <w:shd w:val="clear" w:color="auto" w:fill="FFFFFF"/>
                <w14:textFill>
                  <w14:solidFill>
                    <w14:schemeClr w14:val="tx1"/>
                  </w14:solidFill>
                </w14:textFill>
              </w:rPr>
            </w:pPr>
            <w:r>
              <w:rPr>
                <w:rFonts w:hint="eastAsia" w:ascii="华文仿宋" w:hAnsi="华文仿宋" w:eastAsia="华文仿宋" w:cs="华文仿宋"/>
                <w:color w:val="000000" w:themeColor="text1"/>
                <w:sz w:val="22"/>
                <w:szCs w:val="22"/>
                <w:u w:val="none"/>
                <w:shd w:val="clear" w:color="auto" w:fill="FFFFFF"/>
                <w:lang w:val="en-US" w:eastAsia="zh-CN"/>
                <w14:textFill>
                  <w14:solidFill>
                    <w14:schemeClr w14:val="tx1"/>
                  </w14:solidFill>
                </w14:textFill>
              </w:rPr>
              <w:t>1、申报：</w:t>
            </w:r>
            <w:r>
              <w:rPr>
                <w:rFonts w:hint="eastAsia" w:ascii="华文仿宋" w:hAnsi="华文仿宋" w:eastAsia="华文仿宋" w:cs="华文仿宋"/>
                <w:color w:val="000000" w:themeColor="text1"/>
                <w:sz w:val="22"/>
                <w:szCs w:val="22"/>
                <w:u w:val="none"/>
                <w:shd w:val="clear" w:color="auto" w:fill="FFFFFF"/>
                <w:lang w:eastAsia="zh-CN"/>
                <w14:textFill>
                  <w14:solidFill>
                    <w14:schemeClr w14:val="tx1"/>
                  </w14:solidFill>
                </w14:textFill>
              </w:rPr>
              <w:t>企业或职工（近亲属）在市人社局网站下载申报表模板，按照说明填写后与证据材料报送至区政务服务大厅窗口；</w:t>
            </w:r>
            <w:r>
              <w:rPr>
                <w:rFonts w:hint="eastAsia" w:ascii="华文仿宋" w:hAnsi="华文仿宋" w:eastAsia="华文仿宋" w:cs="华文仿宋"/>
                <w:color w:val="000000" w:themeColor="text1"/>
                <w:sz w:val="22"/>
                <w:szCs w:val="22"/>
                <w:u w:val="none"/>
                <w:shd w:val="clear" w:color="auto" w:fill="FFFFFF"/>
                <w:lang w:val="en-US" w:eastAsia="zh-CN"/>
                <w14:textFill>
                  <w14:solidFill>
                    <w14:schemeClr w14:val="tx1"/>
                  </w14:solidFill>
                </w14:textFill>
              </w:rPr>
              <w:t>2、受理：窗口人员审核后拟出意见，系统内转股长确认是否受理；3、认定确认：股长拟出认定意见，系统内转分管领导确认；4、领取认定书：企业或职工（近亲属）到窗口领取。</w:t>
            </w:r>
          </w:p>
        </w:tc>
        <w:tc>
          <w:tcPr>
            <w:tcW w:w="1129" w:type="dxa"/>
            <w:vAlign w:val="center"/>
          </w:tcPr>
          <w:p>
            <w:pPr>
              <w:spacing w:line="260" w:lineRule="exact"/>
              <w:jc w:val="center"/>
              <w:rPr>
                <w:rFonts w:hint="eastAsia" w:ascii="华文仿宋" w:hAnsi="华文仿宋" w:eastAsia="华文仿宋" w:cs="华文仿宋"/>
                <w:color w:val="000000" w:themeColor="text1"/>
                <w:sz w:val="22"/>
                <w:szCs w:val="22"/>
                <w:u w:val="none"/>
                <w:shd w:val="clear" w:color="auto" w:fill="FFFFFF"/>
                <w:lang w:eastAsia="zh-CN"/>
                <w14:textFill>
                  <w14:solidFill>
                    <w14:schemeClr w14:val="tx1"/>
                  </w14:solidFill>
                </w14:textFill>
              </w:rPr>
            </w:pPr>
            <w:r>
              <w:rPr>
                <w:rFonts w:hint="eastAsia" w:ascii="华文仿宋" w:hAnsi="华文仿宋" w:eastAsia="华文仿宋" w:cs="华文仿宋"/>
                <w:color w:val="000000" w:themeColor="text1"/>
                <w:sz w:val="22"/>
                <w:szCs w:val="22"/>
                <w:u w:val="none"/>
                <w:shd w:val="clear" w:color="auto" w:fill="FFFFFF"/>
                <w:lang w:eastAsia="zh-CN"/>
                <w14:textFill>
                  <w14:solidFill>
                    <w14:schemeClr w14:val="tx1"/>
                  </w14:solidFill>
                </w14:textFill>
              </w:rPr>
              <w:t>社会</w:t>
            </w:r>
            <w:r>
              <w:rPr>
                <w:rFonts w:hint="eastAsia" w:ascii="华文仿宋" w:hAnsi="华文仿宋" w:eastAsia="华文仿宋" w:cs="华文仿宋"/>
                <w:color w:val="000000" w:themeColor="text1"/>
                <w:sz w:val="22"/>
                <w:szCs w:val="22"/>
                <w:u w:val="none"/>
                <w:shd w:val="clear" w:color="auto" w:fill="FFFFFF"/>
                <w14:textFill>
                  <w14:solidFill>
                    <w14:schemeClr w14:val="tx1"/>
                  </w14:solidFill>
                </w14:textFill>
              </w:rPr>
              <w:t>保险</w:t>
            </w:r>
            <w:r>
              <w:rPr>
                <w:rFonts w:hint="eastAsia" w:ascii="华文仿宋" w:hAnsi="华文仿宋" w:eastAsia="华文仿宋" w:cs="华文仿宋"/>
                <w:color w:val="000000" w:themeColor="text1"/>
                <w:sz w:val="22"/>
                <w:szCs w:val="22"/>
                <w:u w:val="none"/>
                <w:shd w:val="clear" w:color="auto" w:fill="FFFFFF"/>
                <w:lang w:val="en-US" w:eastAsia="zh-CN"/>
                <w14:textFill>
                  <w14:solidFill>
                    <w14:schemeClr w14:val="tx1"/>
                  </w14:solidFill>
                </w14:textFill>
              </w:rPr>
              <w:t>股</w:t>
            </w:r>
          </w:p>
        </w:tc>
        <w:tc>
          <w:tcPr>
            <w:tcW w:w="1466" w:type="dxa"/>
            <w:vAlign w:val="center"/>
          </w:tcPr>
          <w:p>
            <w:pPr>
              <w:spacing w:line="260" w:lineRule="exact"/>
              <w:jc w:val="center"/>
              <w:rPr>
                <w:rFonts w:hint="eastAsia" w:ascii="华文仿宋" w:hAnsi="华文仿宋" w:eastAsia="华文仿宋" w:cs="华文仿宋"/>
                <w:sz w:val="22"/>
                <w:szCs w:val="22"/>
                <w:shd w:val="clear" w:color="auto" w:fill="FFFFFF"/>
                <w:lang w:val="en-US" w:eastAsia="zh-CN" w:bidi="ar-SA"/>
              </w:rPr>
            </w:pPr>
            <w:r>
              <w:rPr>
                <w:rFonts w:hint="eastAsia" w:ascii="华文仿宋" w:hAnsi="华文仿宋" w:eastAsia="华文仿宋" w:cs="华文仿宋"/>
                <w:sz w:val="22"/>
                <w:szCs w:val="22"/>
                <w:shd w:val="clear" w:color="auto" w:fill="FFFFFF"/>
                <w:lang w:eastAsia="zh-CN"/>
              </w:rPr>
              <w:t>事实明确的受理后</w:t>
            </w:r>
            <w:r>
              <w:rPr>
                <w:rFonts w:hint="eastAsia" w:ascii="华文仿宋" w:hAnsi="华文仿宋" w:eastAsia="华文仿宋" w:cs="华文仿宋"/>
                <w:sz w:val="22"/>
                <w:szCs w:val="22"/>
                <w:shd w:val="clear" w:color="auto" w:fill="FFFFFF"/>
                <w:lang w:val="en-US" w:eastAsia="zh-CN"/>
              </w:rPr>
              <w:t>15日内办结，需调查取证的受理后30日内办结，需其他部门协助调查或出具证明文书的受理后45日</w:t>
            </w:r>
            <w:bookmarkStart w:id="0" w:name="_GoBack"/>
            <w:bookmarkEnd w:id="0"/>
            <w:r>
              <w:rPr>
                <w:rFonts w:hint="eastAsia" w:ascii="华文仿宋" w:hAnsi="华文仿宋" w:eastAsia="华文仿宋" w:cs="华文仿宋"/>
                <w:sz w:val="22"/>
                <w:szCs w:val="22"/>
                <w:shd w:val="clear" w:color="auto" w:fill="FFFFFF"/>
                <w:lang w:val="en-US" w:eastAsia="zh-CN"/>
              </w:rPr>
              <w:t>内办结</w:t>
            </w:r>
          </w:p>
        </w:tc>
        <w:tc>
          <w:tcPr>
            <w:tcW w:w="1494" w:type="dxa"/>
            <w:vAlign w:val="center"/>
          </w:tcPr>
          <w:p>
            <w:pPr>
              <w:spacing w:line="260" w:lineRule="exact"/>
              <w:jc w:val="center"/>
              <w:rPr>
                <w:rFonts w:hint="eastAsia" w:ascii="华文仿宋" w:hAnsi="华文仿宋" w:eastAsia="华文仿宋" w:cs="华文仿宋"/>
                <w:sz w:val="22"/>
                <w:szCs w:val="22"/>
                <w:shd w:val="clear" w:color="auto" w:fill="FFFFFF"/>
                <w:lang w:val="en-US" w:eastAsia="zh-CN" w:bidi="ar-SA"/>
              </w:rPr>
            </w:pPr>
            <w:r>
              <w:rPr>
                <w:rFonts w:hint="eastAsia" w:ascii="华文仿宋" w:hAnsi="华文仿宋" w:eastAsia="华文仿宋" w:cs="华文仿宋"/>
                <w:sz w:val="22"/>
                <w:szCs w:val="22"/>
                <w:shd w:val="clear" w:color="auto" w:fill="FFFFFF"/>
                <w:lang w:val="en-US" w:eastAsia="zh-CN"/>
              </w:rPr>
              <w:t>受理后60日</w:t>
            </w:r>
          </w:p>
        </w:tc>
      </w:tr>
    </w:tbl>
    <w:p>
      <w:pPr>
        <w:spacing w:line="220" w:lineRule="atLeast"/>
        <w:rPr>
          <w:rFonts w:hint="eastAsia" w:ascii="华文仿宋" w:hAnsi="华文仿宋" w:eastAsia="华文仿宋" w:cs="华文仿宋"/>
          <w:sz w:val="22"/>
          <w:szCs w:val="22"/>
        </w:rPr>
      </w:pPr>
    </w:p>
    <w:sectPr>
      <w:footerReference r:id="rId5" w:type="default"/>
      <w:pgSz w:w="16838" w:h="11906" w:orient="landscape"/>
      <w:pgMar w:top="1576" w:right="1440" w:bottom="1519"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eastAsia="zh-CN"/>
      </w:rPr>
      <w:t>3</w:t>
    </w:r>
    <w:r>
      <w:rPr>
        <w:lang w:val="zh-CN" w:eastAsia="zh-CN"/>
      </w:rP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135C0"/>
    <w:rsid w:val="00244F47"/>
    <w:rsid w:val="00323B43"/>
    <w:rsid w:val="003D37D8"/>
    <w:rsid w:val="00426133"/>
    <w:rsid w:val="004358AB"/>
    <w:rsid w:val="008B7726"/>
    <w:rsid w:val="00956066"/>
    <w:rsid w:val="00A2025E"/>
    <w:rsid w:val="00D31D50"/>
    <w:rsid w:val="0AEE03C1"/>
    <w:rsid w:val="1A976CE2"/>
    <w:rsid w:val="3513077B"/>
    <w:rsid w:val="3FFFC7AF"/>
    <w:rsid w:val="43DDB680"/>
    <w:rsid w:val="465848ED"/>
    <w:rsid w:val="4E71357C"/>
    <w:rsid w:val="58FF1B19"/>
    <w:rsid w:val="7BF3773C"/>
    <w:rsid w:val="7F53F1A1"/>
    <w:rsid w:val="FE7EF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963</Words>
  <Characters>969</Characters>
  <Lines>13</Lines>
  <Paragraphs>3</Paragraphs>
  <TotalTime>1</TotalTime>
  <ScaleCrop>false</ScaleCrop>
  <LinksUpToDate>false</LinksUpToDate>
  <CharactersWithSpaces>977</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2008-09-13T09:20:00Z</dcterms:created>
  <dc:creator>ZBKJ</dc:creator>
  <cp:lastModifiedBy>kylin</cp:lastModifiedBy>
  <cp:lastPrinted>2025-12-31T15:46:20Z</cp:lastPrinted>
  <dcterms:modified xsi:type="dcterms:W3CDTF">2025-12-31T15:46:29Z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A92B37A32D31BDEF1DD15469C8876D54</vt:lpwstr>
  </property>
  <property fmtid="{D5CDD505-2E9C-101B-9397-08002B2CF9AE}" pid="4" name="KSOTemplateDocerSaveRecord">
    <vt:lpwstr>eyJoZGlkIjoiMDVkMGNjMGViYjYyMjhlNWRmMzVhZjQ2YTBiNzcxNGIiLCJ1c2VySWQiOiI0NTE0NjAxNzEifQ==</vt:lpwstr>
  </property>
</Properties>
</file>