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bookmarkStart w:id="0" w:name="_GoBack"/>
      <w:bookmarkEnd w:id="0"/>
      <w:r>
        <w:rPr>
          <w:rFonts w:hint="eastAsia" w:ascii="黑体" w:hAnsi="宋体" w:eastAsia="黑体" w:cs="黑体"/>
          <w:b/>
          <w:bCs/>
          <w:i w:val="0"/>
          <w:iCs w:val="0"/>
          <w:caps w:val="0"/>
          <w:color w:val="333333"/>
          <w:spacing w:val="0"/>
          <w:sz w:val="44"/>
          <w:szCs w:val="44"/>
          <w:shd w:val="clear" w:fill="FFFFFF"/>
          <w:lang w:val="en-US" w:eastAsia="zh-CN"/>
        </w:rPr>
        <w:t>新</w:t>
      </w:r>
      <w:r>
        <w:rPr>
          <w:rFonts w:ascii="黑体" w:hAnsi="宋体" w:eastAsia="黑体" w:cs="黑体"/>
          <w:b/>
          <w:bCs/>
          <w:i w:val="0"/>
          <w:iCs w:val="0"/>
          <w:caps w:val="0"/>
          <w:color w:val="333333"/>
          <w:spacing w:val="0"/>
          <w:sz w:val="44"/>
          <w:szCs w:val="44"/>
          <w:shd w:val="clear" w:fill="FFFFFF"/>
        </w:rPr>
        <w:t>县</w:t>
      </w:r>
      <w:r>
        <w:rPr>
          <w:rFonts w:hint="eastAsia" w:ascii="黑体" w:hAnsi="宋体" w:eastAsia="黑体" w:cs="黑体"/>
          <w:b/>
          <w:bCs/>
          <w:i w:val="0"/>
          <w:iCs w:val="0"/>
          <w:caps w:val="0"/>
          <w:color w:val="333333"/>
          <w:spacing w:val="0"/>
          <w:sz w:val="44"/>
          <w:szCs w:val="44"/>
          <w:shd w:val="clear" w:fill="FFFFFF"/>
          <w:lang w:val="en-US" w:eastAsia="zh-CN"/>
        </w:rPr>
        <w:t>林业和茶产业</w:t>
      </w:r>
      <w:r>
        <w:rPr>
          <w:rFonts w:ascii="黑体" w:hAnsi="宋体" w:eastAsia="黑体" w:cs="黑体"/>
          <w:b/>
          <w:bCs/>
          <w:i w:val="0"/>
          <w:iCs w:val="0"/>
          <w:caps w:val="0"/>
          <w:color w:val="333333"/>
          <w:spacing w:val="0"/>
          <w:sz w:val="44"/>
          <w:szCs w:val="44"/>
          <w:shd w:val="clear" w:fill="FFFFFF"/>
        </w:rPr>
        <w:t>局行政执法岗责体系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0"/>
        <w:jc w:val="left"/>
        <w:rPr>
          <w:rFonts w:hint="default" w:ascii="Calibri" w:hAnsi="Calibri" w:cs="Calibri"/>
          <w:sz w:val="21"/>
          <w:szCs w:val="21"/>
        </w:rPr>
      </w:pPr>
      <w:r>
        <w:rPr>
          <w:rFonts w:hint="eastAsia" w:ascii="黑体" w:hAnsi="宋体" w:eastAsia="黑体" w:cs="黑体"/>
          <w:i w:val="0"/>
          <w:iCs w:val="0"/>
          <w:caps w:val="0"/>
          <w:color w:val="333333"/>
          <w:spacing w:val="0"/>
          <w:sz w:val="32"/>
          <w:szCs w:val="32"/>
          <w:shd w:val="clear" w:fill="FFFFFF"/>
        </w:rPr>
        <w:t>  </w:t>
      </w:r>
      <w:r>
        <w:rPr>
          <w:rFonts w:hint="eastAsia" w:ascii="黑体" w:hAnsi="宋体" w:eastAsia="黑体" w:cs="黑体"/>
          <w:b/>
          <w:bCs/>
          <w:i w:val="0"/>
          <w:iCs w:val="0"/>
          <w:caps w:val="0"/>
          <w:color w:val="333333"/>
          <w:spacing w:val="0"/>
          <w:sz w:val="32"/>
          <w:szCs w:val="32"/>
          <w:shd w:val="clear" w:fill="FFFFFF"/>
        </w:rPr>
        <w:t>一、股室：</w:t>
      </w:r>
      <w:r>
        <w:rPr>
          <w:rFonts w:hint="eastAsia" w:ascii="黑体" w:hAnsi="宋体" w:eastAsia="黑体" w:cs="黑体"/>
          <w:b/>
          <w:bCs/>
          <w:i w:val="0"/>
          <w:iCs w:val="0"/>
          <w:caps w:val="0"/>
          <w:color w:val="333333"/>
          <w:spacing w:val="0"/>
          <w:sz w:val="32"/>
          <w:szCs w:val="32"/>
          <w:shd w:val="clear" w:fill="FFFFFF"/>
          <w:lang w:val="en-US" w:eastAsia="zh-CN"/>
        </w:rPr>
        <w:t>林政站、林地办、森防站、野保站、防火办、种苗站、退耕办、稽查大队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ascii="楷体" w:hAnsi="楷体" w:eastAsia="楷体" w:cs="楷体"/>
          <w:b/>
          <w:bCs/>
          <w:i w:val="0"/>
          <w:iCs w:val="0"/>
          <w:caps w:val="0"/>
          <w:color w:val="333333"/>
          <w:spacing w:val="0"/>
          <w:sz w:val="32"/>
          <w:szCs w:val="32"/>
          <w:shd w:val="clear" w:fill="FFFFFF"/>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ascii="仿宋" w:hAnsi="仿宋" w:eastAsia="仿宋" w:cs="仿宋"/>
          <w:b/>
          <w:bCs/>
          <w:i w:val="0"/>
          <w:iCs w:val="0"/>
          <w:caps w:val="0"/>
          <w:color w:val="333333"/>
          <w:spacing w:val="0"/>
          <w:sz w:val="32"/>
          <w:szCs w:val="32"/>
          <w:shd w:val="clear" w:fill="FFFFFF"/>
        </w:rPr>
        <w:t>1、行政检查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（1）检查岗：按照法律法规规定和程序实施检查，监督检查人员不得少于二人，并出示合法证件。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（2）处置岗：依法处置，不得违反法律法规规定。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（3）信息公开岗：依法律法规，按照程序办理信息公开事项。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2、行政处罚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（1）立案岗：对检查中发现、接到举报投诉涉嫌违法案件予以审查，决定是否立案。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调查岗：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（3）告知岗：在做出行政处罚决定前，书面告知当事人拟做出处罚决定的事实、理由、依据、处罚内容，以及当事人享有的陈述权、申辩权和听证权。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（4）决定岗：依法需要给予行政处罚的，拟提出行政处罚决定意见，载明违法事实和证据、处罚依据和内容。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（5）送达岗：行政处罚决定书应当在宣告后当场交付当事人；当事人不在场的，行政机关应当在七日内依照民事诉讼法的有关规定，将行政处罚决定书送达当事人。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（6）执行岗：监督当事人在决定的期限内（15日内）履行生效的行政处罚决定。当事人在法定期限内没有申请行政复议或提起行政诉讼，经催告后仍不履行的，可申请法院强制执行。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（7）其他法律法规规章规定应履行的责任。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3、行政强制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告知岗：出示执法身份证件，通知当事人到场，告知当事人采取行政强制的理由、依据</w:t>
      </w:r>
      <w:r>
        <w:rPr>
          <w:rFonts w:hint="eastAsia" w:ascii="仿宋" w:hAnsi="仿宋" w:eastAsia="仿宋" w:cs="仿宋"/>
          <w:i w:val="0"/>
          <w:iCs w:val="0"/>
          <w:caps w:val="0"/>
          <w:color w:val="333333"/>
          <w:spacing w:val="0"/>
          <w:sz w:val="32"/>
          <w:szCs w:val="32"/>
          <w:shd w:val="clear" w:fill="FFFFFF"/>
          <w:lang w:eastAsia="zh-CN"/>
        </w:rPr>
        <w:t>以及</w:t>
      </w:r>
      <w:r>
        <w:rPr>
          <w:rFonts w:hint="eastAsia" w:ascii="仿宋" w:hAnsi="仿宋" w:eastAsia="仿宋" w:cs="仿宋"/>
          <w:i w:val="0"/>
          <w:iCs w:val="0"/>
          <w:caps w:val="0"/>
          <w:color w:val="333333"/>
          <w:spacing w:val="0"/>
          <w:sz w:val="32"/>
          <w:szCs w:val="32"/>
          <w:shd w:val="clear" w:fill="FFFFFF"/>
        </w:rPr>
        <w:t>当事人依法享有的权利、救济途径，充分听取当事人的陈述、申辩。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决定岗：以事实为依据，经批准作出查封、扣押决定。送达查封（扣押）决定书。根据中止和终结执行的适用情形，做出解除查封、扣押决定。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执行岗：依法组织实施查封、扣押及其他有关材料。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643"/>
        <w:jc w:val="left"/>
        <w:rPr>
          <w:rFonts w:hint="default" w:ascii="Calibri" w:hAnsi="Calibri" w:cs="Calibri"/>
          <w:sz w:val="21"/>
          <w:szCs w:val="21"/>
        </w:rPr>
      </w:pPr>
      <w:r>
        <w:rPr>
          <w:rFonts w:hint="eastAsia" w:ascii="黑体" w:hAnsi="宋体" w:eastAsia="黑体" w:cs="黑体"/>
          <w:b/>
          <w:bCs/>
          <w:i w:val="0"/>
          <w:iCs w:val="0"/>
          <w:caps w:val="0"/>
          <w:color w:val="333333"/>
          <w:spacing w:val="0"/>
          <w:sz w:val="32"/>
          <w:szCs w:val="32"/>
          <w:shd w:val="clear" w:fill="FFFFFF"/>
        </w:rPr>
        <w:t>二、股室：法制宣教股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楷体" w:hAnsi="楷体" w:eastAsia="楷体" w:cs="楷体"/>
          <w:b/>
          <w:bCs/>
          <w:i w:val="0"/>
          <w:iCs w:val="0"/>
          <w:caps w:val="0"/>
          <w:color w:val="333333"/>
          <w:spacing w:val="0"/>
          <w:sz w:val="32"/>
          <w:szCs w:val="32"/>
          <w:shd w:val="clear" w:fill="FFFFFF"/>
        </w:rPr>
        <w:t>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（1）受理岗：对当事人提出听证申请的案件，受理当事人听证申请。依法决定受理或不予受理（不予受理的依法告知理由）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（2）审查岗：对案件违法事实、证据、调查取证程序、法律适用、处罚种类和幅度、当事人陈述申辩理由等方面进行审查，提出处理意见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决定岗：依法对办案部门草拟的《行政处罚决定书》，载明的违法事实和证据、处罚依据和内容、申请行政复议或提起行政诉讼的途径和期限等内容审查后作出处罚决定。对听证案件进行讨论后作出听证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0" w:afterAutospacing="0" w:line="560" w:lineRule="atLeast"/>
        <w:ind w:left="0" w:right="0" w:firstLine="643"/>
        <w:jc w:val="left"/>
        <w:rPr>
          <w:rFonts w:hint="default" w:ascii="Calibri" w:hAnsi="Calibri" w:cs="Calibri"/>
          <w:sz w:val="21"/>
          <w:szCs w:val="21"/>
        </w:rPr>
      </w:pPr>
      <w:r>
        <w:rPr>
          <w:rFonts w:hint="eastAsia" w:ascii="黑体" w:hAnsi="宋体" w:eastAsia="黑体" w:cs="黑体"/>
          <w:b/>
          <w:bCs/>
          <w:i w:val="0"/>
          <w:iCs w:val="0"/>
          <w:caps w:val="0"/>
          <w:color w:val="333333"/>
          <w:spacing w:val="0"/>
          <w:sz w:val="32"/>
          <w:szCs w:val="32"/>
          <w:shd w:val="clear" w:fill="FFFFFF"/>
        </w:rPr>
        <w:t>三、股室：行政审批股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2"/>
        <w:jc w:val="left"/>
        <w:rPr>
          <w:rFonts w:hint="default" w:ascii="Calibri" w:hAnsi="Calibri" w:cs="Calibri"/>
          <w:sz w:val="21"/>
          <w:szCs w:val="21"/>
        </w:rPr>
      </w:pPr>
      <w:r>
        <w:rPr>
          <w:rFonts w:hint="eastAsia" w:ascii="仿宋" w:hAnsi="仿宋" w:eastAsia="仿宋" w:cs="仿宋"/>
          <w:b/>
          <w:bCs/>
          <w:i w:val="0"/>
          <w:iCs w:val="0"/>
          <w:caps w:val="0"/>
          <w:color w:val="333333"/>
          <w:spacing w:val="0"/>
          <w:sz w:val="32"/>
          <w:szCs w:val="32"/>
          <w:shd w:val="clear" w:fill="FFFFFF"/>
        </w:rPr>
        <w:t>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（1）受理岗：公示行政许可依法应当提交的材料；一次性告知补正材料；依法决定受理或不予受理（不予受理的依法告知理由）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（2）审查岗：依据相关法律、法规进行材料审查，组织人员进行现场检查，结合材料和现场检查结果提出初审意见。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333333"/>
          <w:spacing w:val="0"/>
          <w:sz w:val="32"/>
          <w:szCs w:val="32"/>
          <w:shd w:val="clear" w:fill="FFFFFF"/>
        </w:rPr>
        <w:t>（3）决定岗：作出决定，核发许可证。（不予行政许可的制作不予行政许可决定书，告知申请人理由）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mY3M2Y5YjE0MDNkNDkxOGUxMjNiZmNiYzZjZTgifQ=="/>
    <w:docVar w:name="KSO_WPS_MARK_KEY" w:val="16184ab7-9311-4c09-baef-85e027838c18"/>
  </w:docVars>
  <w:rsids>
    <w:rsidRoot w:val="00000000"/>
    <w:rsid w:val="1EB10F54"/>
    <w:rsid w:val="265068C5"/>
    <w:rsid w:val="51E8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3333"/>
      <w:u w:val="none"/>
    </w:rPr>
  </w:style>
  <w:style w:type="character" w:styleId="7">
    <w:name w:val="HTML Definition"/>
    <w:basedOn w:val="4"/>
    <w:uiPriority w:val="0"/>
    <w:rPr>
      <w:i/>
      <w:iCs/>
    </w:rPr>
  </w:style>
  <w:style w:type="character" w:styleId="8">
    <w:name w:val="HTML Acronym"/>
    <w:basedOn w:val="4"/>
    <w:uiPriority w:val="0"/>
  </w:style>
  <w:style w:type="character" w:styleId="9">
    <w:name w:val="Hyperlink"/>
    <w:basedOn w:val="4"/>
    <w:uiPriority w:val="0"/>
    <w:rPr>
      <w:color w:val="333333"/>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qFormat/>
    <w:uiPriority w:val="0"/>
    <w:rPr>
      <w:rFonts w:hint="default" w:ascii="monospace" w:hAnsi="monospace" w:eastAsia="monospace" w:cs="monospace"/>
      <w:sz w:val="21"/>
      <w:szCs w:val="21"/>
    </w:rPr>
  </w:style>
  <w:style w:type="character" w:styleId="12">
    <w:name w:val="HTML Sample"/>
    <w:basedOn w:val="4"/>
    <w:uiPriority w:val="0"/>
    <w:rPr>
      <w:rFonts w:ascii="monospace" w:hAnsi="monospace" w:eastAsia="monospace" w:cs="monospace"/>
      <w:sz w:val="21"/>
      <w:szCs w:val="21"/>
    </w:rPr>
  </w:style>
  <w:style w:type="character" w:customStyle="1" w:styleId="13">
    <w:name w:val="c3"/>
    <w:basedOn w:val="4"/>
    <w:uiPriority w:val="0"/>
  </w:style>
  <w:style w:type="character" w:customStyle="1" w:styleId="14">
    <w:name w:val="organame"/>
    <w:basedOn w:val="4"/>
    <w:uiPriority w:val="0"/>
    <w:rPr>
      <w:sz w:val="24"/>
      <w:szCs w:val="24"/>
    </w:rPr>
  </w:style>
  <w:style w:type="character" w:customStyle="1" w:styleId="15">
    <w:name w:val="c1"/>
    <w:basedOn w:val="4"/>
    <w:uiPriority w:val="0"/>
  </w:style>
  <w:style w:type="character" w:customStyle="1" w:styleId="16">
    <w:name w:val="note-content"/>
    <w:basedOn w:val="4"/>
    <w:uiPriority w:val="0"/>
    <w:rPr>
      <w:color w:val="333333"/>
    </w:rPr>
  </w:style>
  <w:style w:type="character" w:customStyle="1" w:styleId="17">
    <w:name w:val="c2"/>
    <w:basedOn w:val="4"/>
    <w:uiPriority w:val="0"/>
  </w:style>
  <w:style w:type="character" w:customStyle="1" w:styleId="18">
    <w:name w:val="catlist"/>
    <w:basedOn w:val="4"/>
    <w:uiPriority w:val="0"/>
  </w:style>
  <w:style w:type="character" w:customStyle="1" w:styleId="19">
    <w:name w:val="msg-box10"/>
    <w:basedOn w:val="4"/>
    <w:uiPriority w:val="0"/>
  </w:style>
  <w:style w:type="character" w:customStyle="1" w:styleId="20">
    <w:name w:val="tit6"/>
    <w:basedOn w:val="4"/>
    <w:uiPriority w:val="0"/>
    <w:rPr>
      <w:color w:val="FFFFFF"/>
      <w:shd w:val="clear" w:fill="EF1C24"/>
    </w:rPr>
  </w:style>
  <w:style w:type="character" w:customStyle="1" w:styleId="21">
    <w:name w:val="tit7"/>
    <w:basedOn w:val="4"/>
    <w:uiPriority w:val="0"/>
  </w:style>
  <w:style w:type="character" w:customStyle="1" w:styleId="22">
    <w:name w:val="buvis"/>
    <w:basedOn w:val="4"/>
    <w:uiPriority w:val="0"/>
    <w:rPr>
      <w:color w:val="999999"/>
    </w:rPr>
  </w:style>
  <w:style w:type="character" w:customStyle="1" w:styleId="23">
    <w:name w:val="buvis1"/>
    <w:basedOn w:val="4"/>
    <w:qFormat/>
    <w:uiPriority w:val="0"/>
    <w:rPr>
      <w:color w:val="CC0000"/>
    </w:rPr>
  </w:style>
  <w:style w:type="character" w:customStyle="1" w:styleId="24">
    <w:name w:val="left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1165</Words>
  <Characters>1166</Characters>
  <Lines>0</Lines>
  <Paragraphs>0</Paragraphs>
  <TotalTime>0</TotalTime>
  <ScaleCrop>false</ScaleCrop>
  <LinksUpToDate>false</LinksUpToDate>
  <CharactersWithSpaces>1168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2021-11-15T01:31:00Z</dcterms:created>
  <dc:creator>Administrator</dc:creator>
  <cp:lastModifiedBy>张小乐啊</cp:lastModifiedBy>
  <dcterms:modified xsi:type="dcterms:W3CDTF">2024-03-25T00:59:47Z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409966E3534849B19764B1A3E0FB9DD3</vt:lpwstr>
  </property>
</Properties>
</file>