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409" w:firstLineChars="500"/>
        <w:jc w:val="both"/>
        <w:rPr>
          <w:rFonts w:hint="eastAsia" w:eastAsia="方正小标宋简体"/>
          <w:b/>
          <w:sz w:val="48"/>
          <w:szCs w:val="48"/>
          <w:lang w:eastAsia="zh-CN"/>
        </w:rPr>
      </w:pPr>
      <w:r>
        <w:rPr>
          <w:rFonts w:hint="eastAsia" w:ascii="方正小标宋简体" w:hAnsi="方正小标宋简体" w:eastAsia="方正小标宋简体" w:cs="方正小标宋简体"/>
          <w:b/>
          <w:sz w:val="48"/>
          <w:szCs w:val="48"/>
        </w:rPr>
        <w:t>信阳市</w:t>
      </w:r>
      <w:r>
        <w:rPr>
          <w:rFonts w:hint="eastAsia" w:ascii="方正小标宋简体" w:hAnsi="方正小标宋简体" w:eastAsia="方正小标宋简体" w:cs="方正小标宋简体"/>
          <w:b/>
          <w:sz w:val="48"/>
          <w:szCs w:val="48"/>
          <w:lang w:eastAsia="zh-CN"/>
        </w:rPr>
        <w:t>自然资源和规划局</w:t>
      </w:r>
      <w:r>
        <w:rPr>
          <w:rFonts w:hint="eastAsia" w:ascii="方正小标宋简体" w:hAnsi="方正小标宋简体" w:eastAsia="方正小标宋简体" w:cs="方正小标宋简体"/>
          <w:b/>
          <w:sz w:val="48"/>
          <w:szCs w:val="48"/>
        </w:rPr>
        <w:t>权</w:t>
      </w:r>
      <w:r>
        <w:rPr>
          <w:rFonts w:hint="eastAsia" w:ascii="方正小标宋简体" w:hAnsi="方正小标宋简体" w:eastAsia="方正小标宋简体" w:cs="方正小标宋简体"/>
          <w:b/>
          <w:sz w:val="48"/>
          <w:szCs w:val="48"/>
          <w:lang w:val="en-US" w:eastAsia="zh-CN"/>
        </w:rPr>
        <w:t>责</w:t>
      </w:r>
      <w:r>
        <w:rPr>
          <w:rFonts w:hint="eastAsia" w:ascii="方正小标宋简体" w:hAnsi="方正小标宋简体" w:eastAsia="方正小标宋简体" w:cs="方正小标宋简体"/>
          <w:b/>
          <w:sz w:val="48"/>
          <w:szCs w:val="48"/>
        </w:rPr>
        <w:t>清单</w:t>
      </w:r>
      <w:r>
        <w:rPr>
          <w:rFonts w:hint="eastAsia" w:ascii="方正小标宋简体" w:hAnsi="方正小标宋简体" w:eastAsia="方正小标宋简体" w:cs="方正小标宋简体"/>
          <w:b/>
          <w:sz w:val="48"/>
          <w:szCs w:val="48"/>
          <w:lang w:eastAsia="zh-CN"/>
        </w:rPr>
        <w:t>（规划类）</w:t>
      </w:r>
    </w:p>
    <w:p>
      <w:pPr>
        <w:ind w:firstLine="2891" w:firstLineChars="600"/>
        <w:rPr>
          <w:b/>
          <w:sz w:val="48"/>
          <w:szCs w:val="4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510"/>
        <w:gridCol w:w="7747"/>
        <w:gridCol w:w="2346"/>
        <w:gridCol w:w="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843" w:type="dxa"/>
            <w:vAlign w:val="center"/>
          </w:tcPr>
          <w:p>
            <w:pPr>
              <w:jc w:val="center"/>
              <w:rPr>
                <w:sz w:val="36"/>
                <w:szCs w:val="36"/>
              </w:rPr>
            </w:pPr>
            <w:r>
              <w:rPr>
                <w:rFonts w:hint="eastAsia"/>
                <w:sz w:val="36"/>
                <w:szCs w:val="36"/>
              </w:rPr>
              <w:t>职权项目名称</w:t>
            </w:r>
          </w:p>
        </w:tc>
        <w:tc>
          <w:tcPr>
            <w:tcW w:w="1510" w:type="dxa"/>
            <w:vAlign w:val="center"/>
          </w:tcPr>
          <w:p>
            <w:pPr>
              <w:jc w:val="center"/>
              <w:rPr>
                <w:sz w:val="36"/>
                <w:szCs w:val="36"/>
              </w:rPr>
            </w:pPr>
            <w:r>
              <w:rPr>
                <w:rFonts w:hint="eastAsia"/>
                <w:sz w:val="36"/>
                <w:szCs w:val="36"/>
              </w:rPr>
              <w:t>职权类别</w:t>
            </w:r>
          </w:p>
        </w:tc>
        <w:tc>
          <w:tcPr>
            <w:tcW w:w="7747" w:type="dxa"/>
            <w:vAlign w:val="center"/>
          </w:tcPr>
          <w:p>
            <w:pPr>
              <w:ind w:firstLine="720" w:firstLineChars="200"/>
              <w:jc w:val="center"/>
              <w:rPr>
                <w:sz w:val="36"/>
                <w:szCs w:val="36"/>
              </w:rPr>
            </w:pPr>
            <w:r>
              <w:rPr>
                <w:rFonts w:hint="eastAsia"/>
                <w:sz w:val="36"/>
                <w:szCs w:val="36"/>
              </w:rPr>
              <w:t>设定依据</w:t>
            </w:r>
          </w:p>
        </w:tc>
        <w:tc>
          <w:tcPr>
            <w:tcW w:w="2346" w:type="dxa"/>
            <w:vAlign w:val="center"/>
          </w:tcPr>
          <w:p>
            <w:pPr>
              <w:jc w:val="center"/>
              <w:rPr>
                <w:sz w:val="36"/>
                <w:szCs w:val="36"/>
              </w:rPr>
            </w:pPr>
            <w:r>
              <w:rPr>
                <w:rFonts w:hint="eastAsia"/>
                <w:sz w:val="36"/>
                <w:szCs w:val="36"/>
              </w:rPr>
              <w:t>责任单位</w:t>
            </w:r>
          </w:p>
        </w:tc>
        <w:tc>
          <w:tcPr>
            <w:tcW w:w="728" w:type="dxa"/>
            <w:vAlign w:val="center"/>
          </w:tcPr>
          <w:p>
            <w:pPr>
              <w:jc w:val="center"/>
              <w:rPr>
                <w:sz w:val="36"/>
                <w:szCs w:val="36"/>
              </w:rPr>
            </w:pPr>
            <w:r>
              <w:rPr>
                <w:rFonts w:hint="eastAsia"/>
                <w:sz w:val="36"/>
                <w:szCs w:val="3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8" w:hRule="atLeast"/>
        </w:trPr>
        <w:tc>
          <w:tcPr>
            <w:tcW w:w="1843" w:type="dxa"/>
            <w:vAlign w:val="center"/>
          </w:tcPr>
          <w:p>
            <w:pPr>
              <w:ind w:firstLine="160" w:firstLineChars="50"/>
              <w:jc w:val="center"/>
              <w:rPr>
                <w:rFonts w:hint="eastAsia" w:ascii="华文仿宋" w:hAnsi="华文仿宋" w:eastAsia="华文仿宋" w:cs="华文仿宋"/>
                <w:sz w:val="32"/>
                <w:szCs w:val="32"/>
              </w:rPr>
            </w:pPr>
            <w:r>
              <w:rPr>
                <w:rFonts w:hint="eastAsia" w:ascii="华文仿宋" w:hAnsi="华文仿宋" w:eastAsia="华文仿宋" w:cs="华文仿宋"/>
                <w:sz w:val="32"/>
                <w:szCs w:val="32"/>
              </w:rPr>
              <w:t>违反城乡规划的行为</w:t>
            </w:r>
          </w:p>
        </w:tc>
        <w:tc>
          <w:tcPr>
            <w:tcW w:w="1510" w:type="dxa"/>
            <w:vAlign w:val="center"/>
          </w:tcPr>
          <w:p>
            <w:pPr>
              <w:jc w:val="both"/>
              <w:rPr>
                <w:rFonts w:hint="eastAsia" w:ascii="华文仿宋" w:hAnsi="华文仿宋" w:eastAsia="华文仿宋" w:cs="华文仿宋"/>
                <w:sz w:val="32"/>
                <w:szCs w:val="32"/>
              </w:rPr>
            </w:pPr>
            <w:r>
              <w:rPr>
                <w:rFonts w:hint="eastAsia" w:ascii="华文仿宋" w:hAnsi="华文仿宋" w:eastAsia="华文仿宋" w:cs="华文仿宋"/>
                <w:sz w:val="32"/>
                <w:szCs w:val="32"/>
              </w:rPr>
              <w:t>行政处罚</w:t>
            </w:r>
          </w:p>
        </w:tc>
        <w:tc>
          <w:tcPr>
            <w:tcW w:w="7747" w:type="dxa"/>
            <w:vAlign w:val="center"/>
          </w:tcPr>
          <w:p>
            <w:pPr>
              <w:jc w:val="both"/>
              <w:rPr>
                <w:rFonts w:hint="eastAsia" w:ascii="华文仿宋" w:hAnsi="华文仿宋" w:eastAsia="华文仿宋" w:cs="华文仿宋"/>
                <w:sz w:val="24"/>
                <w:szCs w:val="24"/>
              </w:rPr>
            </w:pPr>
            <w:r>
              <w:rPr>
                <w:rFonts w:hint="default" w:ascii="华文仿宋" w:hAnsi="华文仿宋" w:eastAsia="华文仿宋" w:cs="华文仿宋"/>
                <w:sz w:val="24"/>
                <w:szCs w:val="24"/>
                <w:lang w:val="en-US"/>
              </w:rPr>
              <w:t>1.</w:t>
            </w:r>
            <w:r>
              <w:rPr>
                <w:rFonts w:hint="eastAsia" w:ascii="华文仿宋" w:hAnsi="华文仿宋" w:eastAsia="华文仿宋" w:cs="华文仿宋"/>
                <w:sz w:val="24"/>
                <w:szCs w:val="24"/>
              </w:rPr>
              <w:t>《中华人民共和国城乡规划法》第四十条：在城市、镇规划区内进行建筑物、构筑物、道路、管线和其他工程建设的，建设单位或者个人应当向城市、县人民政府城乡规划主管部门或者省、自治区、直辖市人民政府确定的镇人民政府申请办理建设工程规划许可证。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城市、县人民政府城乡规划主管部门或者省、自治区、直辖市人民政府确定的镇人民政府应当依法将经审定的修建性详细规划、建设工程设计方案的总平面图予以公布。</w:t>
            </w:r>
          </w:p>
          <w:p>
            <w:pPr>
              <w:jc w:val="both"/>
              <w:rPr>
                <w:rFonts w:hint="eastAsia" w:ascii="华文仿宋" w:hAnsi="华文仿宋" w:eastAsia="华文仿宋" w:cs="华文仿宋"/>
                <w:sz w:val="24"/>
                <w:szCs w:val="24"/>
              </w:rPr>
            </w:pPr>
            <w:r>
              <w:rPr>
                <w:rFonts w:hint="default" w:ascii="华文仿宋" w:hAnsi="华文仿宋" w:eastAsia="华文仿宋" w:cs="华文仿宋"/>
                <w:sz w:val="24"/>
                <w:szCs w:val="24"/>
                <w:lang w:val="en-US"/>
              </w:rPr>
              <w:t>2.</w:t>
            </w:r>
            <w:r>
              <w:rPr>
                <w:rFonts w:hint="eastAsia" w:ascii="华文仿宋" w:hAnsi="华文仿宋" w:eastAsia="华文仿宋" w:cs="华文仿宋"/>
                <w:sz w:val="24"/>
                <w:szCs w:val="24"/>
              </w:rPr>
              <w:t>《中华人民共和国城乡规划法》第四十三条：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建设单位应当及时将依法变更后的规划条件报有关人民政府土地主管部门备案。</w:t>
            </w:r>
          </w:p>
          <w:p>
            <w:pPr>
              <w:jc w:val="both"/>
              <w:rPr>
                <w:rFonts w:hint="eastAsia" w:ascii="华文仿宋" w:hAnsi="华文仿宋" w:eastAsia="华文仿宋" w:cs="华文仿宋"/>
                <w:sz w:val="24"/>
                <w:szCs w:val="24"/>
              </w:rPr>
            </w:pPr>
            <w:r>
              <w:rPr>
                <w:rFonts w:hint="default" w:ascii="华文仿宋" w:hAnsi="华文仿宋" w:eastAsia="华文仿宋" w:cs="华文仿宋"/>
                <w:sz w:val="24"/>
                <w:szCs w:val="24"/>
                <w:lang w:val="en-US"/>
              </w:rPr>
              <w:t>3.</w:t>
            </w:r>
            <w:r>
              <w:rPr>
                <w:rFonts w:hint="eastAsia" w:ascii="华文仿宋" w:hAnsi="华文仿宋" w:eastAsia="华文仿宋" w:cs="华文仿宋"/>
                <w:sz w:val="24"/>
                <w:szCs w:val="24"/>
              </w:rPr>
              <w:t>《中华人民共和国城乡规划法》第四十四条：在城市、镇规划区内进行临时建设的，应当经城市、县人民政府城乡规划主管部门批准。临时建设影响近期建设规划或者控制性详细规划的实施以及交通、市容、安全等的，不得批准。临时建设应当在批准的使用期限内自行拆除。临时建设和临时用地规划管理的具体办法，由省、自治区、直辖市人民政府制定。</w:t>
            </w:r>
          </w:p>
          <w:p>
            <w:pPr>
              <w:jc w:val="both"/>
              <w:rPr>
                <w:rFonts w:hint="eastAsia" w:ascii="华文仿宋" w:hAnsi="华文仿宋" w:eastAsia="华文仿宋" w:cs="华文仿宋"/>
                <w:sz w:val="24"/>
                <w:szCs w:val="24"/>
              </w:rPr>
            </w:pPr>
            <w:r>
              <w:rPr>
                <w:rFonts w:hint="default" w:ascii="华文仿宋" w:hAnsi="华文仿宋" w:eastAsia="华文仿宋" w:cs="华文仿宋"/>
                <w:sz w:val="24"/>
                <w:szCs w:val="24"/>
                <w:lang w:val="en-US"/>
              </w:rPr>
              <w:t>4.</w:t>
            </w:r>
            <w:r>
              <w:rPr>
                <w:rFonts w:hint="eastAsia" w:ascii="华文仿宋" w:hAnsi="华文仿宋" w:eastAsia="华文仿宋" w:cs="华文仿宋"/>
                <w:sz w:val="24"/>
                <w:szCs w:val="24"/>
              </w:rPr>
              <w:t>《中华人民共和国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jc w:val="both"/>
              <w:rPr>
                <w:rFonts w:hint="eastAsia" w:ascii="华文仿宋" w:hAnsi="华文仿宋" w:eastAsia="华文仿宋" w:cs="华文仿宋"/>
                <w:sz w:val="24"/>
                <w:szCs w:val="24"/>
              </w:rPr>
            </w:pPr>
            <w:r>
              <w:rPr>
                <w:rFonts w:hint="default" w:ascii="华文仿宋" w:hAnsi="华文仿宋" w:eastAsia="华文仿宋" w:cs="华文仿宋"/>
                <w:sz w:val="24"/>
                <w:szCs w:val="24"/>
                <w:lang w:val="en-US"/>
              </w:rPr>
              <w:t>5.</w:t>
            </w:r>
            <w:r>
              <w:rPr>
                <w:rFonts w:hint="eastAsia" w:ascii="华文仿宋" w:hAnsi="华文仿宋" w:eastAsia="华文仿宋" w:cs="华文仿宋"/>
                <w:sz w:val="24"/>
                <w:szCs w:val="24"/>
              </w:rPr>
              <w:t>《中华人民共和国城乡规划法》第六十五条：在乡、村庄规划区内未依法取得乡村建设规划许可证或者未按照乡村建设规划许可证的规定进行建设的，由乡、镇人民政府责令停止建设、限期改正；逾期不改正的，可以拆除。</w:t>
            </w:r>
          </w:p>
          <w:p>
            <w:pPr>
              <w:jc w:val="both"/>
              <w:rPr>
                <w:rFonts w:hint="eastAsia" w:ascii="华文仿宋" w:hAnsi="华文仿宋" w:eastAsia="华文仿宋" w:cs="华文仿宋"/>
                <w:sz w:val="32"/>
                <w:szCs w:val="32"/>
              </w:rPr>
            </w:pPr>
            <w:r>
              <w:rPr>
                <w:rFonts w:hint="default" w:ascii="华文仿宋" w:hAnsi="华文仿宋" w:eastAsia="华文仿宋" w:cs="华文仿宋"/>
                <w:sz w:val="24"/>
                <w:szCs w:val="24"/>
                <w:lang w:val="en-US"/>
              </w:rPr>
              <w:t>6.</w:t>
            </w:r>
            <w:r>
              <w:rPr>
                <w:rFonts w:hint="eastAsia" w:ascii="华文仿宋" w:hAnsi="华文仿宋" w:eastAsia="华文仿宋" w:cs="华文仿宋"/>
                <w:sz w:val="24"/>
                <w:szCs w:val="24"/>
              </w:rPr>
              <w:t>《中华人民共和国城乡规划法》第六十六条：建设单位或者个人有下列行为之一的，由所在地城市、县人民政府城乡规划主管部门责令限期拆除，可以并处临时建设工程造价一倍以下的罚款：（一）未经批准进行临时建设的；（二）未按照批准内容进行临时建设的；（三）临时建筑物、构筑物超过批准期限不拆除的。</w:t>
            </w:r>
          </w:p>
        </w:tc>
        <w:tc>
          <w:tcPr>
            <w:tcW w:w="2346" w:type="dxa"/>
            <w:vAlign w:val="center"/>
          </w:tcPr>
          <w:p>
            <w:pPr>
              <w:jc w:val="center"/>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rPr>
              <w:t>信阳市</w:t>
            </w:r>
            <w:r>
              <w:rPr>
                <w:rFonts w:hint="eastAsia" w:ascii="华文仿宋" w:hAnsi="华文仿宋" w:eastAsia="华文仿宋" w:cs="华文仿宋"/>
                <w:sz w:val="32"/>
                <w:szCs w:val="32"/>
                <w:lang w:eastAsia="zh-CN"/>
              </w:rPr>
              <w:t>自然资源和规划局</w:t>
            </w:r>
          </w:p>
        </w:tc>
        <w:tc>
          <w:tcPr>
            <w:tcW w:w="728" w:type="dxa"/>
          </w:tcPr>
          <w:p>
            <w:pPr>
              <w:rPr>
                <w:sz w:val="32"/>
                <w:szCs w:val="32"/>
              </w:rPr>
            </w:pPr>
          </w:p>
        </w:tc>
      </w:tr>
    </w:tbl>
    <w:p>
      <w:pPr>
        <w:ind w:firstLine="6600" w:firstLineChars="2200"/>
        <w:rPr>
          <w:rFonts w:hint="eastAsia"/>
          <w:sz w:val="30"/>
          <w:szCs w:val="30"/>
        </w:rPr>
      </w:pPr>
    </w:p>
    <w:p>
      <w:pPr>
        <w:ind w:firstLine="1800" w:firstLineChars="600"/>
        <w:rPr>
          <w:sz w:val="30"/>
          <w:szCs w:val="30"/>
        </w:rPr>
      </w:pPr>
    </w:p>
    <w:sectPr>
      <w:pgSz w:w="16838" w:h="11906" w:orient="landscape"/>
      <w:pgMar w:top="1797" w:right="1440" w:bottom="124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0MzQzZDIxOWE5ODdhMzAyMGM1NjQ2MGFmNjhkN2EifQ=="/>
  </w:docVars>
  <w:rsids>
    <w:rsidRoot w:val="00717C39"/>
    <w:rsid w:val="00361E0A"/>
    <w:rsid w:val="00717C39"/>
    <w:rsid w:val="009C2161"/>
    <w:rsid w:val="00B3224D"/>
    <w:rsid w:val="00D4311A"/>
    <w:rsid w:val="21DC54EB"/>
    <w:rsid w:val="DB3C598B"/>
    <w:rsid w:val="DE7D9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111</Words>
  <Characters>114</Characters>
  <Lines>1</Lines>
  <Paragraphs>1</Paragraphs>
  <TotalTime>12</TotalTime>
  <ScaleCrop>false</ScaleCrop>
  <LinksUpToDate>false</LinksUpToDate>
  <CharactersWithSpaces>173</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2020-06-08T23:52:00Z</dcterms:created>
  <dc:creator>Administrator</dc:creator>
  <cp:lastModifiedBy>José</cp:lastModifiedBy>
  <dcterms:modified xsi:type="dcterms:W3CDTF">2026-01-08T08:52:35Z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CA3E04F5194B478E9E403B21FCD6FCF9</vt:lpwstr>
  </property>
</Properties>
</file>