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6"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before="167" w:line="233" w:lineRule="auto"/>
        <w:ind w:left="3926"/>
        <w:outlineLvl w:val="0"/>
        <w:rPr>
          <w:rFonts w:ascii="FZXiaoBiaoSong-B05S" w:hAnsi="FZXiaoBiaoSong-B05S" w:eastAsia="FZXiaoBiaoSong-B05S" w:cs="FZXiaoBiaoSong-B05S"/>
          <w:sz w:val="43"/>
          <w:szCs w:val="43"/>
        </w:rPr>
      </w:pPr>
      <w:r>
        <w:rPr>
          <w:rFonts w:ascii="FZXiaoBiaoSong-B05S" w:hAnsi="FZXiaoBiaoSong-B05S" w:eastAsia="FZXiaoBiaoSong-B05S" w:cs="FZXiaoBiaoSong-B05S"/>
          <w:spacing w:val="9"/>
          <w:sz w:val="43"/>
          <w:szCs w:val="43"/>
        </w:rPr>
        <w:t>信阳市</w:t>
      </w:r>
      <w:r>
        <w:rPr>
          <w:rFonts w:hint="eastAsia" w:ascii="FZXiaoBiaoSong-B05S" w:hAnsi="FZXiaoBiaoSong-B05S" w:eastAsia="FZXiaoBiaoSong-B05S" w:cs="FZXiaoBiaoSong-B05S"/>
          <w:spacing w:val="9"/>
          <w:sz w:val="43"/>
          <w:szCs w:val="43"/>
          <w:lang w:eastAsia="zh-CN"/>
        </w:rPr>
        <w:t>浉河区</w:t>
      </w:r>
      <w:r>
        <w:rPr>
          <w:rFonts w:ascii="FZXiaoBiaoSong-B05S" w:hAnsi="FZXiaoBiaoSong-B05S" w:eastAsia="FZXiaoBiaoSong-B05S" w:cs="FZXiaoBiaoSong-B05S"/>
          <w:spacing w:val="9"/>
          <w:sz w:val="43"/>
          <w:szCs w:val="43"/>
        </w:rPr>
        <w:t>医疗保障局权责清单</w:t>
      </w:r>
      <w:bookmarkStart w:id="0" w:name="_GoBack"/>
      <w:bookmarkEnd w:id="0"/>
    </w:p>
    <w:p>
      <w:pPr>
        <w:spacing w:line="80" w:lineRule="exact"/>
      </w:pPr>
    </w:p>
    <w:tbl>
      <w:tblPr>
        <w:tblStyle w:val="7"/>
        <w:tblW w:w="14994" w:type="dxa"/>
        <w:tblInd w:w="2" w:type="dxa"/>
        <w:tblBorders>
          <w:top w:val="single" w:color="FBDFE4" w:sz="2" w:space="0"/>
          <w:left w:val="single" w:color="FBDFE4" w:sz="2" w:space="0"/>
          <w:bottom w:val="single" w:color="FBDFE4" w:sz="2" w:space="0"/>
          <w:right w:val="single" w:color="FBDFE4" w:sz="2" w:space="0"/>
          <w:insideH w:val="single" w:color="FBDFE4" w:sz="2" w:space="0"/>
          <w:insideV w:val="single" w:color="FBDFE4" w:sz="2" w:space="0"/>
        </w:tblBorders>
        <w:tblLayout w:type="fixed"/>
        <w:tblCellMar>
          <w:top w:w="0" w:type="dxa"/>
          <w:left w:w="0" w:type="dxa"/>
          <w:bottom w:w="0" w:type="dxa"/>
          <w:right w:w="0" w:type="dxa"/>
        </w:tblCellMar>
      </w:tblPr>
      <w:tblGrid>
        <w:gridCol w:w="407"/>
        <w:gridCol w:w="1034"/>
        <w:gridCol w:w="600"/>
        <w:gridCol w:w="5758"/>
        <w:gridCol w:w="690"/>
        <w:gridCol w:w="4483"/>
        <w:gridCol w:w="2022"/>
      </w:tblGrid>
      <w:tr>
        <w:tblPrEx>
          <w:tblBorders>
            <w:top w:val="single" w:color="FBDFE4" w:sz="2" w:space="0"/>
            <w:left w:val="single" w:color="FBDFE4" w:sz="2" w:space="0"/>
            <w:bottom w:val="single" w:color="FBDFE4" w:sz="2" w:space="0"/>
            <w:right w:val="single" w:color="FBDFE4" w:sz="2" w:space="0"/>
            <w:insideH w:val="single" w:color="FBDFE4" w:sz="2" w:space="0"/>
            <w:insideV w:val="single" w:color="FBDFE4" w:sz="2" w:space="0"/>
          </w:tblBorders>
          <w:tblCellMar>
            <w:top w:w="0" w:type="dxa"/>
            <w:left w:w="0" w:type="dxa"/>
            <w:bottom w:w="0" w:type="dxa"/>
            <w:right w:w="0" w:type="dxa"/>
          </w:tblCellMar>
        </w:tblPrEx>
        <w:trPr>
          <w:trHeight w:val="659" w:hRule="atLeast"/>
        </w:trPr>
        <w:tc>
          <w:tcPr>
            <w:tcW w:w="407" w:type="dxa"/>
            <w:tcBorders>
              <w:top w:val="single" w:color="EC6881" w:sz="2" w:space="0"/>
              <w:left w:val="single" w:color="FFFFFF" w:sz="2" w:space="0"/>
              <w:bottom w:val="single" w:color="EC6881" w:sz="2" w:space="0"/>
            </w:tcBorders>
            <w:textDirection w:val="tbRlV"/>
            <w:vAlign w:val="top"/>
          </w:tcPr>
          <w:p>
            <w:pPr>
              <w:spacing w:before="81" w:line="209" w:lineRule="auto"/>
              <w:ind w:left="54"/>
              <w:rPr>
                <w:rFonts w:ascii="SimHei" w:hAnsi="SimHei" w:eastAsia="SimHei" w:cs="SimHei"/>
                <w:sz w:val="24"/>
                <w:szCs w:val="24"/>
              </w:rPr>
            </w:pPr>
            <w:r>
              <w:rPr>
                <w:rFonts w:ascii="SimHei" w:hAnsi="SimHei" w:eastAsia="SimHei" w:cs="SimHei"/>
                <w:spacing w:val="3"/>
                <w:sz w:val="24"/>
                <w:szCs w:val="24"/>
              </w:rPr>
              <w:t>序</w:t>
            </w:r>
            <w:r>
              <w:rPr>
                <w:rFonts w:ascii="SimHei" w:hAnsi="SimHei" w:eastAsia="SimHei" w:cs="SimHei"/>
                <w:spacing w:val="-52"/>
                <w:sz w:val="24"/>
                <w:szCs w:val="24"/>
              </w:rPr>
              <w:t xml:space="preserve"> </w:t>
            </w:r>
            <w:r>
              <w:rPr>
                <w:rFonts w:ascii="SimHei" w:hAnsi="SimHei" w:eastAsia="SimHei" w:cs="SimHei"/>
                <w:spacing w:val="3"/>
                <w:sz w:val="24"/>
                <w:szCs w:val="24"/>
              </w:rPr>
              <w:t>号</w:t>
            </w:r>
          </w:p>
        </w:tc>
        <w:tc>
          <w:tcPr>
            <w:tcW w:w="1034" w:type="dxa"/>
            <w:tcBorders>
              <w:top w:val="single" w:color="EC6881" w:sz="2" w:space="0"/>
              <w:bottom w:val="single" w:color="EC6881" w:sz="2" w:space="0"/>
            </w:tcBorders>
            <w:vAlign w:val="top"/>
          </w:tcPr>
          <w:p>
            <w:pPr>
              <w:spacing w:before="210" w:line="222" w:lineRule="auto"/>
              <w:ind w:left="41"/>
              <w:rPr>
                <w:rFonts w:ascii="SimHei" w:hAnsi="SimHei" w:eastAsia="SimHei" w:cs="SimHei"/>
                <w:sz w:val="24"/>
                <w:szCs w:val="24"/>
              </w:rPr>
            </w:pPr>
            <w:r>
              <w:rPr>
                <w:rFonts w:ascii="SimHei" w:hAnsi="SimHei" w:eastAsia="SimHei" w:cs="SimHei"/>
                <w:spacing w:val="-3"/>
                <w:sz w:val="24"/>
                <w:szCs w:val="24"/>
              </w:rPr>
              <w:t>项目名称</w:t>
            </w:r>
          </w:p>
        </w:tc>
        <w:tc>
          <w:tcPr>
            <w:tcW w:w="600" w:type="dxa"/>
            <w:tcBorders>
              <w:top w:val="single" w:color="EC6881" w:sz="2" w:space="0"/>
              <w:bottom w:val="single" w:color="EC6881" w:sz="2" w:space="0"/>
            </w:tcBorders>
            <w:vAlign w:val="top"/>
          </w:tcPr>
          <w:p>
            <w:pPr>
              <w:spacing w:before="54" w:line="224" w:lineRule="auto"/>
              <w:ind w:left="63"/>
              <w:rPr>
                <w:rFonts w:ascii="SimHei" w:hAnsi="SimHei" w:eastAsia="SimHei" w:cs="SimHei"/>
                <w:sz w:val="24"/>
                <w:szCs w:val="24"/>
              </w:rPr>
            </w:pPr>
            <w:r>
              <w:rPr>
                <w:rFonts w:ascii="SimHei" w:hAnsi="SimHei" w:eastAsia="SimHei" w:cs="SimHei"/>
                <w:spacing w:val="-5"/>
                <w:sz w:val="24"/>
                <w:szCs w:val="24"/>
              </w:rPr>
              <w:t>职权</w:t>
            </w:r>
          </w:p>
          <w:p>
            <w:pPr>
              <w:spacing w:before="21" w:line="217" w:lineRule="auto"/>
              <w:ind w:left="72"/>
              <w:rPr>
                <w:rFonts w:ascii="SimHei" w:hAnsi="SimHei" w:eastAsia="SimHei" w:cs="SimHei"/>
                <w:sz w:val="24"/>
                <w:szCs w:val="24"/>
              </w:rPr>
            </w:pPr>
            <w:r>
              <w:rPr>
                <w:rFonts w:ascii="SimHei" w:hAnsi="SimHei" w:eastAsia="SimHei" w:cs="SimHei"/>
                <w:spacing w:val="-9"/>
                <w:sz w:val="24"/>
                <w:szCs w:val="24"/>
              </w:rPr>
              <w:t>类别</w:t>
            </w:r>
          </w:p>
        </w:tc>
        <w:tc>
          <w:tcPr>
            <w:tcW w:w="5758" w:type="dxa"/>
            <w:tcBorders>
              <w:top w:val="single" w:color="EC6881" w:sz="2" w:space="0"/>
              <w:bottom w:val="single" w:color="EC6881" w:sz="2" w:space="0"/>
            </w:tcBorders>
            <w:vAlign w:val="top"/>
          </w:tcPr>
          <w:p>
            <w:pPr>
              <w:spacing w:before="210" w:line="222" w:lineRule="auto"/>
              <w:ind w:left="2404"/>
              <w:rPr>
                <w:rFonts w:ascii="SimHei" w:hAnsi="SimHei" w:eastAsia="SimHei" w:cs="SimHei"/>
                <w:sz w:val="24"/>
                <w:szCs w:val="24"/>
              </w:rPr>
            </w:pPr>
            <w:r>
              <w:rPr>
                <w:rFonts w:ascii="SimHei" w:hAnsi="SimHei" w:eastAsia="SimHei" w:cs="SimHei"/>
                <w:spacing w:val="-3"/>
                <w:sz w:val="24"/>
                <w:szCs w:val="24"/>
              </w:rPr>
              <w:t>设定依据</w:t>
            </w:r>
          </w:p>
        </w:tc>
        <w:tc>
          <w:tcPr>
            <w:tcW w:w="690" w:type="dxa"/>
            <w:tcBorders>
              <w:top w:val="single" w:color="EC6881" w:sz="2" w:space="0"/>
              <w:bottom w:val="single" w:color="EC6881" w:sz="2" w:space="0"/>
            </w:tcBorders>
            <w:vAlign w:val="top"/>
          </w:tcPr>
          <w:p>
            <w:pPr>
              <w:spacing w:before="54" w:line="222" w:lineRule="auto"/>
              <w:ind w:left="118"/>
              <w:rPr>
                <w:rFonts w:ascii="SimHei" w:hAnsi="SimHei" w:eastAsia="SimHei" w:cs="SimHei"/>
                <w:sz w:val="24"/>
                <w:szCs w:val="24"/>
              </w:rPr>
            </w:pPr>
            <w:r>
              <w:rPr>
                <w:rFonts w:ascii="SimHei" w:hAnsi="SimHei" w:eastAsia="SimHei" w:cs="SimHei"/>
                <w:spacing w:val="-8"/>
                <w:sz w:val="24"/>
                <w:szCs w:val="24"/>
              </w:rPr>
              <w:t>实施</w:t>
            </w:r>
          </w:p>
          <w:p>
            <w:pPr>
              <w:spacing w:before="24" w:line="217" w:lineRule="auto"/>
              <w:ind w:left="115"/>
              <w:rPr>
                <w:rFonts w:ascii="SimHei" w:hAnsi="SimHei" w:eastAsia="SimHei" w:cs="SimHei"/>
                <w:sz w:val="24"/>
                <w:szCs w:val="24"/>
              </w:rPr>
            </w:pPr>
            <w:r>
              <w:rPr>
                <w:rFonts w:ascii="SimHei" w:hAnsi="SimHei" w:eastAsia="SimHei" w:cs="SimHei"/>
                <w:spacing w:val="-7"/>
                <w:sz w:val="24"/>
                <w:szCs w:val="24"/>
              </w:rPr>
              <w:t>主体</w:t>
            </w:r>
          </w:p>
        </w:tc>
        <w:tc>
          <w:tcPr>
            <w:tcW w:w="4483" w:type="dxa"/>
            <w:tcBorders>
              <w:top w:val="single" w:color="EC6881" w:sz="2" w:space="0"/>
              <w:bottom w:val="single" w:color="EC6881" w:sz="2" w:space="0"/>
            </w:tcBorders>
            <w:vAlign w:val="top"/>
          </w:tcPr>
          <w:p>
            <w:pPr>
              <w:spacing w:before="210" w:line="221" w:lineRule="auto"/>
              <w:ind w:left="1767"/>
              <w:rPr>
                <w:rFonts w:ascii="SimHei" w:hAnsi="SimHei" w:eastAsia="SimHei" w:cs="SimHei"/>
                <w:sz w:val="24"/>
                <w:szCs w:val="24"/>
              </w:rPr>
            </w:pPr>
            <w:r>
              <w:rPr>
                <w:rFonts w:ascii="SimHei" w:hAnsi="SimHei" w:eastAsia="SimHei" w:cs="SimHei"/>
                <w:spacing w:val="-3"/>
                <w:sz w:val="24"/>
                <w:szCs w:val="24"/>
              </w:rPr>
              <w:t>履职方式</w:t>
            </w:r>
          </w:p>
        </w:tc>
        <w:tc>
          <w:tcPr>
            <w:tcW w:w="2022" w:type="dxa"/>
            <w:tcBorders>
              <w:top w:val="single" w:color="EC6881" w:sz="2" w:space="0"/>
              <w:bottom w:val="single" w:color="EC6881" w:sz="2" w:space="0"/>
              <w:right w:val="single" w:color="FFFFFF" w:sz="2" w:space="0"/>
            </w:tcBorders>
            <w:vAlign w:val="top"/>
          </w:tcPr>
          <w:p>
            <w:pPr>
              <w:spacing w:before="210" w:line="221" w:lineRule="auto"/>
              <w:ind w:left="536"/>
              <w:rPr>
                <w:rFonts w:ascii="SimHei" w:hAnsi="SimHei" w:eastAsia="SimHei" w:cs="SimHei"/>
                <w:sz w:val="24"/>
                <w:szCs w:val="24"/>
              </w:rPr>
            </w:pPr>
            <w:r>
              <w:rPr>
                <w:rFonts w:ascii="SimHei" w:hAnsi="SimHei" w:eastAsia="SimHei" w:cs="SimHei"/>
                <w:spacing w:val="-3"/>
                <w:sz w:val="24"/>
                <w:szCs w:val="24"/>
              </w:rPr>
              <w:t>追责方式</w:t>
            </w:r>
          </w:p>
        </w:tc>
      </w:tr>
      <w:tr>
        <w:tblPrEx>
          <w:tblBorders>
            <w:top w:val="single" w:color="FBDFE4" w:sz="2" w:space="0"/>
            <w:left w:val="single" w:color="FBDFE4" w:sz="2" w:space="0"/>
            <w:bottom w:val="single" w:color="FBDFE4" w:sz="2" w:space="0"/>
            <w:right w:val="single" w:color="FBDFE4" w:sz="2" w:space="0"/>
            <w:insideH w:val="single" w:color="FBDFE4" w:sz="2" w:space="0"/>
            <w:insideV w:val="single" w:color="FBDFE4" w:sz="2" w:space="0"/>
          </w:tblBorders>
          <w:tblCellMar>
            <w:top w:w="0" w:type="dxa"/>
            <w:left w:w="0" w:type="dxa"/>
            <w:bottom w:w="0" w:type="dxa"/>
            <w:right w:w="0" w:type="dxa"/>
          </w:tblCellMar>
        </w:tblPrEx>
        <w:trPr>
          <w:trHeight w:val="6774" w:hRule="atLeast"/>
        </w:trPr>
        <w:tc>
          <w:tcPr>
            <w:tcW w:w="407" w:type="dxa"/>
            <w:tcBorders>
              <w:top w:val="single" w:color="EC6881" w:sz="2" w:space="0"/>
              <w:left w:val="single" w:color="FFFFFF" w:sz="2" w:space="0"/>
            </w:tcBorders>
            <w:vAlign w:val="top"/>
          </w:tcPr>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pStyle w:val="8"/>
              <w:spacing w:before="65" w:line="271" w:lineRule="exact"/>
              <w:ind w:left="169" w:leftChars="0"/>
            </w:pPr>
            <w:r>
              <w:rPr>
                <w:position w:val="1"/>
              </w:rPr>
              <w:t>1</w:t>
            </w:r>
          </w:p>
        </w:tc>
        <w:tc>
          <w:tcPr>
            <w:tcW w:w="1034" w:type="dxa"/>
            <w:tcBorders>
              <w:top w:val="single" w:color="EC6881" w:sz="2" w:space="0"/>
            </w:tcBorders>
            <w:vAlign w:val="top"/>
          </w:tcPr>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8"/>
              <w:spacing w:before="65" w:line="288" w:lineRule="auto"/>
              <w:ind w:left="25" w:leftChars="0" w:right="14" w:rightChars="0" w:firstLine="81" w:firstLineChars="0"/>
              <w:jc w:val="both"/>
            </w:pPr>
            <w:r>
              <w:rPr>
                <w:spacing w:val="5"/>
              </w:rPr>
              <w:t>缴费单位</w:t>
            </w:r>
            <w:r>
              <w:rPr>
                <w:spacing w:val="26"/>
              </w:rPr>
              <w:t>应缴的社</w:t>
            </w:r>
            <w:r>
              <w:rPr>
                <w:spacing w:val="-3"/>
              </w:rPr>
              <w:t>会保险（医疗保障）费</w:t>
            </w:r>
            <w:r>
              <w:rPr>
                <w:spacing w:val="26"/>
              </w:rPr>
              <w:t>数额核定</w:t>
            </w:r>
          </w:p>
        </w:tc>
        <w:tc>
          <w:tcPr>
            <w:tcW w:w="600" w:type="dxa"/>
            <w:tcBorders>
              <w:top w:val="single" w:color="EC6881" w:sz="2" w:space="0"/>
            </w:tcBorders>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8"/>
              <w:spacing w:before="65" w:line="252" w:lineRule="auto"/>
              <w:ind w:left="26" w:leftChars="0" w:right="14" w:rightChars="0"/>
            </w:pPr>
            <w:r>
              <w:rPr>
                <w:spacing w:val="-7"/>
              </w:rPr>
              <w:t>行政</w:t>
            </w:r>
            <w:r>
              <w:rPr>
                <w:spacing w:val="1"/>
              </w:rPr>
              <w:t>确认</w:t>
            </w:r>
          </w:p>
        </w:tc>
        <w:tc>
          <w:tcPr>
            <w:tcW w:w="5758" w:type="dxa"/>
            <w:tcBorders>
              <w:top w:val="single" w:color="EC6881" w:sz="2" w:space="0"/>
            </w:tcBorders>
            <w:vAlign w:val="top"/>
          </w:tcPr>
          <w:p>
            <w:pPr>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8"/>
              <w:spacing w:before="65" w:line="251" w:lineRule="auto"/>
              <w:ind w:left="7" w:leftChars="0" w:firstLine="434" w:firstLineChars="0"/>
              <w:jc w:val="both"/>
            </w:pPr>
            <w:r>
              <w:rPr>
                <w:spacing w:val="8"/>
              </w:rPr>
              <w:t>《中华人民共和国社会保险法》第五十八条第一款：</w:t>
            </w:r>
            <w:r>
              <w:rPr>
                <w:spacing w:val="7"/>
              </w:rPr>
              <w:t>“用人单位应当自用工之日起三十日</w:t>
            </w:r>
            <w:r>
              <w:rPr>
                <w:spacing w:val="-57"/>
              </w:rPr>
              <w:t xml:space="preserve"> </w:t>
            </w:r>
            <w:r>
              <w:rPr>
                <w:spacing w:val="7"/>
              </w:rPr>
              <w:t>内为其职工向社会保险经办机构申请办理社会保险登记。未办理社会保险登记的，</w:t>
            </w:r>
            <w:r>
              <w:rPr>
                <w:spacing w:val="-55"/>
              </w:rPr>
              <w:t xml:space="preserve"> </w:t>
            </w:r>
            <w:r>
              <w:rPr>
                <w:spacing w:val="7"/>
              </w:rPr>
              <w:t>由社</w:t>
            </w:r>
            <w:r>
              <w:rPr>
                <w:spacing w:val="6"/>
              </w:rPr>
              <w:t>会保</w:t>
            </w:r>
            <w:r>
              <w:rPr>
                <w:spacing w:val="5"/>
              </w:rPr>
              <w:t>险经办机构核定其应当缴纳的社会保险费。”第六十条第一款：</w:t>
            </w:r>
            <w:r>
              <w:rPr>
                <w:spacing w:val="4"/>
              </w:rPr>
              <w:t xml:space="preserve"> </w:t>
            </w:r>
            <w:r>
              <w:rPr>
                <w:spacing w:val="8"/>
              </w:rPr>
              <w:t>“用人单位应当自行申报、按时足额缴纳社会保险费，非因不可抗力等法定事由不得缓缴、减免。职工应当缴纳的社会保险费由用人单位代扣代缴，用人单位应当按月将缴纳社会保险费</w:t>
            </w:r>
            <w:r>
              <w:rPr>
                <w:spacing w:val="7"/>
              </w:rPr>
              <w:t>的明细情况告知本人。</w:t>
            </w:r>
            <w:r>
              <w:rPr>
                <w:spacing w:val="-57"/>
              </w:rPr>
              <w:t xml:space="preserve"> </w:t>
            </w:r>
            <w:r>
              <w:rPr>
                <w:spacing w:val="7"/>
              </w:rPr>
              <w:t>”第六十二条：“用人单位未按规定申</w:t>
            </w:r>
            <w:r>
              <w:rPr>
                <w:spacing w:val="8"/>
              </w:rPr>
              <w:t>报应当缴纳的社会保险费数额的，按照该单位上月缴</w:t>
            </w:r>
            <w:r>
              <w:rPr>
                <w:rFonts w:hint="eastAsia"/>
                <w:spacing w:val="8"/>
                <w:lang w:val="en-US" w:eastAsia="zh-CN"/>
              </w:rPr>
              <w:t xml:space="preserve">    </w:t>
            </w:r>
            <w:r>
              <w:rPr>
                <w:spacing w:val="8"/>
              </w:rPr>
              <w:t>费额的百</w:t>
            </w:r>
            <w:r>
              <w:rPr>
                <w:spacing w:val="9"/>
              </w:rPr>
              <w:t>分之一百一十确定应当缴纳数额；缴费单位补办申报手续后，</w:t>
            </w:r>
            <w:r>
              <w:rPr>
                <w:spacing w:val="12"/>
              </w:rPr>
              <w:t>由社会保险费征收机构按照规定结算。</w:t>
            </w:r>
            <w:r>
              <w:rPr>
                <w:spacing w:val="-62"/>
              </w:rPr>
              <w:t xml:space="preserve"> </w:t>
            </w:r>
            <w:r>
              <w:rPr>
                <w:spacing w:val="12"/>
              </w:rPr>
              <w:t>”</w:t>
            </w:r>
          </w:p>
        </w:tc>
        <w:tc>
          <w:tcPr>
            <w:tcW w:w="690" w:type="dxa"/>
            <w:tcBorders>
              <w:top w:val="single" w:color="EC6881" w:sz="2"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8"/>
              <w:spacing w:before="65" w:line="230" w:lineRule="auto"/>
              <w:ind w:left="41"/>
            </w:pPr>
            <w:r>
              <w:rPr>
                <w:spacing w:val="5"/>
              </w:rPr>
              <w:t>信阳市</w:t>
            </w:r>
          </w:p>
          <w:p>
            <w:pPr>
              <w:pStyle w:val="8"/>
              <w:spacing w:before="63" w:line="229" w:lineRule="auto"/>
              <w:ind w:left="59"/>
            </w:pPr>
            <w:r>
              <w:rPr>
                <w:rFonts w:hint="eastAsia"/>
                <w:spacing w:val="-1"/>
                <w:lang w:eastAsia="zh-CN"/>
              </w:rPr>
              <w:t>浉河区</w:t>
            </w:r>
            <w:r>
              <w:rPr>
                <w:spacing w:val="-1"/>
              </w:rPr>
              <w:t>医疗保</w:t>
            </w:r>
          </w:p>
          <w:p>
            <w:pPr>
              <w:pStyle w:val="8"/>
              <w:spacing w:before="63" w:line="230" w:lineRule="auto"/>
              <w:ind w:left="158" w:leftChars="0"/>
            </w:pPr>
            <w:r>
              <w:rPr>
                <w:spacing w:val="-4"/>
              </w:rPr>
              <w:t>障局</w:t>
            </w:r>
          </w:p>
        </w:tc>
        <w:tc>
          <w:tcPr>
            <w:tcW w:w="4483" w:type="dxa"/>
            <w:tcBorders>
              <w:top w:val="single" w:color="EC6881" w:sz="2" w:space="0"/>
            </w:tcBorders>
            <w:vAlign w:val="top"/>
          </w:tcPr>
          <w:p>
            <w:pPr>
              <w:pStyle w:val="8"/>
              <w:spacing w:before="52" w:line="259" w:lineRule="auto"/>
              <w:ind w:left="27" w:right="11" w:firstLine="7"/>
            </w:pPr>
            <w:r>
              <w:rPr>
                <w:spacing w:val="6"/>
              </w:rPr>
              <w:t>1、申请：用人单位及个人根据登记需要，通</w:t>
            </w:r>
            <w:r>
              <w:rPr>
                <w:spacing w:val="5"/>
              </w:rPr>
              <w:t>过线</w:t>
            </w:r>
            <w:r>
              <w:rPr>
                <w:spacing w:val="8"/>
              </w:rPr>
              <w:t>上和线下两种方式提交登记事项登记事项；</w:t>
            </w:r>
          </w:p>
          <w:p>
            <w:pPr>
              <w:pStyle w:val="8"/>
              <w:spacing w:before="64" w:line="268" w:lineRule="auto"/>
              <w:ind w:left="25" w:right="11" w:hanging="3"/>
            </w:pPr>
            <w:r>
              <w:rPr>
                <w:spacing w:val="6"/>
              </w:rPr>
              <w:t>2、受理：用人单位及个人通过线上提交的登记材</w:t>
            </w:r>
            <w:r>
              <w:rPr>
                <w:spacing w:val="7"/>
              </w:rPr>
              <w:t>料，</w:t>
            </w:r>
            <w:r>
              <w:rPr>
                <w:spacing w:val="-53"/>
              </w:rPr>
              <w:t xml:space="preserve"> </w:t>
            </w:r>
            <w:r>
              <w:rPr>
                <w:spacing w:val="7"/>
              </w:rPr>
              <w:t>网厅平台自动审核通过；通过线下窗口提交</w:t>
            </w:r>
            <w:r>
              <w:rPr>
                <w:spacing w:val="4"/>
              </w:rPr>
              <w:t>登记材料；</w:t>
            </w:r>
          </w:p>
          <w:p>
            <w:pPr>
              <w:pStyle w:val="8"/>
              <w:spacing w:before="65" w:line="259" w:lineRule="auto"/>
              <w:ind w:left="26" w:right="11" w:hanging="3"/>
            </w:pPr>
            <w:r>
              <w:rPr>
                <w:spacing w:val="6"/>
              </w:rPr>
              <w:t>3、办理：社会保险经办机构根据用人单位及个人</w:t>
            </w:r>
            <w:r>
              <w:rPr>
                <w:spacing w:val="8"/>
              </w:rPr>
              <w:t>提交的登记、变更登记、注销登记等;</w:t>
            </w:r>
          </w:p>
        </w:tc>
        <w:tc>
          <w:tcPr>
            <w:tcW w:w="2022" w:type="dxa"/>
            <w:tcBorders>
              <w:top w:val="single" w:color="EC6881" w:sz="2" w:space="0"/>
              <w:right w:val="single" w:color="FFFFFF" w:sz="2" w:space="0"/>
            </w:tcBorders>
            <w:vAlign w:val="top"/>
          </w:tcPr>
          <w:p>
            <w:pPr>
              <w:spacing w:line="277" w:lineRule="auto"/>
              <w:rPr>
                <w:rFonts w:ascii="Arial"/>
                <w:sz w:val="21"/>
              </w:rPr>
            </w:pPr>
          </w:p>
          <w:p>
            <w:pPr>
              <w:spacing w:line="278" w:lineRule="auto"/>
              <w:rPr>
                <w:rFonts w:ascii="Arial"/>
                <w:sz w:val="21"/>
              </w:rPr>
            </w:pPr>
          </w:p>
          <w:p>
            <w:pPr>
              <w:pStyle w:val="8"/>
              <w:spacing w:before="65" w:line="251" w:lineRule="auto"/>
              <w:ind w:left="28" w:right="17"/>
            </w:pPr>
            <w:r>
              <w:rPr>
                <w:spacing w:val="8"/>
              </w:rPr>
              <w:t>《中华人民共和国社会保险法》第九十条社会保险费征收机构擅自更改社会保险费</w:t>
            </w:r>
            <w:r>
              <w:rPr>
                <w:spacing w:val="7"/>
              </w:rPr>
              <w:t>缴费基数、费率,导致</w:t>
            </w:r>
            <w:r>
              <w:rPr>
                <w:spacing w:val="8"/>
              </w:rPr>
              <w:t>少收或者多收社会保</w:t>
            </w:r>
            <w:r>
              <w:rPr>
                <w:spacing w:val="3"/>
              </w:rPr>
              <w:t>险费的,</w:t>
            </w:r>
            <w:r>
              <w:rPr>
                <w:spacing w:val="-59"/>
              </w:rPr>
              <w:t xml:space="preserve"> </w:t>
            </w:r>
            <w:r>
              <w:rPr>
                <w:spacing w:val="3"/>
              </w:rPr>
              <w:t>由有关行政</w:t>
            </w:r>
          </w:p>
          <w:p>
            <w:pPr>
              <w:pStyle w:val="8"/>
              <w:spacing w:before="5" w:line="251" w:lineRule="auto"/>
              <w:ind w:left="28" w:leftChars="0" w:right="113" w:rightChars="0"/>
            </w:pPr>
            <w:r>
              <w:rPr>
                <w:spacing w:val="8"/>
              </w:rPr>
              <w:t>部门责令其追缴应当缴纳的社会保险费或者退还不应当缴纳的社会保险费；对直接负责的主管人员和其他直接责任人员依法</w:t>
            </w:r>
            <w:r>
              <w:rPr>
                <w:spacing w:val="4"/>
              </w:rPr>
              <w:t>给予处分。</w:t>
            </w:r>
          </w:p>
        </w:tc>
      </w:tr>
      <w:tr>
        <w:tblPrEx>
          <w:tblBorders>
            <w:top w:val="single" w:color="FBDFE4" w:sz="2" w:space="0"/>
            <w:left w:val="single" w:color="FBDFE4" w:sz="2" w:space="0"/>
            <w:bottom w:val="single" w:color="FBDFE4" w:sz="2" w:space="0"/>
            <w:right w:val="single" w:color="FBDFE4" w:sz="2" w:space="0"/>
            <w:insideH w:val="single" w:color="FBDFE4" w:sz="2" w:space="0"/>
            <w:insideV w:val="single" w:color="FBDFE4" w:sz="2" w:space="0"/>
          </w:tblBorders>
          <w:tblCellMar>
            <w:top w:w="0" w:type="dxa"/>
            <w:left w:w="0" w:type="dxa"/>
            <w:bottom w:w="0" w:type="dxa"/>
            <w:right w:w="0" w:type="dxa"/>
          </w:tblCellMar>
        </w:tblPrEx>
        <w:trPr>
          <w:trHeight w:val="9577" w:hRule="atLeast"/>
        </w:trPr>
        <w:tc>
          <w:tcPr>
            <w:tcW w:w="407" w:type="dxa"/>
            <w:tcBorders>
              <w:left w:val="single" w:color="FFFFFF" w:sz="2" w:space="0"/>
            </w:tcBorders>
            <w:vAlign w:val="top"/>
          </w:tcPr>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8"/>
              <w:spacing w:before="65" w:line="272" w:lineRule="exact"/>
              <w:ind w:left="156" w:leftChars="0"/>
            </w:pPr>
            <w:r>
              <w:rPr>
                <w:position w:val="1"/>
              </w:rPr>
              <w:t>2</w:t>
            </w:r>
          </w:p>
        </w:tc>
        <w:tc>
          <w:tcPr>
            <w:tcW w:w="1034" w:type="dxa"/>
            <w:vAlign w:val="top"/>
          </w:tcPr>
          <w:p>
            <w:pPr>
              <w:spacing w:line="313" w:lineRule="auto"/>
              <w:rPr>
                <w:rFonts w:ascii="Arial"/>
                <w:sz w:val="21"/>
              </w:rPr>
            </w:pPr>
          </w:p>
          <w:p>
            <w:pPr>
              <w:spacing w:line="314" w:lineRule="auto"/>
              <w:rPr>
                <w:rFonts w:ascii="Arial"/>
                <w:sz w:val="21"/>
              </w:rPr>
            </w:pPr>
          </w:p>
          <w:p>
            <w:pPr>
              <w:pStyle w:val="8"/>
              <w:spacing w:before="65" w:line="288" w:lineRule="auto"/>
              <w:ind w:left="107" w:leftChars="0" w:right="98" w:rightChars="0" w:firstLine="17" w:firstLineChars="0"/>
            </w:pPr>
            <w:r>
              <w:rPr>
                <w:spacing w:val="1"/>
              </w:rPr>
              <w:t>医疗保障</w:t>
            </w:r>
            <w:r>
              <w:rPr>
                <w:spacing w:val="5"/>
              </w:rPr>
              <w:t>待遇支付</w:t>
            </w:r>
          </w:p>
        </w:tc>
        <w:tc>
          <w:tcPr>
            <w:tcW w:w="600" w:type="dxa"/>
            <w:vAlign w:val="top"/>
          </w:tcPr>
          <w:p>
            <w:pPr>
              <w:spacing w:line="323" w:lineRule="auto"/>
              <w:rPr>
                <w:rFonts w:ascii="Arial"/>
                <w:sz w:val="21"/>
              </w:rPr>
            </w:pPr>
          </w:p>
          <w:p>
            <w:pPr>
              <w:spacing w:line="324" w:lineRule="auto"/>
              <w:rPr>
                <w:rFonts w:ascii="Arial"/>
                <w:sz w:val="21"/>
              </w:rPr>
            </w:pPr>
          </w:p>
          <w:p>
            <w:pPr>
              <w:pStyle w:val="8"/>
              <w:spacing w:before="65" w:line="251" w:lineRule="auto"/>
              <w:ind w:left="26" w:leftChars="0" w:right="165" w:rightChars="0"/>
            </w:pPr>
            <w:r>
              <w:rPr>
                <w:spacing w:val="1"/>
              </w:rPr>
              <w:t>行政给付</w:t>
            </w:r>
          </w:p>
        </w:tc>
        <w:tc>
          <w:tcPr>
            <w:tcW w:w="5758" w:type="dxa"/>
            <w:vAlign w:val="top"/>
          </w:tcPr>
          <w:p>
            <w:pPr>
              <w:pStyle w:val="8"/>
              <w:spacing w:before="35" w:line="251" w:lineRule="auto"/>
              <w:ind w:left="29" w:firstLine="413"/>
              <w:jc w:val="both"/>
            </w:pPr>
            <w:r>
              <w:rPr>
                <w:spacing w:val="7"/>
              </w:rPr>
              <w:t>《中华人民共和国劳动法》第七十条：“</w:t>
            </w:r>
            <w:r>
              <w:rPr>
                <w:spacing w:val="-60"/>
              </w:rPr>
              <w:t xml:space="preserve"> </w:t>
            </w:r>
            <w:r>
              <w:rPr>
                <w:spacing w:val="7"/>
              </w:rPr>
              <w:t>国</w:t>
            </w:r>
            <w:r>
              <w:rPr>
                <w:spacing w:val="6"/>
              </w:rPr>
              <w:t>家发展社会保</w:t>
            </w:r>
            <w:r>
              <w:rPr>
                <w:spacing w:val="8"/>
              </w:rPr>
              <w:t>险事业，建立社会保险制度，设立社会保险基金，使劳动者在</w:t>
            </w:r>
            <w:r>
              <w:rPr>
                <w:spacing w:val="10"/>
              </w:rPr>
              <w:t>年老、患病、工伤、失业、生育等情况下获得帮助和补偿。</w:t>
            </w:r>
            <w:r>
              <w:rPr>
                <w:spacing w:val="-48"/>
              </w:rPr>
              <w:t xml:space="preserve"> </w:t>
            </w:r>
            <w:r>
              <w:rPr>
                <w:spacing w:val="10"/>
              </w:rPr>
              <w:t>”</w:t>
            </w:r>
          </w:p>
          <w:p>
            <w:pPr>
              <w:pStyle w:val="8"/>
              <w:spacing w:before="1" w:line="228" w:lineRule="auto"/>
              <w:jc w:val="right"/>
            </w:pPr>
            <w:r>
              <w:rPr>
                <w:spacing w:val="3"/>
              </w:rPr>
              <w:t>第七十三条：“</w:t>
            </w:r>
            <w:r>
              <w:rPr>
                <w:spacing w:val="-67"/>
              </w:rPr>
              <w:t xml:space="preserve"> </w:t>
            </w:r>
            <w:r>
              <w:rPr>
                <w:spacing w:val="3"/>
              </w:rPr>
              <w:t>劳动者在下列情形下，依法享受社会保险待遇：</w:t>
            </w:r>
          </w:p>
          <w:p>
            <w:pPr>
              <w:pStyle w:val="8"/>
              <w:spacing w:before="32" w:line="229" w:lineRule="auto"/>
              <w:ind w:left="24"/>
            </w:pPr>
            <w:r>
              <w:rPr>
                <w:spacing w:val="5"/>
              </w:rPr>
              <w:t>（一）退休（</w:t>
            </w:r>
            <w:r>
              <w:rPr>
                <w:spacing w:val="-49"/>
              </w:rPr>
              <w:t xml:space="preserve"> </w:t>
            </w:r>
            <w:r>
              <w:rPr>
                <w:spacing w:val="5"/>
              </w:rPr>
              <w:t>二）患病、负伤</w:t>
            </w:r>
            <w:r>
              <w:rPr>
                <w:spacing w:val="-28"/>
              </w:rPr>
              <w:t>；（</w:t>
            </w:r>
            <w:r>
              <w:rPr>
                <w:spacing w:val="5"/>
              </w:rPr>
              <w:t>三）因工伤残或者患职</w:t>
            </w:r>
            <w:r>
              <w:rPr>
                <w:spacing w:val="4"/>
              </w:rPr>
              <w:t>业病；</w:t>
            </w:r>
            <w:r>
              <w:t xml:space="preserve"> </w:t>
            </w:r>
            <w:r>
              <w:rPr>
                <w:spacing w:val="9"/>
              </w:rPr>
              <w:t>（四）失业</w:t>
            </w:r>
            <w:r>
              <w:rPr>
                <w:spacing w:val="-6"/>
              </w:rPr>
              <w:t>；（</w:t>
            </w:r>
            <w:r>
              <w:rPr>
                <w:spacing w:val="9"/>
              </w:rPr>
              <w:t>五）生育。劳动者死亡后，其遗属依法享受遗</w:t>
            </w:r>
            <w:r>
              <w:rPr>
                <w:spacing w:val="8"/>
              </w:rPr>
              <w:t>属津贴。劳动者享受社会保险待遇的条件和标准由法律、</w:t>
            </w:r>
            <w:r>
              <w:rPr>
                <w:spacing w:val="7"/>
              </w:rPr>
              <w:t>法规</w:t>
            </w:r>
            <w:r>
              <w:rPr>
                <w:spacing w:val="12"/>
              </w:rPr>
              <w:t>规定。劳动者享受的社会保险金必须按时足额支付。</w:t>
            </w:r>
            <w:r>
              <w:rPr>
                <w:spacing w:val="-65"/>
              </w:rPr>
              <w:t xml:space="preserve"> </w:t>
            </w:r>
            <w:r>
              <w:rPr>
                <w:spacing w:val="12"/>
              </w:rPr>
              <w:t>”</w:t>
            </w:r>
          </w:p>
          <w:p>
            <w:pPr>
              <w:pStyle w:val="8"/>
              <w:spacing w:before="24" w:line="250" w:lineRule="auto"/>
              <w:ind w:left="25" w:right="75" w:firstLine="419"/>
            </w:pPr>
            <w:r>
              <w:rPr>
                <w:spacing w:val="8"/>
              </w:rPr>
              <w:t>《中华人民共和国社会保险法》第八条：</w:t>
            </w:r>
            <w:r>
              <w:rPr>
                <w:spacing w:val="-68"/>
              </w:rPr>
              <w:t xml:space="preserve"> </w:t>
            </w:r>
            <w:r>
              <w:rPr>
                <w:spacing w:val="8"/>
              </w:rPr>
              <w:t>“社会保险经办</w:t>
            </w:r>
            <w:r>
              <w:rPr>
                <w:spacing w:val="9"/>
              </w:rPr>
              <w:t>机构提供社会保险服务，负责社会保险登记、个人权益记录、</w:t>
            </w:r>
          </w:p>
          <w:p>
            <w:pPr>
              <w:pStyle w:val="8"/>
              <w:spacing w:before="3" w:line="250" w:lineRule="auto"/>
              <w:ind w:left="24" w:right="12"/>
            </w:pPr>
            <w:r>
              <w:rPr>
                <w:spacing w:val="7"/>
              </w:rPr>
              <w:t>社会保险待遇支付等工作。</w:t>
            </w:r>
            <w:r>
              <w:rPr>
                <w:spacing w:val="-76"/>
              </w:rPr>
              <w:t xml:space="preserve"> </w:t>
            </w:r>
            <w:r>
              <w:rPr>
                <w:spacing w:val="7"/>
              </w:rPr>
              <w:t>” 第七十三条：“社</w:t>
            </w:r>
            <w:r>
              <w:rPr>
                <w:spacing w:val="6"/>
              </w:rPr>
              <w:t>会保险经办机</w:t>
            </w:r>
            <w:r>
              <w:rPr>
                <w:spacing w:val="9"/>
              </w:rPr>
              <w:t>构应当建立健全业务、财务、安全和风险管理制度。社会保险</w:t>
            </w:r>
            <w:r>
              <w:rPr>
                <w:spacing w:val="12"/>
              </w:rPr>
              <w:t>经办机构应当按时足额支付社会保险待遇。</w:t>
            </w:r>
            <w:r>
              <w:rPr>
                <w:spacing w:val="-57"/>
              </w:rPr>
              <w:t xml:space="preserve"> </w:t>
            </w:r>
            <w:r>
              <w:rPr>
                <w:spacing w:val="12"/>
              </w:rPr>
              <w:t>”</w:t>
            </w:r>
          </w:p>
          <w:p>
            <w:pPr>
              <w:pStyle w:val="8"/>
              <w:spacing w:before="3" w:line="251" w:lineRule="auto"/>
              <w:ind w:left="24" w:right="15" w:firstLine="420"/>
            </w:pPr>
            <w:r>
              <w:rPr>
                <w:spacing w:val="9"/>
              </w:rPr>
              <w:t>《国务院办公厅关于全面实施城乡居民大病保险</w:t>
            </w:r>
            <w:r>
              <w:rPr>
                <w:spacing w:val="8"/>
              </w:rPr>
              <w:t>的意见》</w:t>
            </w:r>
            <w:r>
              <w:t xml:space="preserve"> </w:t>
            </w:r>
            <w:r>
              <w:rPr>
                <w:spacing w:val="5"/>
              </w:rPr>
              <w:t>（国办发〔2015〕57号） “一、基本原则和目标（</w:t>
            </w:r>
            <w:r>
              <w:rPr>
                <w:spacing w:val="-43"/>
              </w:rPr>
              <w:t xml:space="preserve"> </w:t>
            </w:r>
            <w:r>
              <w:rPr>
                <w:spacing w:val="5"/>
              </w:rPr>
              <w:t>二）主要目</w:t>
            </w:r>
            <w:r>
              <w:rPr>
                <w:spacing w:val="8"/>
              </w:rPr>
              <w:t>标。2015年底前，大病保险覆盖所有城镇居民基本医疗保险、</w:t>
            </w:r>
          </w:p>
          <w:p>
            <w:pPr>
              <w:pStyle w:val="8"/>
              <w:spacing w:before="5" w:line="250" w:lineRule="auto"/>
              <w:ind w:left="25" w:right="72" w:hanging="1"/>
            </w:pPr>
            <w:r>
              <w:rPr>
                <w:spacing w:val="9"/>
              </w:rPr>
              <w:t>新型农村合作医疗（以下统称城乡居民基本医保）参保人群，大病患者看病就医负担有效减轻。到2017年</w:t>
            </w:r>
            <w:r>
              <w:rPr>
                <w:spacing w:val="8"/>
              </w:rPr>
              <w:t>，建立起比较完善</w:t>
            </w:r>
            <w:r>
              <w:rPr>
                <w:spacing w:val="9"/>
              </w:rPr>
              <w:t>的大病保险制度，与医疗救助等制度紧密衔接，共同发挥托底保障功能，有效防止发生家庭灾难性医疗支出，城乡居民医疗</w:t>
            </w:r>
            <w:r>
              <w:rPr>
                <w:spacing w:val="13"/>
              </w:rPr>
              <w:t>保障的公平性得到显著提升。</w:t>
            </w:r>
            <w:r>
              <w:rPr>
                <w:spacing w:val="-60"/>
              </w:rPr>
              <w:t xml:space="preserve"> </w:t>
            </w:r>
            <w:r>
              <w:rPr>
                <w:spacing w:val="13"/>
              </w:rPr>
              <w:t>”</w:t>
            </w:r>
          </w:p>
          <w:p>
            <w:pPr>
              <w:pStyle w:val="8"/>
              <w:spacing w:before="25" w:line="239" w:lineRule="auto"/>
              <w:ind w:left="25" w:leftChars="0" w:firstLine="4" w:firstLineChars="0"/>
              <w:jc w:val="both"/>
            </w:pPr>
            <w:r>
              <w:rPr>
                <w:spacing w:val="7"/>
              </w:rPr>
              <w:t>《社会救助暂行办法》 第三十一条：“县级以上人民政府</w:t>
            </w:r>
            <w:r>
              <w:rPr>
                <w:spacing w:val="9"/>
              </w:rPr>
              <w:t>应当建立健全医疗救助与基本医疗保险、大病保险相衔接的医</w:t>
            </w:r>
            <w:r>
              <w:rPr>
                <w:spacing w:val="12"/>
              </w:rPr>
              <w:t>疗费用结算机制，为医疗救助对象提供便捷服务。</w:t>
            </w:r>
            <w:r>
              <w:rPr>
                <w:spacing w:val="-62"/>
              </w:rPr>
              <w:t xml:space="preserve"> </w:t>
            </w:r>
            <w:r>
              <w:rPr>
                <w:spacing w:val="12"/>
              </w:rPr>
              <w:t>”</w:t>
            </w:r>
          </w:p>
        </w:tc>
        <w:tc>
          <w:tcPr>
            <w:tcW w:w="690" w:type="dxa"/>
            <w:vAlign w:val="top"/>
          </w:tcPr>
          <w:p>
            <w:pPr>
              <w:spacing w:line="472" w:lineRule="auto"/>
              <w:rPr>
                <w:rFonts w:ascii="Arial"/>
                <w:sz w:val="21"/>
              </w:rPr>
            </w:pPr>
          </w:p>
          <w:p>
            <w:pPr>
              <w:pStyle w:val="8"/>
              <w:spacing w:before="65" w:line="230" w:lineRule="auto"/>
              <w:ind w:left="41"/>
            </w:pPr>
            <w:r>
              <w:rPr>
                <w:spacing w:val="5"/>
              </w:rPr>
              <w:t>信阳市</w:t>
            </w:r>
          </w:p>
          <w:p>
            <w:pPr>
              <w:pStyle w:val="8"/>
              <w:spacing w:before="63" w:line="229" w:lineRule="auto"/>
              <w:ind w:left="59"/>
            </w:pPr>
            <w:r>
              <w:rPr>
                <w:rFonts w:hint="eastAsia"/>
                <w:spacing w:val="-1"/>
                <w:lang w:eastAsia="zh-CN"/>
              </w:rPr>
              <w:t>浉河区</w:t>
            </w:r>
            <w:r>
              <w:rPr>
                <w:spacing w:val="-1"/>
              </w:rPr>
              <w:t>医疗保</w:t>
            </w:r>
          </w:p>
          <w:p>
            <w:pPr>
              <w:pStyle w:val="8"/>
              <w:spacing w:before="63" w:line="230" w:lineRule="auto"/>
              <w:ind w:left="158" w:leftChars="0"/>
            </w:pPr>
            <w:r>
              <w:rPr>
                <w:spacing w:val="-4"/>
              </w:rPr>
              <w:t>障局</w:t>
            </w:r>
          </w:p>
        </w:tc>
        <w:tc>
          <w:tcPr>
            <w:tcW w:w="4483" w:type="dxa"/>
            <w:vAlign w:val="top"/>
          </w:tcPr>
          <w:p>
            <w:pPr>
              <w:pStyle w:val="8"/>
              <w:spacing w:before="72" w:line="229" w:lineRule="auto"/>
              <w:ind w:left="34"/>
            </w:pPr>
            <w:r>
              <w:rPr>
                <w:spacing w:val="2"/>
              </w:rPr>
              <w:t>1.</w:t>
            </w:r>
            <w:r>
              <w:rPr>
                <w:spacing w:val="-38"/>
              </w:rPr>
              <w:t xml:space="preserve"> </w:t>
            </w:r>
            <w:r>
              <w:rPr>
                <w:spacing w:val="2"/>
              </w:rPr>
              <w:t>申请：</w:t>
            </w:r>
            <w:r>
              <w:rPr>
                <w:spacing w:val="-46"/>
              </w:rPr>
              <w:t xml:space="preserve"> </w:t>
            </w:r>
            <w:r>
              <w:rPr>
                <w:spacing w:val="2"/>
              </w:rPr>
              <w:t>申请人向经办机构提交申请材料。</w:t>
            </w:r>
          </w:p>
          <w:p>
            <w:pPr>
              <w:pStyle w:val="8"/>
              <w:spacing w:before="64" w:line="268" w:lineRule="auto"/>
              <w:ind w:left="29" w:right="13" w:hanging="7"/>
            </w:pPr>
            <w:r>
              <w:rPr>
                <w:spacing w:val="4"/>
              </w:rPr>
              <w:t>2.受理：申请材料齐全</w:t>
            </w:r>
            <w:r>
              <w:rPr>
                <w:rFonts w:hint="eastAsia"/>
                <w:spacing w:val="4"/>
                <w:lang w:eastAsia="zh-CN"/>
              </w:rPr>
              <w:t>，</w:t>
            </w:r>
            <w:r>
              <w:rPr>
                <w:spacing w:val="4"/>
              </w:rPr>
              <w:t>符合政策规定的，当时</w:t>
            </w:r>
            <w:r>
              <w:rPr>
                <w:spacing w:val="6"/>
              </w:rPr>
              <w:t>受理并登记。申请材料不齐全的 ，一次性告知需</w:t>
            </w:r>
            <w:r>
              <w:rPr>
                <w:spacing w:val="5"/>
              </w:rPr>
              <w:t>补齐的材料。</w:t>
            </w:r>
          </w:p>
          <w:p>
            <w:pPr>
              <w:pStyle w:val="8"/>
              <w:spacing w:before="65" w:line="259" w:lineRule="auto"/>
              <w:ind w:left="25" w:leftChars="0" w:right="56" w:rightChars="0" w:hanging="2" w:firstLineChars="0"/>
            </w:pPr>
            <w:r>
              <w:rPr>
                <w:spacing w:val="9"/>
              </w:rPr>
              <w:t>3.审核：依据政策审核提交材料，并按时推</w:t>
            </w:r>
            <w:r>
              <w:rPr>
                <w:spacing w:val="8"/>
              </w:rPr>
              <w:t>送拨</w:t>
            </w:r>
            <w:r>
              <w:rPr>
                <w:spacing w:val="3"/>
              </w:rPr>
              <w:t>付计划。</w:t>
            </w:r>
          </w:p>
        </w:tc>
        <w:tc>
          <w:tcPr>
            <w:tcW w:w="2022" w:type="dxa"/>
            <w:tcBorders>
              <w:right w:val="single" w:color="FFFFFF" w:sz="2" w:space="0"/>
            </w:tcBorders>
            <w:vAlign w:val="top"/>
          </w:tcPr>
          <w:p>
            <w:pPr>
              <w:pStyle w:val="8"/>
              <w:spacing w:before="36" w:line="246" w:lineRule="auto"/>
              <w:ind w:left="28" w:leftChars="0" w:right="13" w:rightChars="0"/>
              <w:jc w:val="both"/>
            </w:pPr>
            <w:r>
              <w:rPr>
                <w:spacing w:val="8"/>
              </w:rPr>
              <w:t>《中华人民共和国社会保险法》第九十三</w:t>
            </w:r>
            <w:r>
              <w:rPr>
                <w:spacing w:val="3"/>
              </w:rPr>
              <w:t>条</w:t>
            </w:r>
            <w:r>
              <w:rPr>
                <w:spacing w:val="25"/>
              </w:rPr>
              <w:t xml:space="preserve">  </w:t>
            </w:r>
            <w:r>
              <w:rPr>
                <w:spacing w:val="3"/>
              </w:rPr>
              <w:t>国家工作人员在</w:t>
            </w:r>
            <w:r>
              <w:rPr>
                <w:spacing w:val="8"/>
              </w:rPr>
              <w:t>社会保险管理、监督工作中滥用职权、玩</w:t>
            </w:r>
            <w:r>
              <w:rPr>
                <w:spacing w:val="7"/>
              </w:rPr>
              <w:t>忽职守、徇私舞弊的,</w:t>
            </w:r>
            <w:r>
              <w:rPr>
                <w:spacing w:val="6"/>
              </w:rPr>
              <w:t>依法给予处分。</w:t>
            </w:r>
          </w:p>
        </w:tc>
      </w:tr>
    </w:tbl>
    <w:p>
      <w:pPr>
        <w:spacing w:line="167" w:lineRule="exact"/>
        <w:rPr>
          <w:rFonts w:ascii="Arial" w:hAnsi="Arial" w:eastAsia="Arial" w:cs="Arial"/>
          <w:sz w:val="14"/>
          <w:szCs w:val="14"/>
        </w:rPr>
        <w:sectPr>
          <w:footerReference r:id="rId5" w:type="default"/>
          <w:pgSz w:w="16839" w:h="11906"/>
          <w:pgMar w:top="1012" w:right="1138" w:bottom="1163" w:left="700" w:header="0" w:footer="791" w:gutter="0"/>
          <w:pgNumType w:fmt="decimal"/>
          <w:cols w:space="720" w:num="1"/>
        </w:sectPr>
      </w:pPr>
    </w:p>
    <w:p>
      <w:pPr>
        <w:spacing w:line="95" w:lineRule="exact"/>
      </w:pPr>
    </w:p>
    <w:tbl>
      <w:tblPr>
        <w:tblStyle w:val="7"/>
        <w:tblW w:w="14994" w:type="dxa"/>
        <w:tblInd w:w="2" w:type="dxa"/>
        <w:tblBorders>
          <w:top w:val="single" w:color="FBDFE4" w:sz="2" w:space="0"/>
          <w:left w:val="single" w:color="FBDFE4" w:sz="2" w:space="0"/>
          <w:bottom w:val="single" w:color="FBDFE4" w:sz="2" w:space="0"/>
          <w:right w:val="single" w:color="FBDFE4" w:sz="2" w:space="0"/>
          <w:insideH w:val="single" w:color="FBDFE4" w:sz="2" w:space="0"/>
          <w:insideV w:val="single" w:color="FBDFE4" w:sz="2" w:space="0"/>
        </w:tblBorders>
        <w:tblLayout w:type="fixed"/>
        <w:tblCellMar>
          <w:top w:w="0" w:type="dxa"/>
          <w:left w:w="0" w:type="dxa"/>
          <w:bottom w:w="0" w:type="dxa"/>
          <w:right w:w="0" w:type="dxa"/>
        </w:tblCellMar>
      </w:tblPr>
      <w:tblGrid>
        <w:gridCol w:w="407"/>
        <w:gridCol w:w="1034"/>
        <w:gridCol w:w="600"/>
        <w:gridCol w:w="5758"/>
        <w:gridCol w:w="690"/>
        <w:gridCol w:w="4483"/>
        <w:gridCol w:w="2022"/>
      </w:tblGrid>
      <w:tr>
        <w:tblPrEx>
          <w:tblBorders>
            <w:top w:val="single" w:color="FBDFE4" w:sz="2" w:space="0"/>
            <w:left w:val="single" w:color="FBDFE4" w:sz="2" w:space="0"/>
            <w:bottom w:val="single" w:color="FBDFE4" w:sz="2" w:space="0"/>
            <w:right w:val="single" w:color="FBDFE4" w:sz="2" w:space="0"/>
            <w:insideH w:val="single" w:color="FBDFE4" w:sz="2" w:space="0"/>
            <w:insideV w:val="single" w:color="FBDFE4" w:sz="2" w:space="0"/>
          </w:tblBorders>
          <w:tblCellMar>
            <w:top w:w="0" w:type="dxa"/>
            <w:left w:w="0" w:type="dxa"/>
            <w:bottom w:w="0" w:type="dxa"/>
            <w:right w:w="0" w:type="dxa"/>
          </w:tblCellMar>
        </w:tblPrEx>
        <w:trPr>
          <w:trHeight w:val="659" w:hRule="atLeast"/>
        </w:trPr>
        <w:tc>
          <w:tcPr>
            <w:tcW w:w="407" w:type="dxa"/>
            <w:tcBorders>
              <w:top w:val="single" w:color="EC6881" w:sz="2" w:space="0"/>
              <w:left w:val="single" w:color="FFFFFF" w:sz="2" w:space="0"/>
              <w:bottom w:val="single" w:color="EC6881" w:sz="2" w:space="0"/>
            </w:tcBorders>
            <w:textDirection w:val="tbRlV"/>
            <w:vAlign w:val="top"/>
          </w:tcPr>
          <w:p>
            <w:pPr>
              <w:spacing w:before="81" w:line="209" w:lineRule="auto"/>
              <w:ind w:left="54"/>
              <w:rPr>
                <w:rFonts w:ascii="SimHei" w:hAnsi="SimHei" w:eastAsia="SimHei" w:cs="SimHei"/>
                <w:sz w:val="24"/>
                <w:szCs w:val="24"/>
              </w:rPr>
            </w:pPr>
            <w:r>
              <w:rPr>
                <w:rFonts w:ascii="SimHei" w:hAnsi="SimHei" w:eastAsia="SimHei" w:cs="SimHei"/>
                <w:spacing w:val="37"/>
                <w:sz w:val="24"/>
                <w:szCs w:val="24"/>
              </w:rPr>
              <w:t>序号</w:t>
            </w:r>
          </w:p>
        </w:tc>
        <w:tc>
          <w:tcPr>
            <w:tcW w:w="1034" w:type="dxa"/>
            <w:tcBorders>
              <w:top w:val="single" w:color="EC6881" w:sz="2" w:space="0"/>
              <w:bottom w:val="single" w:color="EC6881" w:sz="2" w:space="0"/>
            </w:tcBorders>
            <w:vAlign w:val="top"/>
          </w:tcPr>
          <w:p>
            <w:pPr>
              <w:spacing w:before="210" w:line="222" w:lineRule="auto"/>
              <w:ind w:left="41"/>
              <w:rPr>
                <w:rFonts w:ascii="SimHei" w:hAnsi="SimHei" w:eastAsia="SimHei" w:cs="SimHei"/>
                <w:sz w:val="24"/>
                <w:szCs w:val="24"/>
              </w:rPr>
            </w:pPr>
            <w:r>
              <w:rPr>
                <w:rFonts w:ascii="SimHei" w:hAnsi="SimHei" w:eastAsia="SimHei" w:cs="SimHei"/>
                <w:spacing w:val="-3"/>
                <w:sz w:val="24"/>
                <w:szCs w:val="24"/>
              </w:rPr>
              <w:t>项目名称</w:t>
            </w:r>
          </w:p>
        </w:tc>
        <w:tc>
          <w:tcPr>
            <w:tcW w:w="600" w:type="dxa"/>
            <w:tcBorders>
              <w:top w:val="single" w:color="EC6881" w:sz="2" w:space="0"/>
              <w:bottom w:val="single" w:color="EC6881" w:sz="2" w:space="0"/>
            </w:tcBorders>
            <w:vAlign w:val="top"/>
          </w:tcPr>
          <w:p>
            <w:pPr>
              <w:spacing w:before="54" w:line="224" w:lineRule="auto"/>
              <w:ind w:left="63"/>
              <w:rPr>
                <w:rFonts w:ascii="SimHei" w:hAnsi="SimHei" w:eastAsia="SimHei" w:cs="SimHei"/>
                <w:sz w:val="24"/>
                <w:szCs w:val="24"/>
              </w:rPr>
            </w:pPr>
            <w:r>
              <w:rPr>
                <w:rFonts w:ascii="SimHei" w:hAnsi="SimHei" w:eastAsia="SimHei" w:cs="SimHei"/>
                <w:spacing w:val="-5"/>
                <w:sz w:val="24"/>
                <w:szCs w:val="24"/>
              </w:rPr>
              <w:t>职权</w:t>
            </w:r>
          </w:p>
          <w:p>
            <w:pPr>
              <w:spacing w:before="21" w:line="217" w:lineRule="auto"/>
              <w:ind w:left="72"/>
              <w:rPr>
                <w:rFonts w:ascii="SimHei" w:hAnsi="SimHei" w:eastAsia="SimHei" w:cs="SimHei"/>
                <w:sz w:val="24"/>
                <w:szCs w:val="24"/>
              </w:rPr>
            </w:pPr>
            <w:r>
              <w:rPr>
                <w:rFonts w:ascii="SimHei" w:hAnsi="SimHei" w:eastAsia="SimHei" w:cs="SimHei"/>
                <w:spacing w:val="-9"/>
                <w:sz w:val="24"/>
                <w:szCs w:val="24"/>
              </w:rPr>
              <w:t>类别</w:t>
            </w:r>
          </w:p>
        </w:tc>
        <w:tc>
          <w:tcPr>
            <w:tcW w:w="5758" w:type="dxa"/>
            <w:tcBorders>
              <w:top w:val="single" w:color="EC6881" w:sz="2" w:space="0"/>
              <w:bottom w:val="single" w:color="EC6881" w:sz="2" w:space="0"/>
            </w:tcBorders>
            <w:vAlign w:val="top"/>
          </w:tcPr>
          <w:p>
            <w:pPr>
              <w:spacing w:before="210" w:line="222" w:lineRule="auto"/>
              <w:ind w:left="2404"/>
              <w:rPr>
                <w:rFonts w:ascii="SimHei" w:hAnsi="SimHei" w:eastAsia="SimHei" w:cs="SimHei"/>
                <w:sz w:val="24"/>
                <w:szCs w:val="24"/>
              </w:rPr>
            </w:pPr>
            <w:r>
              <w:rPr>
                <w:rFonts w:ascii="SimHei" w:hAnsi="SimHei" w:eastAsia="SimHei" w:cs="SimHei"/>
                <w:spacing w:val="-3"/>
                <w:sz w:val="24"/>
                <w:szCs w:val="24"/>
              </w:rPr>
              <w:t>设定依据</w:t>
            </w:r>
          </w:p>
        </w:tc>
        <w:tc>
          <w:tcPr>
            <w:tcW w:w="690" w:type="dxa"/>
            <w:tcBorders>
              <w:top w:val="single" w:color="EC6881" w:sz="2" w:space="0"/>
              <w:bottom w:val="single" w:color="EC6881" w:sz="2" w:space="0"/>
            </w:tcBorders>
            <w:vAlign w:val="top"/>
          </w:tcPr>
          <w:p>
            <w:pPr>
              <w:spacing w:before="54" w:line="222" w:lineRule="auto"/>
              <w:ind w:left="118"/>
              <w:rPr>
                <w:rFonts w:ascii="SimHei" w:hAnsi="SimHei" w:eastAsia="SimHei" w:cs="SimHei"/>
                <w:sz w:val="24"/>
                <w:szCs w:val="24"/>
              </w:rPr>
            </w:pPr>
            <w:r>
              <w:rPr>
                <w:rFonts w:ascii="SimHei" w:hAnsi="SimHei" w:eastAsia="SimHei" w:cs="SimHei"/>
                <w:spacing w:val="-8"/>
                <w:sz w:val="24"/>
                <w:szCs w:val="24"/>
              </w:rPr>
              <w:t>实施</w:t>
            </w:r>
          </w:p>
          <w:p>
            <w:pPr>
              <w:spacing w:before="24" w:line="217" w:lineRule="auto"/>
              <w:ind w:left="115"/>
              <w:rPr>
                <w:rFonts w:ascii="SimHei" w:hAnsi="SimHei" w:eastAsia="SimHei" w:cs="SimHei"/>
                <w:sz w:val="24"/>
                <w:szCs w:val="24"/>
              </w:rPr>
            </w:pPr>
            <w:r>
              <w:rPr>
                <w:rFonts w:ascii="SimHei" w:hAnsi="SimHei" w:eastAsia="SimHei" w:cs="SimHei"/>
                <w:spacing w:val="-7"/>
                <w:sz w:val="24"/>
                <w:szCs w:val="24"/>
              </w:rPr>
              <w:t>主体</w:t>
            </w:r>
          </w:p>
        </w:tc>
        <w:tc>
          <w:tcPr>
            <w:tcW w:w="4483" w:type="dxa"/>
            <w:tcBorders>
              <w:top w:val="single" w:color="EC6881" w:sz="2" w:space="0"/>
              <w:bottom w:val="single" w:color="EC6881" w:sz="2" w:space="0"/>
            </w:tcBorders>
            <w:vAlign w:val="top"/>
          </w:tcPr>
          <w:p>
            <w:pPr>
              <w:spacing w:before="210" w:line="221" w:lineRule="auto"/>
              <w:ind w:left="1767"/>
              <w:rPr>
                <w:rFonts w:ascii="SimHei" w:hAnsi="SimHei" w:eastAsia="SimHei" w:cs="SimHei"/>
                <w:sz w:val="24"/>
                <w:szCs w:val="24"/>
              </w:rPr>
            </w:pPr>
            <w:r>
              <w:rPr>
                <w:rFonts w:ascii="SimHei" w:hAnsi="SimHei" w:eastAsia="SimHei" w:cs="SimHei"/>
                <w:spacing w:val="-3"/>
                <w:sz w:val="24"/>
                <w:szCs w:val="24"/>
              </w:rPr>
              <w:t>履职方式</w:t>
            </w:r>
          </w:p>
        </w:tc>
        <w:tc>
          <w:tcPr>
            <w:tcW w:w="2022" w:type="dxa"/>
            <w:tcBorders>
              <w:top w:val="single" w:color="EC6881" w:sz="2" w:space="0"/>
              <w:bottom w:val="single" w:color="EC6881" w:sz="2" w:space="0"/>
              <w:right w:val="single" w:color="FFFFFF" w:sz="2" w:space="0"/>
            </w:tcBorders>
            <w:vAlign w:val="top"/>
          </w:tcPr>
          <w:p>
            <w:pPr>
              <w:spacing w:before="210" w:line="221" w:lineRule="auto"/>
              <w:ind w:left="536"/>
              <w:rPr>
                <w:rFonts w:ascii="SimHei" w:hAnsi="SimHei" w:eastAsia="SimHei" w:cs="SimHei"/>
                <w:sz w:val="24"/>
                <w:szCs w:val="24"/>
              </w:rPr>
            </w:pPr>
            <w:r>
              <w:rPr>
                <w:rFonts w:ascii="SimHei" w:hAnsi="SimHei" w:eastAsia="SimHei" w:cs="SimHei"/>
                <w:spacing w:val="-3"/>
                <w:sz w:val="24"/>
                <w:szCs w:val="24"/>
              </w:rPr>
              <w:t>追责方式</w:t>
            </w:r>
          </w:p>
        </w:tc>
      </w:tr>
      <w:tr>
        <w:tblPrEx>
          <w:tblBorders>
            <w:top w:val="single" w:color="FBDFE4" w:sz="2" w:space="0"/>
            <w:left w:val="single" w:color="FBDFE4" w:sz="2" w:space="0"/>
            <w:bottom w:val="single" w:color="FBDFE4" w:sz="2" w:space="0"/>
            <w:right w:val="single" w:color="FBDFE4" w:sz="2" w:space="0"/>
            <w:insideH w:val="single" w:color="FBDFE4" w:sz="2" w:space="0"/>
            <w:insideV w:val="single" w:color="FBDFE4" w:sz="2" w:space="0"/>
          </w:tblBorders>
          <w:tblCellMar>
            <w:top w:w="0" w:type="dxa"/>
            <w:left w:w="0" w:type="dxa"/>
            <w:bottom w:w="0" w:type="dxa"/>
            <w:right w:w="0" w:type="dxa"/>
          </w:tblCellMar>
        </w:tblPrEx>
        <w:trPr>
          <w:trHeight w:val="8543" w:hRule="atLeast"/>
        </w:trPr>
        <w:tc>
          <w:tcPr>
            <w:tcW w:w="407" w:type="dxa"/>
            <w:tcBorders>
              <w:left w:val="single" w:color="FFFFFF" w:sz="2" w:space="0"/>
            </w:tcBorders>
            <w:vAlign w:val="top"/>
          </w:tcPr>
          <w:p>
            <w:pPr>
              <w:spacing w:line="262" w:lineRule="auto"/>
              <w:rPr>
                <w:rFonts w:ascii="Arial"/>
                <w:color w:val="auto"/>
                <w:sz w:val="21"/>
              </w:rPr>
            </w:pPr>
          </w:p>
          <w:p>
            <w:pPr>
              <w:spacing w:line="263" w:lineRule="auto"/>
              <w:rPr>
                <w:rFonts w:ascii="Arial"/>
                <w:color w:val="auto"/>
                <w:sz w:val="21"/>
              </w:rPr>
            </w:pPr>
          </w:p>
          <w:p>
            <w:pPr>
              <w:spacing w:line="263" w:lineRule="auto"/>
              <w:rPr>
                <w:rFonts w:ascii="Arial"/>
                <w:color w:val="auto"/>
                <w:sz w:val="21"/>
              </w:rPr>
            </w:pPr>
          </w:p>
          <w:p>
            <w:pPr>
              <w:spacing w:line="263" w:lineRule="auto"/>
              <w:rPr>
                <w:rFonts w:ascii="Arial"/>
                <w:color w:val="auto"/>
                <w:sz w:val="21"/>
              </w:rPr>
            </w:pPr>
          </w:p>
          <w:p>
            <w:pPr>
              <w:pStyle w:val="8"/>
              <w:spacing w:before="65" w:line="271" w:lineRule="exact"/>
              <w:ind w:left="158" w:leftChars="0"/>
              <w:rPr>
                <w:color w:val="auto"/>
              </w:rPr>
            </w:pPr>
            <w:r>
              <w:rPr>
                <w:color w:val="auto"/>
                <w:position w:val="1"/>
              </w:rPr>
              <w:t>3</w:t>
            </w:r>
          </w:p>
        </w:tc>
        <w:tc>
          <w:tcPr>
            <w:tcW w:w="1034" w:type="dxa"/>
            <w:vAlign w:val="top"/>
          </w:tcPr>
          <w:p>
            <w:pPr>
              <w:spacing w:line="298" w:lineRule="auto"/>
              <w:rPr>
                <w:rFonts w:ascii="Arial"/>
                <w:color w:val="auto"/>
                <w:sz w:val="21"/>
              </w:rPr>
            </w:pPr>
          </w:p>
          <w:p>
            <w:pPr>
              <w:spacing w:line="299" w:lineRule="auto"/>
              <w:rPr>
                <w:rFonts w:ascii="Arial"/>
                <w:color w:val="auto"/>
                <w:sz w:val="21"/>
              </w:rPr>
            </w:pPr>
          </w:p>
          <w:p>
            <w:pPr>
              <w:spacing w:line="299" w:lineRule="auto"/>
              <w:rPr>
                <w:rFonts w:ascii="Arial"/>
                <w:color w:val="auto"/>
                <w:sz w:val="21"/>
              </w:rPr>
            </w:pPr>
          </w:p>
          <w:p>
            <w:pPr>
              <w:pStyle w:val="8"/>
              <w:spacing w:before="65" w:line="288" w:lineRule="auto"/>
              <w:ind w:left="107" w:leftChars="0" w:right="98" w:rightChars="0" w:firstLine="11" w:firstLineChars="0"/>
              <w:rPr>
                <w:color w:val="auto"/>
              </w:rPr>
            </w:pPr>
            <w:r>
              <w:rPr>
                <w:color w:val="auto"/>
                <w:spacing w:val="2"/>
              </w:rPr>
              <w:t>生育保险</w:t>
            </w:r>
            <w:r>
              <w:rPr>
                <w:color w:val="auto"/>
                <w:spacing w:val="5"/>
              </w:rPr>
              <w:t>待遇支付</w:t>
            </w:r>
          </w:p>
        </w:tc>
        <w:tc>
          <w:tcPr>
            <w:tcW w:w="600" w:type="dxa"/>
            <w:vAlign w:val="top"/>
          </w:tcPr>
          <w:p>
            <w:pPr>
              <w:spacing w:line="305" w:lineRule="auto"/>
              <w:rPr>
                <w:rFonts w:ascii="Arial"/>
                <w:color w:val="auto"/>
                <w:sz w:val="21"/>
              </w:rPr>
            </w:pPr>
          </w:p>
          <w:p>
            <w:pPr>
              <w:spacing w:line="305" w:lineRule="auto"/>
              <w:rPr>
                <w:rFonts w:ascii="Arial"/>
                <w:color w:val="auto"/>
                <w:sz w:val="21"/>
              </w:rPr>
            </w:pPr>
          </w:p>
          <w:p>
            <w:pPr>
              <w:spacing w:line="305" w:lineRule="auto"/>
              <w:rPr>
                <w:rFonts w:ascii="Arial"/>
                <w:color w:val="auto"/>
                <w:sz w:val="21"/>
              </w:rPr>
            </w:pPr>
          </w:p>
          <w:p>
            <w:pPr>
              <w:pStyle w:val="8"/>
              <w:spacing w:before="65" w:line="254" w:lineRule="auto"/>
              <w:ind w:left="26" w:leftChars="0" w:right="165" w:rightChars="0"/>
              <w:rPr>
                <w:color w:val="auto"/>
              </w:rPr>
            </w:pPr>
            <w:r>
              <w:rPr>
                <w:color w:val="auto"/>
                <w:spacing w:val="1"/>
              </w:rPr>
              <w:t>行政给付</w:t>
            </w:r>
          </w:p>
        </w:tc>
        <w:tc>
          <w:tcPr>
            <w:tcW w:w="5758" w:type="dxa"/>
            <w:vAlign w:val="top"/>
          </w:tcPr>
          <w:p>
            <w:pPr>
              <w:pStyle w:val="8"/>
              <w:spacing w:before="34" w:line="251" w:lineRule="auto"/>
              <w:ind w:left="25" w:right="75" w:firstLine="419"/>
              <w:rPr>
                <w:color w:val="auto"/>
              </w:rPr>
            </w:pPr>
            <w:r>
              <w:rPr>
                <w:color w:val="auto"/>
                <w:spacing w:val="8"/>
              </w:rPr>
              <w:t>《中华人民共和国社会保险法》第八条：</w:t>
            </w:r>
            <w:r>
              <w:rPr>
                <w:color w:val="auto"/>
                <w:spacing w:val="-68"/>
              </w:rPr>
              <w:t xml:space="preserve"> </w:t>
            </w:r>
            <w:r>
              <w:rPr>
                <w:color w:val="auto"/>
                <w:spacing w:val="8"/>
              </w:rPr>
              <w:t>“社会保险经办</w:t>
            </w:r>
            <w:r>
              <w:rPr>
                <w:color w:val="auto"/>
                <w:spacing w:val="9"/>
              </w:rPr>
              <w:t>机构提供社会保险服务，负责社会保险登记、个人权益记录、</w:t>
            </w:r>
          </w:p>
          <w:p>
            <w:pPr>
              <w:pStyle w:val="8"/>
              <w:spacing w:line="246" w:lineRule="auto"/>
              <w:ind w:left="25" w:right="12"/>
              <w:rPr>
                <w:color w:val="auto"/>
                <w:spacing w:val="18"/>
              </w:rPr>
            </w:pPr>
            <w:r>
              <w:rPr>
                <w:color w:val="auto"/>
                <w:spacing w:val="7"/>
              </w:rPr>
              <w:t>社会保险待遇支付等工作。</w:t>
            </w:r>
            <w:r>
              <w:rPr>
                <w:color w:val="auto"/>
                <w:spacing w:val="-76"/>
              </w:rPr>
              <w:t xml:space="preserve"> </w:t>
            </w:r>
            <w:r>
              <w:rPr>
                <w:color w:val="auto"/>
                <w:spacing w:val="7"/>
              </w:rPr>
              <w:t>” 第五十四条：“用</w:t>
            </w:r>
            <w:r>
              <w:rPr>
                <w:color w:val="auto"/>
                <w:spacing w:val="6"/>
              </w:rPr>
              <w:t>人单位已经缴</w:t>
            </w:r>
            <w:r>
              <w:rPr>
                <w:color w:val="auto"/>
                <w:spacing w:val="9"/>
              </w:rPr>
              <w:t>纳生育保险费的，其职工享受生育保险待遇；职工未就业配偶按照国家规定享受生育医疗费用待遇。所需资金从生育保险基</w:t>
            </w:r>
            <w:r>
              <w:rPr>
                <w:color w:val="auto"/>
                <w:spacing w:val="8"/>
              </w:rPr>
              <w:t>金中支付。生育保险待遇包括生育医疗费用和生育津贴。</w:t>
            </w:r>
            <w:r>
              <w:rPr>
                <w:color w:val="auto"/>
                <w:spacing w:val="-62"/>
              </w:rPr>
              <w:t xml:space="preserve"> </w:t>
            </w:r>
            <w:r>
              <w:rPr>
                <w:color w:val="auto"/>
                <w:spacing w:val="8"/>
              </w:rPr>
              <w:t>”第七十三条：</w:t>
            </w:r>
            <w:r>
              <w:rPr>
                <w:color w:val="auto"/>
                <w:spacing w:val="-62"/>
              </w:rPr>
              <w:t xml:space="preserve"> </w:t>
            </w:r>
            <w:r>
              <w:rPr>
                <w:color w:val="auto"/>
                <w:spacing w:val="8"/>
              </w:rPr>
              <w:t>“社会保险经办机构应当建立健全业务、财务、安</w:t>
            </w:r>
            <w:r>
              <w:rPr>
                <w:color w:val="auto"/>
                <w:spacing w:val="9"/>
              </w:rPr>
              <w:t>全和风险管理制度。社会保险经办机构应当按时足额支付社会</w:t>
            </w:r>
            <w:r>
              <w:rPr>
                <w:color w:val="auto"/>
                <w:spacing w:val="18"/>
              </w:rPr>
              <w:t>保险待遇。</w:t>
            </w:r>
            <w:r>
              <w:rPr>
                <w:color w:val="auto"/>
                <w:spacing w:val="-65"/>
              </w:rPr>
              <w:t xml:space="preserve"> </w:t>
            </w:r>
            <w:r>
              <w:rPr>
                <w:color w:val="auto"/>
                <w:spacing w:val="18"/>
              </w:rPr>
              <w:t>”</w:t>
            </w:r>
          </w:p>
          <w:p>
            <w:pPr>
              <w:pStyle w:val="8"/>
              <w:spacing w:line="246" w:lineRule="auto"/>
              <w:ind w:left="25" w:right="12" w:firstLine="472"/>
              <w:rPr>
                <w:rFonts w:hint="eastAsia"/>
                <w:color w:val="auto"/>
                <w:spacing w:val="18"/>
                <w:lang w:val="en-US" w:eastAsia="zh-CN"/>
              </w:rPr>
            </w:pPr>
            <w:r>
              <w:rPr>
                <w:rFonts w:hint="eastAsia"/>
                <w:color w:val="auto"/>
                <w:spacing w:val="18"/>
                <w:lang w:val="en-US" w:eastAsia="zh-CN"/>
              </w:rPr>
              <w:t>根据豫医保中心〔2024〕18号《关于做好河南省生育保险省内异地就医直接结算和生育津贴"免申即享"工作的通知》规定：</w:t>
            </w:r>
          </w:p>
          <w:p>
            <w:pPr>
              <w:pStyle w:val="8"/>
              <w:spacing w:line="246" w:lineRule="auto"/>
              <w:ind w:right="12"/>
              <w:rPr>
                <w:rFonts w:hint="eastAsia"/>
                <w:color w:val="auto"/>
                <w:spacing w:val="18"/>
                <w:lang w:val="en-US" w:eastAsia="zh-CN"/>
              </w:rPr>
            </w:pPr>
            <w:r>
              <w:rPr>
                <w:rFonts w:hint="eastAsia"/>
                <w:color w:val="auto"/>
                <w:spacing w:val="18"/>
                <w:lang w:val="en-US" w:eastAsia="zh-CN"/>
              </w:rPr>
              <w:t>一、生育保险省内异地就医直接结算经办流程</w:t>
            </w:r>
          </w:p>
          <w:p>
            <w:pPr>
              <w:pStyle w:val="8"/>
              <w:numPr>
                <w:ilvl w:val="0"/>
                <w:numId w:val="0"/>
              </w:numPr>
              <w:spacing w:line="246" w:lineRule="auto"/>
              <w:ind w:right="12" w:rightChars="0" w:firstLine="472" w:firstLineChars="200"/>
              <w:rPr>
                <w:rFonts w:hint="eastAsia"/>
                <w:color w:val="auto"/>
                <w:spacing w:val="18"/>
                <w:lang w:val="en-US" w:eastAsia="zh-CN"/>
              </w:rPr>
            </w:pPr>
            <w:r>
              <w:rPr>
                <w:rFonts w:hint="eastAsia"/>
                <w:color w:val="auto"/>
                <w:spacing w:val="18"/>
                <w:lang w:val="en-US" w:eastAsia="zh-CN"/>
              </w:rPr>
              <w:t>依托河南省医疗保障信息平台异地就医管理子系统，实现生育门诊、住院医疗费用省内异地就医直接结算，且无需办理异地就医备案。生育医疗费省内异地就医直接结算按照"就医地目录、参保地政策、就医地管理"原则，执行就医地规定的支付范围及有关规定(基本医疗保险和生育保险药品、医疗服务项目和医用耗材等支付范围)，生育保险待遇标准执行参保地政策，就医地经办机构应将异地就医人员纳入本地统一管理。</w:t>
            </w:r>
          </w:p>
          <w:p>
            <w:pPr>
              <w:pStyle w:val="8"/>
              <w:numPr>
                <w:ilvl w:val="0"/>
                <w:numId w:val="0"/>
              </w:numPr>
              <w:spacing w:line="246" w:lineRule="auto"/>
              <w:ind w:right="12" w:rightChars="0"/>
              <w:rPr>
                <w:rFonts w:hint="eastAsia"/>
                <w:color w:val="auto"/>
                <w:spacing w:val="18"/>
                <w:lang w:val="en-US" w:eastAsia="zh-CN"/>
              </w:rPr>
            </w:pPr>
            <w:r>
              <w:rPr>
                <w:rFonts w:hint="eastAsia"/>
                <w:color w:val="auto"/>
                <w:spacing w:val="18"/>
                <w:lang w:val="en-US" w:eastAsia="zh-CN"/>
              </w:rPr>
              <w:t>二、生育津贴"免申即享"经办流程</w:t>
            </w:r>
          </w:p>
          <w:p>
            <w:pPr>
              <w:pStyle w:val="8"/>
              <w:spacing w:line="246" w:lineRule="auto"/>
              <w:ind w:left="25" w:leftChars="0" w:right="12" w:rightChars="0"/>
              <w:rPr>
                <w:color w:val="auto"/>
              </w:rPr>
            </w:pPr>
            <w:r>
              <w:rPr>
                <w:rFonts w:hint="eastAsia"/>
                <w:color w:val="auto"/>
                <w:spacing w:val="18"/>
                <w:lang w:val="en-US" w:eastAsia="zh-CN"/>
              </w:rPr>
              <w:t>生育津贴"免申即享"指参保人办理出院结算时只需结算生育医疗费，无需申请即可享受生育津贴的经办模式。</w:t>
            </w:r>
          </w:p>
        </w:tc>
        <w:tc>
          <w:tcPr>
            <w:tcW w:w="690" w:type="dxa"/>
            <w:vAlign w:val="top"/>
          </w:tcPr>
          <w:p>
            <w:pPr>
              <w:spacing w:line="247" w:lineRule="auto"/>
              <w:rPr>
                <w:rFonts w:ascii="Arial"/>
                <w:color w:val="auto"/>
                <w:sz w:val="21"/>
              </w:rPr>
            </w:pPr>
          </w:p>
          <w:p>
            <w:pPr>
              <w:spacing w:line="247" w:lineRule="auto"/>
              <w:rPr>
                <w:rFonts w:ascii="Arial"/>
                <w:color w:val="auto"/>
                <w:sz w:val="21"/>
              </w:rPr>
            </w:pPr>
          </w:p>
          <w:p>
            <w:pPr>
              <w:spacing w:line="248" w:lineRule="auto"/>
              <w:rPr>
                <w:rFonts w:ascii="Arial"/>
                <w:color w:val="auto"/>
                <w:sz w:val="21"/>
              </w:rPr>
            </w:pPr>
          </w:p>
          <w:p>
            <w:pPr>
              <w:pStyle w:val="8"/>
              <w:spacing w:before="65" w:line="230" w:lineRule="auto"/>
              <w:ind w:left="41"/>
            </w:pPr>
            <w:r>
              <w:rPr>
                <w:spacing w:val="5"/>
              </w:rPr>
              <w:t>信阳市</w:t>
            </w:r>
          </w:p>
          <w:p>
            <w:pPr>
              <w:pStyle w:val="8"/>
              <w:spacing w:before="63" w:line="229" w:lineRule="auto"/>
              <w:ind w:left="59"/>
            </w:pPr>
            <w:r>
              <w:rPr>
                <w:rFonts w:hint="eastAsia"/>
                <w:spacing w:val="-1"/>
                <w:lang w:eastAsia="zh-CN"/>
              </w:rPr>
              <w:t>浉河区</w:t>
            </w:r>
            <w:r>
              <w:rPr>
                <w:spacing w:val="-1"/>
              </w:rPr>
              <w:t>医疗保</w:t>
            </w:r>
          </w:p>
          <w:p>
            <w:pPr>
              <w:pStyle w:val="8"/>
              <w:spacing w:before="63" w:line="230" w:lineRule="auto"/>
              <w:ind w:left="158" w:leftChars="0"/>
              <w:rPr>
                <w:color w:val="auto"/>
              </w:rPr>
            </w:pPr>
            <w:r>
              <w:rPr>
                <w:spacing w:val="-4"/>
              </w:rPr>
              <w:t>障局</w:t>
            </w:r>
          </w:p>
        </w:tc>
        <w:tc>
          <w:tcPr>
            <w:tcW w:w="4483" w:type="dxa"/>
            <w:vAlign w:val="top"/>
          </w:tcPr>
          <w:p>
            <w:pPr>
              <w:spacing w:line="276" w:lineRule="auto"/>
              <w:rPr>
                <w:rFonts w:ascii="Arial"/>
                <w:color w:val="auto"/>
                <w:sz w:val="21"/>
              </w:rPr>
            </w:pPr>
          </w:p>
          <w:p>
            <w:pPr>
              <w:pStyle w:val="8"/>
              <w:spacing w:before="64" w:line="288" w:lineRule="auto"/>
              <w:ind w:left="25" w:right="11" w:hanging="2"/>
              <w:rPr>
                <w:rFonts w:hint="eastAsia"/>
                <w:color w:val="auto"/>
                <w:spacing w:val="2"/>
              </w:rPr>
            </w:pPr>
            <w:r>
              <w:rPr>
                <w:rFonts w:hint="eastAsia"/>
                <w:color w:val="auto"/>
                <w:spacing w:val="2"/>
                <w:lang w:val="en-US" w:eastAsia="zh-CN"/>
              </w:rPr>
              <w:t>1、城镇</w:t>
            </w:r>
            <w:r>
              <w:rPr>
                <w:rFonts w:hint="eastAsia"/>
                <w:color w:val="auto"/>
                <w:spacing w:val="2"/>
              </w:rPr>
              <w:t>职工：生育住院医疗费（含产前检查费）出院时一并直接结算。生育津贴实行“免申即享”，由医疗机构直接推送至医保中心后台。生育津贴拨付至参保女职工个人账户。</w:t>
            </w:r>
          </w:p>
          <w:p>
            <w:pPr>
              <w:pStyle w:val="8"/>
              <w:spacing w:before="64" w:line="288" w:lineRule="auto"/>
              <w:ind w:left="25" w:right="11" w:hanging="2"/>
              <w:rPr>
                <w:rFonts w:hint="eastAsia"/>
                <w:color w:val="auto"/>
                <w:spacing w:val="2"/>
              </w:rPr>
            </w:pPr>
            <w:r>
              <w:rPr>
                <w:rFonts w:hint="eastAsia"/>
                <w:color w:val="auto"/>
                <w:spacing w:val="2"/>
                <w:lang w:val="en-US" w:eastAsia="zh-CN"/>
              </w:rPr>
              <w:t>2、城乡</w:t>
            </w:r>
            <w:r>
              <w:rPr>
                <w:rFonts w:hint="eastAsia"/>
                <w:color w:val="auto"/>
                <w:spacing w:val="2"/>
              </w:rPr>
              <w:t>居民:在医疗机构生育住院时直接结算，居民医保无生育津贴。</w:t>
            </w:r>
          </w:p>
          <w:p>
            <w:pPr>
              <w:pStyle w:val="8"/>
              <w:spacing w:before="64" w:line="288" w:lineRule="auto"/>
              <w:ind w:left="25" w:leftChars="0" w:right="11" w:rightChars="0" w:hanging="2" w:firstLineChars="0"/>
              <w:rPr>
                <w:color w:val="auto"/>
              </w:rPr>
            </w:pPr>
            <w:r>
              <w:rPr>
                <w:rFonts w:hint="eastAsia"/>
                <w:color w:val="auto"/>
                <w:spacing w:val="2"/>
                <w:lang w:val="en-US" w:eastAsia="zh-CN"/>
              </w:rPr>
              <w:t>3</w:t>
            </w:r>
            <w:r>
              <w:rPr>
                <w:rFonts w:hint="eastAsia"/>
                <w:color w:val="auto"/>
                <w:spacing w:val="2"/>
              </w:rPr>
              <w:t>、办结时限</w:t>
            </w:r>
            <w:r>
              <w:rPr>
                <w:rFonts w:hint="eastAsia"/>
                <w:color w:val="auto"/>
                <w:spacing w:val="2"/>
                <w:lang w:eastAsia="zh-CN"/>
              </w:rPr>
              <w:t>：</w:t>
            </w:r>
            <w:r>
              <w:rPr>
                <w:rFonts w:hint="eastAsia"/>
                <w:color w:val="auto"/>
                <w:spacing w:val="2"/>
              </w:rPr>
              <w:t>生育住院费用直接结算，生育津贴3-5个工作日办结。</w:t>
            </w:r>
          </w:p>
        </w:tc>
        <w:tc>
          <w:tcPr>
            <w:tcW w:w="2022" w:type="dxa"/>
            <w:tcBorders>
              <w:right w:val="single" w:color="FFFFFF" w:sz="2" w:space="0"/>
            </w:tcBorders>
            <w:vAlign w:val="top"/>
          </w:tcPr>
          <w:p>
            <w:pPr>
              <w:spacing w:line="242" w:lineRule="auto"/>
              <w:rPr>
                <w:rFonts w:ascii="Arial"/>
                <w:color w:val="auto"/>
                <w:sz w:val="21"/>
              </w:rPr>
            </w:pPr>
          </w:p>
          <w:p>
            <w:pPr>
              <w:pStyle w:val="8"/>
              <w:spacing w:before="65" w:line="251" w:lineRule="auto"/>
              <w:ind w:left="28" w:leftChars="0" w:right="13" w:rightChars="0"/>
              <w:jc w:val="both"/>
              <w:rPr>
                <w:color w:val="auto"/>
              </w:rPr>
            </w:pPr>
            <w:r>
              <w:rPr>
                <w:color w:val="auto"/>
                <w:spacing w:val="8"/>
              </w:rPr>
              <w:t>《中华人民共和国社会保险法》第九十三</w:t>
            </w:r>
            <w:r>
              <w:rPr>
                <w:color w:val="auto"/>
                <w:spacing w:val="3"/>
              </w:rPr>
              <w:t>条</w:t>
            </w:r>
            <w:r>
              <w:rPr>
                <w:color w:val="auto"/>
                <w:spacing w:val="25"/>
              </w:rPr>
              <w:t xml:space="preserve">  </w:t>
            </w:r>
            <w:r>
              <w:rPr>
                <w:color w:val="auto"/>
                <w:spacing w:val="3"/>
              </w:rPr>
              <w:t>国家工作人员在</w:t>
            </w:r>
            <w:r>
              <w:rPr>
                <w:color w:val="auto"/>
                <w:spacing w:val="8"/>
              </w:rPr>
              <w:t>社会保险管理、监督工作中滥用职权、玩</w:t>
            </w:r>
            <w:r>
              <w:rPr>
                <w:color w:val="auto"/>
                <w:spacing w:val="7"/>
              </w:rPr>
              <w:t>忽职守、徇私舞弊的,</w:t>
            </w:r>
            <w:r>
              <w:rPr>
                <w:color w:val="auto"/>
                <w:spacing w:val="6"/>
              </w:rPr>
              <w:t>依法给予处分。</w:t>
            </w:r>
          </w:p>
        </w:tc>
      </w:tr>
      <w:tr>
        <w:tblPrEx>
          <w:tblBorders>
            <w:top w:val="single" w:color="FBDFE4" w:sz="2" w:space="0"/>
            <w:left w:val="single" w:color="FBDFE4" w:sz="2" w:space="0"/>
            <w:bottom w:val="single" w:color="FBDFE4" w:sz="2" w:space="0"/>
            <w:right w:val="single" w:color="FBDFE4" w:sz="2" w:space="0"/>
            <w:insideH w:val="single" w:color="FBDFE4" w:sz="2" w:space="0"/>
            <w:insideV w:val="single" w:color="FBDFE4" w:sz="2" w:space="0"/>
          </w:tblBorders>
          <w:tblCellMar>
            <w:top w:w="0" w:type="dxa"/>
            <w:left w:w="0" w:type="dxa"/>
            <w:bottom w:w="0" w:type="dxa"/>
            <w:right w:w="0" w:type="dxa"/>
          </w:tblCellMar>
        </w:tblPrEx>
        <w:trPr>
          <w:trHeight w:val="9468" w:hRule="atLeast"/>
        </w:trPr>
        <w:tc>
          <w:tcPr>
            <w:tcW w:w="407" w:type="dxa"/>
            <w:tcBorders>
              <w:left w:val="single" w:color="FFFFFF" w:sz="2" w:space="0"/>
            </w:tcBorders>
            <w:vAlign w:val="top"/>
          </w:tcPr>
          <w:p>
            <w:pPr>
              <w:spacing w:line="335" w:lineRule="auto"/>
              <w:rPr>
                <w:rFonts w:ascii="Arial"/>
                <w:sz w:val="21"/>
              </w:rPr>
            </w:pPr>
          </w:p>
          <w:p>
            <w:pPr>
              <w:spacing w:line="335" w:lineRule="auto"/>
              <w:rPr>
                <w:rFonts w:ascii="Arial"/>
                <w:sz w:val="21"/>
              </w:rPr>
            </w:pPr>
          </w:p>
          <w:p>
            <w:pPr>
              <w:pStyle w:val="8"/>
              <w:spacing w:before="65" w:line="272" w:lineRule="exact"/>
              <w:ind w:left="153" w:leftChars="0"/>
            </w:pPr>
            <w:r>
              <w:rPr>
                <w:position w:val="1"/>
              </w:rPr>
              <w:t>4</w:t>
            </w:r>
          </w:p>
        </w:tc>
        <w:tc>
          <w:tcPr>
            <w:tcW w:w="1034" w:type="dxa"/>
            <w:vAlign w:val="top"/>
          </w:tcPr>
          <w:p>
            <w:pPr>
              <w:pStyle w:val="8"/>
              <w:spacing w:before="114" w:line="288" w:lineRule="auto"/>
              <w:ind w:left="29" w:right="14" w:firstLine="78"/>
            </w:pPr>
            <w:r>
              <w:rPr>
                <w:spacing w:val="5"/>
              </w:rPr>
              <w:t>封存与社</w:t>
            </w:r>
            <w:r>
              <w:rPr>
                <w:spacing w:val="-3"/>
              </w:rPr>
              <w:t>会保险（医</w:t>
            </w:r>
          </w:p>
          <w:p>
            <w:pPr>
              <w:pStyle w:val="8"/>
              <w:spacing w:before="1" w:line="229" w:lineRule="auto"/>
              <w:ind w:left="25"/>
            </w:pPr>
            <w:r>
              <w:rPr>
                <w:spacing w:val="-2"/>
              </w:rPr>
              <w:t>疗保障）基</w:t>
            </w:r>
          </w:p>
          <w:p>
            <w:pPr>
              <w:pStyle w:val="8"/>
              <w:spacing w:before="62" w:line="289" w:lineRule="auto"/>
              <w:ind w:left="107" w:leftChars="0" w:right="14" w:rightChars="0" w:hanging="85" w:firstLineChars="0"/>
            </w:pPr>
            <w:r>
              <w:rPr>
                <w:spacing w:val="-2"/>
              </w:rPr>
              <w:t>金收支、管</w:t>
            </w:r>
            <w:r>
              <w:rPr>
                <w:spacing w:val="5"/>
              </w:rPr>
              <w:t>理和投资运营相关</w:t>
            </w:r>
            <w:r>
              <w:t>的资料</w:t>
            </w:r>
          </w:p>
        </w:tc>
        <w:tc>
          <w:tcPr>
            <w:tcW w:w="600" w:type="dxa"/>
            <w:vAlign w:val="top"/>
          </w:tcPr>
          <w:p>
            <w:pPr>
              <w:spacing w:line="257" w:lineRule="auto"/>
              <w:rPr>
                <w:rFonts w:ascii="Arial"/>
                <w:sz w:val="21"/>
              </w:rPr>
            </w:pPr>
          </w:p>
          <w:p>
            <w:pPr>
              <w:spacing w:line="258" w:lineRule="auto"/>
              <w:rPr>
                <w:rFonts w:ascii="Arial"/>
                <w:sz w:val="21"/>
              </w:rPr>
            </w:pPr>
          </w:p>
          <w:p>
            <w:pPr>
              <w:pStyle w:val="8"/>
              <w:spacing w:before="65" w:line="288" w:lineRule="auto"/>
              <w:ind w:left="31" w:leftChars="0" w:right="165" w:rightChars="0" w:hanging="5" w:firstLineChars="0"/>
            </w:pPr>
            <w:r>
              <w:rPr>
                <w:spacing w:val="1"/>
              </w:rPr>
              <w:t>行政</w:t>
            </w:r>
            <w:r>
              <w:rPr>
                <w:spacing w:val="-2"/>
              </w:rPr>
              <w:t>强制</w:t>
            </w:r>
          </w:p>
        </w:tc>
        <w:tc>
          <w:tcPr>
            <w:tcW w:w="5758" w:type="dxa"/>
            <w:vAlign w:val="top"/>
          </w:tcPr>
          <w:p>
            <w:pPr>
              <w:pStyle w:val="8"/>
              <w:spacing w:before="39" w:line="252" w:lineRule="auto"/>
              <w:ind w:left="25" w:leftChars="0" w:firstLine="415" w:firstLineChars="0"/>
              <w:jc w:val="both"/>
            </w:pPr>
            <w:r>
              <w:rPr>
                <w:spacing w:val="7"/>
              </w:rPr>
              <w:t>《中华人民共和国社会保险法》第七十九条第二款：“社会保险</w:t>
            </w:r>
            <w:r>
              <w:rPr>
                <w:color w:val="auto"/>
                <w:spacing w:val="7"/>
              </w:rPr>
              <w:t>行政部门</w:t>
            </w:r>
            <w:r>
              <w:rPr>
                <w:spacing w:val="7"/>
              </w:rPr>
              <w:t>对社会保险基金实施监督检查，有权采取下列</w:t>
            </w:r>
            <w:r>
              <w:rPr>
                <w:spacing w:val="5"/>
              </w:rPr>
              <w:t>措施：</w:t>
            </w:r>
            <w:r>
              <w:rPr>
                <w:spacing w:val="-40"/>
              </w:rPr>
              <w:t xml:space="preserve"> </w:t>
            </w:r>
            <w:r>
              <w:rPr>
                <w:spacing w:val="5"/>
              </w:rPr>
              <w:t>(一)查阅、记录、复制与社会保险基金收支、管理和投</w:t>
            </w:r>
            <w:r>
              <w:rPr>
                <w:spacing w:val="7"/>
              </w:rPr>
              <w:t>资运营相关的资料，对可能被转移、隐匿或者灭失的资料予以</w:t>
            </w:r>
            <w:r>
              <w:rPr>
                <w:spacing w:val="5"/>
              </w:rPr>
              <w:t>封存；</w:t>
            </w:r>
            <w:r>
              <w:rPr>
                <w:spacing w:val="-40"/>
              </w:rPr>
              <w:t xml:space="preserve"> </w:t>
            </w:r>
            <w:r>
              <w:rPr>
                <w:spacing w:val="5"/>
              </w:rPr>
              <w:t>(二)询问与调查事项有关的单位和个人，要求其对与调</w:t>
            </w:r>
            <w:r>
              <w:rPr>
                <w:spacing w:val="4"/>
              </w:rPr>
              <w:t>查事项有关的问题作出说明、提供有关证明材料；(三)对隐匿、转移、侵占、挪用社会保险基金的行为予以制止并责令改正。”</w:t>
            </w:r>
          </w:p>
        </w:tc>
        <w:tc>
          <w:tcPr>
            <w:tcW w:w="690" w:type="dxa"/>
            <w:vAlign w:val="top"/>
          </w:tcPr>
          <w:p>
            <w:pPr>
              <w:spacing w:line="360" w:lineRule="auto"/>
              <w:rPr>
                <w:rFonts w:ascii="Arial"/>
                <w:sz w:val="21"/>
              </w:rPr>
            </w:pPr>
          </w:p>
          <w:p>
            <w:pPr>
              <w:pStyle w:val="8"/>
              <w:spacing w:before="65" w:line="230" w:lineRule="auto"/>
              <w:ind w:left="41"/>
            </w:pPr>
            <w:r>
              <w:rPr>
                <w:spacing w:val="5"/>
              </w:rPr>
              <w:t>信阳市</w:t>
            </w:r>
          </w:p>
          <w:p>
            <w:pPr>
              <w:pStyle w:val="8"/>
              <w:spacing w:before="63" w:line="229" w:lineRule="auto"/>
              <w:ind w:left="59"/>
            </w:pPr>
            <w:r>
              <w:rPr>
                <w:rFonts w:hint="eastAsia"/>
                <w:spacing w:val="-1"/>
                <w:lang w:eastAsia="zh-CN"/>
              </w:rPr>
              <w:t>浉河区</w:t>
            </w:r>
            <w:r>
              <w:rPr>
                <w:spacing w:val="-1"/>
              </w:rPr>
              <w:t>医疗保</w:t>
            </w:r>
          </w:p>
          <w:p>
            <w:pPr>
              <w:pStyle w:val="8"/>
              <w:spacing w:before="63" w:line="230" w:lineRule="auto"/>
              <w:ind w:left="158" w:leftChars="0"/>
            </w:pPr>
            <w:r>
              <w:rPr>
                <w:spacing w:val="-4"/>
              </w:rPr>
              <w:t>障局</w:t>
            </w:r>
          </w:p>
        </w:tc>
        <w:tc>
          <w:tcPr>
            <w:tcW w:w="4483" w:type="dxa"/>
            <w:vAlign w:val="top"/>
          </w:tcPr>
          <w:p>
            <w:pPr>
              <w:pStyle w:val="8"/>
              <w:spacing w:before="53" w:line="231" w:lineRule="auto"/>
              <w:ind w:left="38"/>
            </w:pPr>
            <w:r>
              <w:rPr>
                <w:spacing w:val="12"/>
              </w:rPr>
              <w:t>1.决定:实施前须向行政机关负责人报告并经批</w:t>
            </w:r>
            <w:r>
              <w:rPr>
                <w:spacing w:val="8"/>
              </w:rPr>
              <w:t>准，作出行政强制措施决定。情况紧急，需要当</w:t>
            </w:r>
            <w:r>
              <w:rPr>
                <w:spacing w:val="5"/>
              </w:rPr>
              <w:t>场实施行政强制措施的，行政执法人员应当在</w:t>
            </w:r>
            <w:r>
              <w:rPr>
                <w:spacing w:val="-31"/>
              </w:rPr>
              <w:t xml:space="preserve"> </w:t>
            </w:r>
            <w:r>
              <w:rPr>
                <w:spacing w:val="5"/>
              </w:rPr>
              <w:t>24</w:t>
            </w:r>
            <w:r>
              <w:rPr>
                <w:spacing w:val="2"/>
              </w:rPr>
              <w:t>小时内向行政机关负责人报告，并补办批准手续。</w:t>
            </w:r>
            <w:r>
              <w:rPr>
                <w:spacing w:val="18"/>
              </w:rPr>
              <w:t>行政机关负责人认为不应当采取行政强制措施</w:t>
            </w:r>
            <w:r>
              <w:rPr>
                <w:spacing w:val="5"/>
              </w:rPr>
              <w:t>的，应当立即解除。</w:t>
            </w:r>
          </w:p>
          <w:p>
            <w:pPr>
              <w:pStyle w:val="8"/>
              <w:spacing w:before="65" w:line="281" w:lineRule="auto"/>
              <w:ind w:left="25" w:right="11" w:hanging="3"/>
            </w:pPr>
            <w:r>
              <w:rPr>
                <w:spacing w:val="10"/>
              </w:rPr>
              <w:t>2</w:t>
            </w:r>
            <w:r>
              <w:rPr>
                <w:spacing w:val="-26"/>
              </w:rPr>
              <w:t xml:space="preserve"> </w:t>
            </w:r>
            <w:r>
              <w:rPr>
                <w:spacing w:val="10"/>
              </w:rPr>
              <w:t>执行:</w:t>
            </w:r>
            <w:r>
              <w:rPr>
                <w:spacing w:val="-53"/>
              </w:rPr>
              <w:t xml:space="preserve"> </w:t>
            </w:r>
            <w:r>
              <w:rPr>
                <w:spacing w:val="10"/>
              </w:rPr>
              <w:t>由两名以上行政执法人员实施:出示执法</w:t>
            </w:r>
            <w:r>
              <w:rPr>
                <w:spacing w:val="6"/>
              </w:rPr>
              <w:t>身份证件；通知当事人到场:当场告知当事人采取</w:t>
            </w:r>
            <w:r>
              <w:rPr>
                <w:spacing w:val="11"/>
              </w:rPr>
              <w:t>行政强制措施的理由、依据以及当事人依法享有的权利、救济途径:听耳当事人的陈述和申</w:t>
            </w:r>
            <w:r>
              <w:rPr>
                <w:spacing w:val="10"/>
              </w:rPr>
              <w:t>辩:制</w:t>
            </w:r>
            <w:r>
              <w:rPr>
                <w:spacing w:val="11"/>
              </w:rPr>
              <w:t>作场笔录；现场笔录由当事人禾行政执法人员签</w:t>
            </w:r>
            <w:r>
              <w:rPr>
                <w:spacing w:val="9"/>
              </w:rPr>
              <w:t>名或者盖章当事人拒绝的，在笔录中予注明；</w:t>
            </w:r>
            <w:r>
              <w:rPr>
                <w:spacing w:val="-50"/>
              </w:rPr>
              <w:t xml:space="preserve"> </w:t>
            </w:r>
            <w:r>
              <w:rPr>
                <w:spacing w:val="9"/>
              </w:rPr>
              <w:t>当事人不到场的，邀请见证人到场，</w:t>
            </w:r>
            <w:r>
              <w:rPr>
                <w:spacing w:val="-48"/>
              </w:rPr>
              <w:t xml:space="preserve"> </w:t>
            </w:r>
            <w:r>
              <w:rPr>
                <w:spacing w:val="9"/>
              </w:rPr>
              <w:t>由见证人</w:t>
            </w:r>
            <w:r>
              <w:rPr>
                <w:spacing w:val="8"/>
              </w:rPr>
              <w:t>和行</w:t>
            </w:r>
            <w:r>
              <w:rPr>
                <w:spacing w:val="11"/>
              </w:rPr>
              <w:t>正执法人员在现场笔录上签名或者盖章，制作封</w:t>
            </w:r>
            <w:r>
              <w:rPr>
                <w:spacing w:val="6"/>
              </w:rPr>
              <w:t>存决定书和清单。</w:t>
            </w:r>
          </w:p>
          <w:p>
            <w:pPr>
              <w:pStyle w:val="8"/>
              <w:spacing w:before="64" w:line="260" w:lineRule="auto"/>
              <w:ind w:left="26" w:right="11" w:hanging="3"/>
            </w:pPr>
            <w:r>
              <w:rPr>
                <w:spacing w:val="6"/>
              </w:rPr>
              <w:t>3.处理:依法出具行政强制文书，并在规定时间内</w:t>
            </w:r>
            <w:r>
              <w:rPr>
                <w:spacing w:val="4"/>
              </w:rPr>
              <w:t>依法处理。</w:t>
            </w:r>
          </w:p>
          <w:p>
            <w:pPr>
              <w:pStyle w:val="8"/>
              <w:spacing w:before="60" w:line="231" w:lineRule="auto"/>
              <w:ind w:left="18"/>
            </w:pPr>
            <w:r>
              <w:rPr>
                <w:spacing w:val="8"/>
              </w:rPr>
              <w:t>4.事后监管:依法开展后续督管理。</w:t>
            </w:r>
          </w:p>
          <w:p>
            <w:pPr>
              <w:pStyle w:val="8"/>
              <w:spacing w:before="114" w:line="288" w:lineRule="auto"/>
              <w:ind w:left="25" w:leftChars="0" w:firstLine="8" w:firstLineChars="0"/>
              <w:jc w:val="both"/>
            </w:pPr>
            <w:r>
              <w:rPr>
                <w:spacing w:val="2"/>
              </w:rPr>
              <w:t>5.法律、法规、规章规定的他应履行的责任事项。</w:t>
            </w:r>
          </w:p>
        </w:tc>
        <w:tc>
          <w:tcPr>
            <w:tcW w:w="2022" w:type="dxa"/>
            <w:tcBorders>
              <w:right w:val="single" w:color="FFFFFF" w:sz="2" w:space="0"/>
            </w:tcBorders>
            <w:vAlign w:val="top"/>
          </w:tcPr>
          <w:p>
            <w:pPr>
              <w:pStyle w:val="8"/>
              <w:spacing w:before="58" w:line="249" w:lineRule="auto"/>
              <w:ind w:left="28" w:leftChars="0" w:right="13" w:rightChars="0"/>
              <w:jc w:val="both"/>
            </w:pPr>
            <w:r>
              <w:rPr>
                <w:spacing w:val="8"/>
              </w:rPr>
              <w:t>《中华人民共和国社会保险法》第九十三</w:t>
            </w:r>
            <w:r>
              <w:rPr>
                <w:spacing w:val="3"/>
              </w:rPr>
              <w:t>条</w:t>
            </w:r>
            <w:r>
              <w:rPr>
                <w:spacing w:val="25"/>
              </w:rPr>
              <w:t xml:space="preserve">  </w:t>
            </w:r>
            <w:r>
              <w:rPr>
                <w:spacing w:val="3"/>
              </w:rPr>
              <w:t>国家工作人员在</w:t>
            </w:r>
            <w:r>
              <w:rPr>
                <w:spacing w:val="8"/>
              </w:rPr>
              <w:t>社会保险管理、监督工作中滥用职权、玩</w:t>
            </w:r>
            <w:r>
              <w:rPr>
                <w:spacing w:val="7"/>
              </w:rPr>
              <w:t>忽职守、徇私舞弊的,</w:t>
            </w:r>
            <w:r>
              <w:rPr>
                <w:spacing w:val="6"/>
              </w:rPr>
              <w:t>依法给予处分。</w:t>
            </w:r>
          </w:p>
        </w:tc>
      </w:tr>
    </w:tbl>
    <w:p>
      <w:pPr>
        <w:spacing w:line="166" w:lineRule="exact"/>
        <w:rPr>
          <w:rFonts w:ascii="Arial"/>
          <w:sz w:val="14"/>
        </w:rPr>
      </w:pPr>
    </w:p>
    <w:p>
      <w:pPr>
        <w:spacing w:line="166" w:lineRule="exact"/>
        <w:rPr>
          <w:rFonts w:ascii="Arial" w:hAnsi="Arial" w:eastAsia="Arial" w:cs="Arial"/>
          <w:sz w:val="14"/>
          <w:szCs w:val="14"/>
        </w:rPr>
        <w:sectPr>
          <w:footerReference r:id="rId6" w:type="default"/>
          <w:pgSz w:w="16839" w:h="11906"/>
          <w:pgMar w:top="1012" w:right="1138" w:bottom="1163" w:left="700" w:header="0" w:footer="791" w:gutter="0"/>
          <w:pgNumType w:fmt="decimal"/>
          <w:cols w:space="720" w:num="1"/>
        </w:sectPr>
      </w:pPr>
    </w:p>
    <w:p>
      <w:pPr>
        <w:spacing w:line="95" w:lineRule="exact"/>
      </w:pPr>
    </w:p>
    <w:tbl>
      <w:tblPr>
        <w:tblStyle w:val="7"/>
        <w:tblW w:w="14994" w:type="dxa"/>
        <w:tblInd w:w="2" w:type="dxa"/>
        <w:tblBorders>
          <w:top w:val="single" w:color="FBDFE4" w:sz="2" w:space="0"/>
          <w:left w:val="single" w:color="FBDFE4" w:sz="2" w:space="0"/>
          <w:bottom w:val="single" w:color="FBDFE4" w:sz="2" w:space="0"/>
          <w:right w:val="single" w:color="FBDFE4" w:sz="2" w:space="0"/>
          <w:insideH w:val="single" w:color="FBDFE4" w:sz="2" w:space="0"/>
          <w:insideV w:val="single" w:color="FBDFE4" w:sz="2" w:space="0"/>
        </w:tblBorders>
        <w:tblLayout w:type="fixed"/>
        <w:tblCellMar>
          <w:top w:w="0" w:type="dxa"/>
          <w:left w:w="0" w:type="dxa"/>
          <w:bottom w:w="0" w:type="dxa"/>
          <w:right w:w="0" w:type="dxa"/>
        </w:tblCellMar>
      </w:tblPr>
      <w:tblGrid>
        <w:gridCol w:w="407"/>
        <w:gridCol w:w="1034"/>
        <w:gridCol w:w="600"/>
        <w:gridCol w:w="5758"/>
        <w:gridCol w:w="690"/>
        <w:gridCol w:w="4483"/>
        <w:gridCol w:w="2022"/>
      </w:tblGrid>
      <w:tr>
        <w:tblPrEx>
          <w:tblBorders>
            <w:top w:val="single" w:color="FBDFE4" w:sz="2" w:space="0"/>
            <w:left w:val="single" w:color="FBDFE4" w:sz="2" w:space="0"/>
            <w:bottom w:val="single" w:color="FBDFE4" w:sz="2" w:space="0"/>
            <w:right w:val="single" w:color="FBDFE4" w:sz="2" w:space="0"/>
            <w:insideH w:val="single" w:color="FBDFE4" w:sz="2" w:space="0"/>
            <w:insideV w:val="single" w:color="FBDFE4" w:sz="2" w:space="0"/>
          </w:tblBorders>
          <w:tblCellMar>
            <w:top w:w="0" w:type="dxa"/>
            <w:left w:w="0" w:type="dxa"/>
            <w:bottom w:w="0" w:type="dxa"/>
            <w:right w:w="0" w:type="dxa"/>
          </w:tblCellMar>
        </w:tblPrEx>
        <w:trPr>
          <w:trHeight w:val="659" w:hRule="atLeast"/>
        </w:trPr>
        <w:tc>
          <w:tcPr>
            <w:tcW w:w="407" w:type="dxa"/>
            <w:tcBorders>
              <w:top w:val="single" w:color="EC6881" w:sz="2" w:space="0"/>
              <w:left w:val="single" w:color="FFFFFF" w:sz="2" w:space="0"/>
              <w:bottom w:val="single" w:color="EC6881" w:sz="2" w:space="0"/>
            </w:tcBorders>
            <w:textDirection w:val="tbRlV"/>
            <w:vAlign w:val="top"/>
          </w:tcPr>
          <w:p>
            <w:pPr>
              <w:spacing w:before="81" w:line="209" w:lineRule="auto"/>
              <w:ind w:left="54"/>
              <w:rPr>
                <w:rFonts w:ascii="SimHei" w:hAnsi="SimHei" w:eastAsia="SimHei" w:cs="SimHei"/>
                <w:sz w:val="24"/>
                <w:szCs w:val="24"/>
              </w:rPr>
            </w:pPr>
            <w:r>
              <w:rPr>
                <w:rFonts w:ascii="SimHei" w:hAnsi="SimHei" w:eastAsia="SimHei" w:cs="SimHei"/>
                <w:spacing w:val="37"/>
                <w:sz w:val="24"/>
                <w:szCs w:val="24"/>
              </w:rPr>
              <w:t>序号</w:t>
            </w:r>
          </w:p>
        </w:tc>
        <w:tc>
          <w:tcPr>
            <w:tcW w:w="1034" w:type="dxa"/>
            <w:tcBorders>
              <w:top w:val="single" w:color="EC6881" w:sz="2" w:space="0"/>
              <w:bottom w:val="single" w:color="EC6881" w:sz="2" w:space="0"/>
            </w:tcBorders>
            <w:vAlign w:val="top"/>
          </w:tcPr>
          <w:p>
            <w:pPr>
              <w:spacing w:before="210" w:line="222" w:lineRule="auto"/>
              <w:ind w:left="41"/>
              <w:rPr>
                <w:rFonts w:ascii="SimHei" w:hAnsi="SimHei" w:eastAsia="SimHei" w:cs="SimHei"/>
                <w:sz w:val="24"/>
                <w:szCs w:val="24"/>
              </w:rPr>
            </w:pPr>
            <w:r>
              <w:rPr>
                <w:rFonts w:ascii="SimHei" w:hAnsi="SimHei" w:eastAsia="SimHei" w:cs="SimHei"/>
                <w:spacing w:val="-3"/>
                <w:sz w:val="24"/>
                <w:szCs w:val="24"/>
              </w:rPr>
              <w:t>项目名称</w:t>
            </w:r>
          </w:p>
        </w:tc>
        <w:tc>
          <w:tcPr>
            <w:tcW w:w="600" w:type="dxa"/>
            <w:tcBorders>
              <w:top w:val="single" w:color="EC6881" w:sz="2" w:space="0"/>
              <w:bottom w:val="single" w:color="EC6881" w:sz="2" w:space="0"/>
            </w:tcBorders>
            <w:vAlign w:val="top"/>
          </w:tcPr>
          <w:p>
            <w:pPr>
              <w:spacing w:before="54" w:line="224" w:lineRule="auto"/>
              <w:ind w:left="63"/>
              <w:rPr>
                <w:rFonts w:ascii="SimHei" w:hAnsi="SimHei" w:eastAsia="SimHei" w:cs="SimHei"/>
                <w:sz w:val="24"/>
                <w:szCs w:val="24"/>
              </w:rPr>
            </w:pPr>
            <w:r>
              <w:rPr>
                <w:rFonts w:ascii="SimHei" w:hAnsi="SimHei" w:eastAsia="SimHei" w:cs="SimHei"/>
                <w:spacing w:val="-5"/>
                <w:sz w:val="24"/>
                <w:szCs w:val="24"/>
              </w:rPr>
              <w:t>职权</w:t>
            </w:r>
          </w:p>
          <w:p>
            <w:pPr>
              <w:spacing w:before="21" w:line="217" w:lineRule="auto"/>
              <w:ind w:left="72"/>
              <w:rPr>
                <w:rFonts w:ascii="SimHei" w:hAnsi="SimHei" w:eastAsia="SimHei" w:cs="SimHei"/>
                <w:sz w:val="24"/>
                <w:szCs w:val="24"/>
              </w:rPr>
            </w:pPr>
            <w:r>
              <w:rPr>
                <w:rFonts w:ascii="SimHei" w:hAnsi="SimHei" w:eastAsia="SimHei" w:cs="SimHei"/>
                <w:spacing w:val="-9"/>
                <w:sz w:val="24"/>
                <w:szCs w:val="24"/>
              </w:rPr>
              <w:t>类别</w:t>
            </w:r>
          </w:p>
        </w:tc>
        <w:tc>
          <w:tcPr>
            <w:tcW w:w="5758" w:type="dxa"/>
            <w:tcBorders>
              <w:top w:val="single" w:color="EC6881" w:sz="2" w:space="0"/>
              <w:bottom w:val="single" w:color="EC6881" w:sz="2" w:space="0"/>
            </w:tcBorders>
            <w:vAlign w:val="top"/>
          </w:tcPr>
          <w:p>
            <w:pPr>
              <w:spacing w:before="210" w:line="222" w:lineRule="auto"/>
              <w:ind w:left="2404"/>
              <w:rPr>
                <w:rFonts w:ascii="SimHei" w:hAnsi="SimHei" w:eastAsia="SimHei" w:cs="SimHei"/>
                <w:sz w:val="24"/>
                <w:szCs w:val="24"/>
              </w:rPr>
            </w:pPr>
            <w:r>
              <w:rPr>
                <w:rFonts w:ascii="SimHei" w:hAnsi="SimHei" w:eastAsia="SimHei" w:cs="SimHei"/>
                <w:spacing w:val="-3"/>
                <w:sz w:val="24"/>
                <w:szCs w:val="24"/>
              </w:rPr>
              <w:t>设定依据</w:t>
            </w:r>
          </w:p>
        </w:tc>
        <w:tc>
          <w:tcPr>
            <w:tcW w:w="690" w:type="dxa"/>
            <w:tcBorders>
              <w:top w:val="single" w:color="EC6881" w:sz="2" w:space="0"/>
              <w:bottom w:val="single" w:color="EC6881" w:sz="2" w:space="0"/>
            </w:tcBorders>
            <w:vAlign w:val="top"/>
          </w:tcPr>
          <w:p>
            <w:pPr>
              <w:spacing w:before="54" w:line="222" w:lineRule="auto"/>
              <w:ind w:left="118"/>
              <w:rPr>
                <w:rFonts w:ascii="SimHei" w:hAnsi="SimHei" w:eastAsia="SimHei" w:cs="SimHei"/>
                <w:sz w:val="24"/>
                <w:szCs w:val="24"/>
              </w:rPr>
            </w:pPr>
            <w:r>
              <w:rPr>
                <w:rFonts w:ascii="SimHei" w:hAnsi="SimHei" w:eastAsia="SimHei" w:cs="SimHei"/>
                <w:spacing w:val="-8"/>
                <w:sz w:val="24"/>
                <w:szCs w:val="24"/>
              </w:rPr>
              <w:t>实施</w:t>
            </w:r>
          </w:p>
          <w:p>
            <w:pPr>
              <w:spacing w:before="24" w:line="217" w:lineRule="auto"/>
              <w:ind w:left="115"/>
              <w:rPr>
                <w:rFonts w:ascii="SimHei" w:hAnsi="SimHei" w:eastAsia="SimHei" w:cs="SimHei"/>
                <w:sz w:val="24"/>
                <w:szCs w:val="24"/>
              </w:rPr>
            </w:pPr>
            <w:r>
              <w:rPr>
                <w:rFonts w:ascii="SimHei" w:hAnsi="SimHei" w:eastAsia="SimHei" w:cs="SimHei"/>
                <w:spacing w:val="-7"/>
                <w:sz w:val="24"/>
                <w:szCs w:val="24"/>
              </w:rPr>
              <w:t>主体</w:t>
            </w:r>
          </w:p>
        </w:tc>
        <w:tc>
          <w:tcPr>
            <w:tcW w:w="4483" w:type="dxa"/>
            <w:tcBorders>
              <w:top w:val="single" w:color="EC6881" w:sz="2" w:space="0"/>
              <w:bottom w:val="single" w:color="EC6881" w:sz="2" w:space="0"/>
            </w:tcBorders>
            <w:vAlign w:val="top"/>
          </w:tcPr>
          <w:p>
            <w:pPr>
              <w:spacing w:before="210" w:line="221" w:lineRule="auto"/>
              <w:ind w:left="1767"/>
              <w:rPr>
                <w:rFonts w:ascii="SimHei" w:hAnsi="SimHei" w:eastAsia="SimHei" w:cs="SimHei"/>
                <w:sz w:val="24"/>
                <w:szCs w:val="24"/>
              </w:rPr>
            </w:pPr>
            <w:r>
              <w:rPr>
                <w:rFonts w:ascii="SimHei" w:hAnsi="SimHei" w:eastAsia="SimHei" w:cs="SimHei"/>
                <w:spacing w:val="-3"/>
                <w:sz w:val="24"/>
                <w:szCs w:val="24"/>
              </w:rPr>
              <w:t>履职方式</w:t>
            </w:r>
          </w:p>
        </w:tc>
        <w:tc>
          <w:tcPr>
            <w:tcW w:w="2022" w:type="dxa"/>
            <w:tcBorders>
              <w:top w:val="single" w:color="EC6881" w:sz="2" w:space="0"/>
              <w:bottom w:val="single" w:color="EC6881" w:sz="2" w:space="0"/>
              <w:right w:val="single" w:color="FFFFFF" w:sz="2" w:space="0"/>
            </w:tcBorders>
            <w:vAlign w:val="top"/>
          </w:tcPr>
          <w:p>
            <w:pPr>
              <w:spacing w:before="210" w:line="221" w:lineRule="auto"/>
              <w:ind w:left="536"/>
              <w:rPr>
                <w:rFonts w:ascii="SimHei" w:hAnsi="SimHei" w:eastAsia="SimHei" w:cs="SimHei"/>
                <w:sz w:val="24"/>
                <w:szCs w:val="24"/>
              </w:rPr>
            </w:pPr>
            <w:r>
              <w:rPr>
                <w:rFonts w:ascii="SimHei" w:hAnsi="SimHei" w:eastAsia="SimHei" w:cs="SimHei"/>
                <w:spacing w:val="-3"/>
                <w:sz w:val="24"/>
                <w:szCs w:val="24"/>
              </w:rPr>
              <w:t>追责方式</w:t>
            </w:r>
          </w:p>
        </w:tc>
      </w:tr>
      <w:tr>
        <w:tblPrEx>
          <w:tblBorders>
            <w:top w:val="single" w:color="FBDFE4" w:sz="2" w:space="0"/>
            <w:left w:val="single" w:color="FBDFE4" w:sz="2" w:space="0"/>
            <w:bottom w:val="single" w:color="FBDFE4" w:sz="2" w:space="0"/>
            <w:right w:val="single" w:color="FBDFE4" w:sz="2" w:space="0"/>
            <w:insideH w:val="single" w:color="FBDFE4" w:sz="2" w:space="0"/>
            <w:insideV w:val="single" w:color="FBDFE4" w:sz="2" w:space="0"/>
          </w:tblBorders>
          <w:tblCellMar>
            <w:top w:w="0" w:type="dxa"/>
            <w:left w:w="0" w:type="dxa"/>
            <w:bottom w:w="0" w:type="dxa"/>
            <w:right w:w="0" w:type="dxa"/>
          </w:tblCellMar>
        </w:tblPrEx>
        <w:trPr>
          <w:trHeight w:val="8410" w:hRule="atLeast"/>
        </w:trPr>
        <w:tc>
          <w:tcPr>
            <w:tcW w:w="407" w:type="dxa"/>
            <w:tcBorders>
              <w:left w:val="single" w:color="FFFFFF" w:sz="2" w:space="0"/>
            </w:tcBorders>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8"/>
              <w:spacing w:before="65" w:line="270" w:lineRule="exact"/>
              <w:ind w:left="158" w:leftChars="0"/>
            </w:pPr>
            <w:r>
              <w:rPr>
                <w:position w:val="2"/>
              </w:rPr>
              <w:t>5</w:t>
            </w:r>
          </w:p>
        </w:tc>
        <w:tc>
          <w:tcPr>
            <w:tcW w:w="1034"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pStyle w:val="8"/>
              <w:spacing w:before="65" w:line="288" w:lineRule="auto"/>
              <w:ind w:left="110" w:leftChars="0" w:right="98" w:rightChars="0" w:hanging="4" w:firstLineChars="0"/>
              <w:jc w:val="both"/>
            </w:pPr>
            <w:r>
              <w:rPr>
                <w:spacing w:val="5"/>
              </w:rPr>
              <w:t>社会保险</w:t>
            </w:r>
            <w:r>
              <w:rPr>
                <w:spacing w:val="4"/>
              </w:rPr>
              <w:t>（医疗保障）登记</w:t>
            </w:r>
          </w:p>
        </w:tc>
        <w:tc>
          <w:tcPr>
            <w:tcW w:w="600"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8"/>
              <w:spacing w:before="65" w:line="288" w:lineRule="auto"/>
              <w:ind w:left="24" w:leftChars="0" w:right="165" w:rightChars="0" w:firstLine="2" w:firstLineChars="0"/>
            </w:pPr>
            <w:r>
              <w:rPr>
                <w:spacing w:val="1"/>
              </w:rPr>
              <w:t>其他</w:t>
            </w:r>
            <w:r>
              <w:rPr>
                <w:spacing w:val="2"/>
              </w:rPr>
              <w:t>职权</w:t>
            </w:r>
          </w:p>
        </w:tc>
        <w:tc>
          <w:tcPr>
            <w:tcW w:w="5758" w:type="dxa"/>
            <w:vAlign w:val="top"/>
          </w:tcPr>
          <w:p>
            <w:pPr>
              <w:spacing w:line="262" w:lineRule="auto"/>
              <w:rPr>
                <w:rFonts w:ascii="Arial"/>
                <w:sz w:val="21"/>
              </w:rPr>
            </w:pPr>
          </w:p>
          <w:p>
            <w:pPr>
              <w:spacing w:line="262" w:lineRule="auto"/>
              <w:rPr>
                <w:rFonts w:ascii="Arial"/>
                <w:sz w:val="21"/>
              </w:rPr>
            </w:pPr>
          </w:p>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8"/>
              <w:spacing w:before="65" w:line="250" w:lineRule="auto"/>
              <w:ind w:left="25" w:leftChars="0" w:right="75" w:rightChars="0" w:firstLine="419" w:firstLineChars="0"/>
            </w:pPr>
            <w:r>
              <w:rPr>
                <w:spacing w:val="8"/>
              </w:rPr>
              <w:t>《中华人民共和国社会保险法》第八条：</w:t>
            </w:r>
            <w:r>
              <w:rPr>
                <w:spacing w:val="-68"/>
              </w:rPr>
              <w:t xml:space="preserve"> </w:t>
            </w:r>
            <w:r>
              <w:rPr>
                <w:spacing w:val="8"/>
              </w:rPr>
              <w:t>“社会保险经办</w:t>
            </w:r>
            <w:r>
              <w:rPr>
                <w:spacing w:val="9"/>
              </w:rPr>
              <w:t>机构提供社会保险服务，负责社会保险登记、个人权益记录、</w:t>
            </w:r>
            <w:r>
              <w:rPr>
                <w:spacing w:val="13"/>
              </w:rPr>
              <w:t>社会保险待遇支付等工作。</w:t>
            </w:r>
            <w:r>
              <w:rPr>
                <w:spacing w:val="-55"/>
              </w:rPr>
              <w:t xml:space="preserve"> </w:t>
            </w:r>
            <w:r>
              <w:rPr>
                <w:spacing w:val="13"/>
              </w:rPr>
              <w:t>”</w:t>
            </w:r>
          </w:p>
        </w:tc>
        <w:tc>
          <w:tcPr>
            <w:tcW w:w="690" w:type="dxa"/>
            <w:vAlign w:val="top"/>
          </w:tcPr>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line="257" w:lineRule="auto"/>
              <w:rPr>
                <w:rFonts w:ascii="Arial"/>
                <w:sz w:val="21"/>
              </w:rPr>
            </w:pPr>
          </w:p>
          <w:p>
            <w:pPr>
              <w:pStyle w:val="8"/>
              <w:spacing w:before="65" w:line="230" w:lineRule="auto"/>
              <w:ind w:left="41"/>
            </w:pPr>
            <w:r>
              <w:rPr>
                <w:spacing w:val="5"/>
              </w:rPr>
              <w:t>信阳市</w:t>
            </w:r>
          </w:p>
          <w:p>
            <w:pPr>
              <w:pStyle w:val="8"/>
              <w:spacing w:before="63" w:line="229" w:lineRule="auto"/>
              <w:ind w:left="59"/>
            </w:pPr>
            <w:r>
              <w:rPr>
                <w:rFonts w:hint="eastAsia"/>
                <w:spacing w:val="-1"/>
                <w:lang w:eastAsia="zh-CN"/>
              </w:rPr>
              <w:t>浉河区</w:t>
            </w:r>
            <w:r>
              <w:rPr>
                <w:spacing w:val="-1"/>
              </w:rPr>
              <w:t>医疗保</w:t>
            </w:r>
          </w:p>
          <w:p>
            <w:pPr>
              <w:pStyle w:val="8"/>
              <w:spacing w:before="63" w:line="230" w:lineRule="auto"/>
              <w:ind w:left="158" w:leftChars="0"/>
            </w:pPr>
            <w:r>
              <w:rPr>
                <w:spacing w:val="-4"/>
              </w:rPr>
              <w:t>障局</w:t>
            </w:r>
          </w:p>
        </w:tc>
        <w:tc>
          <w:tcPr>
            <w:tcW w:w="4483" w:type="dxa"/>
            <w:vAlign w:val="top"/>
          </w:tcPr>
          <w:p>
            <w:pPr>
              <w:spacing w:line="303" w:lineRule="auto"/>
              <w:rPr>
                <w:rFonts w:ascii="Arial"/>
                <w:sz w:val="21"/>
              </w:rPr>
            </w:pPr>
          </w:p>
          <w:p>
            <w:pPr>
              <w:spacing w:line="304" w:lineRule="auto"/>
              <w:rPr>
                <w:rFonts w:ascii="Arial"/>
                <w:sz w:val="21"/>
              </w:rPr>
            </w:pPr>
          </w:p>
          <w:p>
            <w:pPr>
              <w:pStyle w:val="8"/>
              <w:spacing w:before="65" w:line="259" w:lineRule="auto"/>
              <w:ind w:left="27" w:right="11" w:firstLine="7"/>
            </w:pPr>
            <w:r>
              <w:rPr>
                <w:spacing w:val="6"/>
              </w:rPr>
              <w:t>1、申请：用人单位及个人根据登记需要，通</w:t>
            </w:r>
            <w:r>
              <w:rPr>
                <w:spacing w:val="5"/>
              </w:rPr>
              <w:t>过线</w:t>
            </w:r>
            <w:r>
              <w:rPr>
                <w:spacing w:val="8"/>
              </w:rPr>
              <w:t>上和线下两种方式提交登记事项登记事项。</w:t>
            </w:r>
          </w:p>
          <w:p>
            <w:pPr>
              <w:pStyle w:val="8"/>
              <w:spacing w:before="64" w:line="268" w:lineRule="auto"/>
              <w:ind w:left="25" w:right="11" w:hanging="3"/>
            </w:pPr>
            <w:r>
              <w:rPr>
                <w:spacing w:val="6"/>
              </w:rPr>
              <w:t>2、受理：用人单位及个人通过线上提交的登记材</w:t>
            </w:r>
            <w:r>
              <w:rPr>
                <w:spacing w:val="9"/>
              </w:rPr>
              <w:t>料，</w:t>
            </w:r>
            <w:r>
              <w:rPr>
                <w:spacing w:val="-49"/>
              </w:rPr>
              <w:t xml:space="preserve"> </w:t>
            </w:r>
            <w:r>
              <w:rPr>
                <w:spacing w:val="9"/>
              </w:rPr>
              <w:t>网厅平台自动审核通过；通过线下窗口提交</w:t>
            </w:r>
            <w:r>
              <w:rPr>
                <w:spacing w:val="4"/>
              </w:rPr>
              <w:t>登记材料。</w:t>
            </w:r>
          </w:p>
          <w:p>
            <w:pPr>
              <w:pStyle w:val="8"/>
              <w:spacing w:before="65" w:line="259" w:lineRule="auto"/>
              <w:ind w:left="26" w:right="11" w:hanging="3"/>
            </w:pPr>
            <w:r>
              <w:rPr>
                <w:spacing w:val="6"/>
              </w:rPr>
              <w:t>3、办理：社会保险经办机构根据用人单位及个人</w:t>
            </w:r>
            <w:r>
              <w:rPr>
                <w:spacing w:val="8"/>
              </w:rPr>
              <w:t>提交的登记、变更登记、注销登记等。</w:t>
            </w:r>
          </w:p>
          <w:p>
            <w:pPr>
              <w:pStyle w:val="8"/>
              <w:spacing w:before="62" w:line="258" w:lineRule="auto"/>
              <w:ind w:left="26" w:leftChars="0" w:right="13" w:rightChars="0" w:hanging="8" w:firstLineChars="0"/>
            </w:pPr>
            <w:r>
              <w:rPr>
                <w:spacing w:val="6"/>
              </w:rPr>
              <w:t>4、记录和管理社会保险个人权益记录、社会保险待遇支付等工作。</w:t>
            </w:r>
          </w:p>
        </w:tc>
        <w:tc>
          <w:tcPr>
            <w:tcW w:w="2022" w:type="dxa"/>
            <w:tcBorders>
              <w:right w:val="single" w:color="FFFFFF" w:sz="2" w:space="0"/>
            </w:tcBorders>
            <w:vAlign w:val="top"/>
          </w:tcPr>
          <w:p>
            <w:pPr>
              <w:pStyle w:val="8"/>
              <w:spacing w:before="159" w:line="251" w:lineRule="auto"/>
              <w:ind w:left="27" w:leftChars="0" w:right="113" w:rightChars="0"/>
              <w:jc w:val="both"/>
            </w:pPr>
            <w:r>
              <w:rPr>
                <w:spacing w:val="8"/>
              </w:rPr>
              <w:t>《中华人民共和国社会保险法》第九十二</w:t>
            </w:r>
            <w:r>
              <w:rPr>
                <w:spacing w:val="6"/>
              </w:rPr>
              <w:t>条</w:t>
            </w:r>
            <w:r>
              <w:rPr>
                <w:spacing w:val="13"/>
              </w:rPr>
              <w:t xml:space="preserve">  </w:t>
            </w:r>
            <w:r>
              <w:rPr>
                <w:spacing w:val="6"/>
              </w:rPr>
              <w:t>社会保险行政部</w:t>
            </w:r>
            <w:r>
              <w:rPr>
                <w:spacing w:val="8"/>
              </w:rPr>
              <w:t>门和其他有关行政部门、社会保险经办机构、社会保险费征收机构及其工作人员泄露用人单位和个人信</w:t>
            </w:r>
            <w:r>
              <w:rPr>
                <w:spacing w:val="7"/>
              </w:rPr>
              <w:t>息的,对直接负责的</w:t>
            </w:r>
            <w:r>
              <w:rPr>
                <w:spacing w:val="8"/>
              </w:rPr>
              <w:t>主管人员和其他直接责任人员依法给予处分；给用人单位或者</w:t>
            </w:r>
            <w:r>
              <w:rPr>
                <w:spacing w:val="7"/>
              </w:rPr>
              <w:t>个人造成损失的,应</w:t>
            </w:r>
            <w:r>
              <w:rPr>
                <w:spacing w:val="6"/>
              </w:rPr>
              <w:t>当承担赔偿责任。</w:t>
            </w:r>
          </w:p>
        </w:tc>
      </w:tr>
    </w:tbl>
    <w:p>
      <w:pPr>
        <w:pStyle w:val="2"/>
        <w:rPr>
          <w:sz w:val="21"/>
        </w:rPr>
      </w:pPr>
    </w:p>
    <w:p>
      <w:pPr>
        <w:rPr>
          <w:sz w:val="21"/>
          <w:szCs w:val="21"/>
        </w:rPr>
        <w:sectPr>
          <w:footerReference r:id="rId7" w:type="default"/>
          <w:pgSz w:w="16839" w:h="11906"/>
          <w:pgMar w:top="1012" w:right="1138" w:bottom="1163" w:left="700" w:header="0" w:footer="794" w:gutter="0"/>
          <w:pgNumType w:fmt="decimal"/>
          <w:cols w:space="720" w:num="1"/>
        </w:sectPr>
      </w:pPr>
    </w:p>
    <w:p>
      <w:pPr>
        <w:spacing w:line="95" w:lineRule="exact"/>
      </w:pPr>
    </w:p>
    <w:tbl>
      <w:tblPr>
        <w:tblStyle w:val="7"/>
        <w:tblW w:w="14994" w:type="dxa"/>
        <w:tblInd w:w="2" w:type="dxa"/>
        <w:tblBorders>
          <w:top w:val="single" w:color="FBDFE4" w:sz="2" w:space="0"/>
          <w:left w:val="single" w:color="FBDFE4" w:sz="2" w:space="0"/>
          <w:bottom w:val="single" w:color="FBDFE4" w:sz="2" w:space="0"/>
          <w:right w:val="single" w:color="FBDFE4" w:sz="2" w:space="0"/>
          <w:insideH w:val="single" w:color="FBDFE4" w:sz="2" w:space="0"/>
          <w:insideV w:val="single" w:color="FBDFE4" w:sz="2" w:space="0"/>
        </w:tblBorders>
        <w:tblLayout w:type="fixed"/>
        <w:tblCellMar>
          <w:top w:w="0" w:type="dxa"/>
          <w:left w:w="0" w:type="dxa"/>
          <w:bottom w:w="0" w:type="dxa"/>
          <w:right w:w="0" w:type="dxa"/>
        </w:tblCellMar>
      </w:tblPr>
      <w:tblGrid>
        <w:gridCol w:w="407"/>
        <w:gridCol w:w="1034"/>
        <w:gridCol w:w="600"/>
        <w:gridCol w:w="5758"/>
        <w:gridCol w:w="690"/>
        <w:gridCol w:w="4483"/>
        <w:gridCol w:w="2022"/>
      </w:tblGrid>
      <w:tr>
        <w:tblPrEx>
          <w:tblBorders>
            <w:top w:val="single" w:color="FBDFE4" w:sz="2" w:space="0"/>
            <w:left w:val="single" w:color="FBDFE4" w:sz="2" w:space="0"/>
            <w:bottom w:val="single" w:color="FBDFE4" w:sz="2" w:space="0"/>
            <w:right w:val="single" w:color="FBDFE4" w:sz="2" w:space="0"/>
            <w:insideH w:val="single" w:color="FBDFE4" w:sz="2" w:space="0"/>
            <w:insideV w:val="single" w:color="FBDFE4" w:sz="2" w:space="0"/>
          </w:tblBorders>
          <w:tblCellMar>
            <w:top w:w="0" w:type="dxa"/>
            <w:left w:w="0" w:type="dxa"/>
            <w:bottom w:w="0" w:type="dxa"/>
            <w:right w:w="0" w:type="dxa"/>
          </w:tblCellMar>
        </w:tblPrEx>
        <w:trPr>
          <w:trHeight w:val="659" w:hRule="atLeast"/>
        </w:trPr>
        <w:tc>
          <w:tcPr>
            <w:tcW w:w="407" w:type="dxa"/>
            <w:tcBorders>
              <w:top w:val="single" w:color="EC6881" w:sz="2" w:space="0"/>
              <w:left w:val="single" w:color="FFFFFF" w:sz="2" w:space="0"/>
              <w:bottom w:val="single" w:color="EC6881" w:sz="2" w:space="0"/>
            </w:tcBorders>
            <w:textDirection w:val="tbRlV"/>
            <w:vAlign w:val="top"/>
          </w:tcPr>
          <w:p>
            <w:pPr>
              <w:spacing w:before="81" w:line="209" w:lineRule="auto"/>
              <w:ind w:left="54"/>
              <w:rPr>
                <w:rFonts w:ascii="SimHei" w:hAnsi="SimHei" w:eastAsia="SimHei" w:cs="SimHei"/>
                <w:sz w:val="24"/>
                <w:szCs w:val="24"/>
              </w:rPr>
            </w:pPr>
            <w:r>
              <w:rPr>
                <w:rFonts w:ascii="SimHei" w:hAnsi="SimHei" w:eastAsia="SimHei" w:cs="SimHei"/>
                <w:spacing w:val="37"/>
                <w:sz w:val="24"/>
                <w:szCs w:val="24"/>
              </w:rPr>
              <w:t>序号</w:t>
            </w:r>
          </w:p>
        </w:tc>
        <w:tc>
          <w:tcPr>
            <w:tcW w:w="1034" w:type="dxa"/>
            <w:tcBorders>
              <w:top w:val="single" w:color="EC6881" w:sz="2" w:space="0"/>
              <w:bottom w:val="single" w:color="EC6881" w:sz="2" w:space="0"/>
            </w:tcBorders>
            <w:vAlign w:val="top"/>
          </w:tcPr>
          <w:p>
            <w:pPr>
              <w:spacing w:before="210" w:line="222" w:lineRule="auto"/>
              <w:ind w:left="41"/>
              <w:rPr>
                <w:rFonts w:ascii="SimHei" w:hAnsi="SimHei" w:eastAsia="SimHei" w:cs="SimHei"/>
                <w:sz w:val="24"/>
                <w:szCs w:val="24"/>
              </w:rPr>
            </w:pPr>
            <w:r>
              <w:rPr>
                <w:rFonts w:ascii="SimHei" w:hAnsi="SimHei" w:eastAsia="SimHei" w:cs="SimHei"/>
                <w:spacing w:val="-3"/>
                <w:sz w:val="24"/>
                <w:szCs w:val="24"/>
              </w:rPr>
              <w:t>项目名称</w:t>
            </w:r>
          </w:p>
        </w:tc>
        <w:tc>
          <w:tcPr>
            <w:tcW w:w="600" w:type="dxa"/>
            <w:tcBorders>
              <w:top w:val="single" w:color="EC6881" w:sz="2" w:space="0"/>
              <w:bottom w:val="single" w:color="EC6881" w:sz="2" w:space="0"/>
            </w:tcBorders>
            <w:vAlign w:val="top"/>
          </w:tcPr>
          <w:p>
            <w:pPr>
              <w:spacing w:before="54" w:line="224" w:lineRule="auto"/>
              <w:ind w:left="63"/>
              <w:rPr>
                <w:rFonts w:ascii="SimHei" w:hAnsi="SimHei" w:eastAsia="SimHei" w:cs="SimHei"/>
                <w:sz w:val="24"/>
                <w:szCs w:val="24"/>
              </w:rPr>
            </w:pPr>
            <w:r>
              <w:rPr>
                <w:rFonts w:ascii="SimHei" w:hAnsi="SimHei" w:eastAsia="SimHei" w:cs="SimHei"/>
                <w:spacing w:val="-5"/>
                <w:sz w:val="24"/>
                <w:szCs w:val="24"/>
              </w:rPr>
              <w:t>职权</w:t>
            </w:r>
          </w:p>
          <w:p>
            <w:pPr>
              <w:spacing w:before="21" w:line="217" w:lineRule="auto"/>
              <w:ind w:left="72"/>
              <w:rPr>
                <w:rFonts w:ascii="SimHei" w:hAnsi="SimHei" w:eastAsia="SimHei" w:cs="SimHei"/>
                <w:sz w:val="24"/>
                <w:szCs w:val="24"/>
              </w:rPr>
            </w:pPr>
            <w:r>
              <w:rPr>
                <w:rFonts w:ascii="SimHei" w:hAnsi="SimHei" w:eastAsia="SimHei" w:cs="SimHei"/>
                <w:spacing w:val="-9"/>
                <w:sz w:val="24"/>
                <w:szCs w:val="24"/>
              </w:rPr>
              <w:t>类别</w:t>
            </w:r>
          </w:p>
        </w:tc>
        <w:tc>
          <w:tcPr>
            <w:tcW w:w="5758" w:type="dxa"/>
            <w:tcBorders>
              <w:top w:val="single" w:color="EC6881" w:sz="2" w:space="0"/>
              <w:bottom w:val="single" w:color="EC6881" w:sz="2" w:space="0"/>
            </w:tcBorders>
            <w:vAlign w:val="top"/>
          </w:tcPr>
          <w:p>
            <w:pPr>
              <w:spacing w:before="210" w:line="222" w:lineRule="auto"/>
              <w:ind w:left="2404"/>
              <w:rPr>
                <w:rFonts w:ascii="SimHei" w:hAnsi="SimHei" w:eastAsia="SimHei" w:cs="SimHei"/>
                <w:sz w:val="24"/>
                <w:szCs w:val="24"/>
              </w:rPr>
            </w:pPr>
            <w:r>
              <w:rPr>
                <w:rFonts w:ascii="SimHei" w:hAnsi="SimHei" w:eastAsia="SimHei" w:cs="SimHei"/>
                <w:spacing w:val="-3"/>
                <w:sz w:val="24"/>
                <w:szCs w:val="24"/>
              </w:rPr>
              <w:t>设定依据</w:t>
            </w:r>
          </w:p>
        </w:tc>
        <w:tc>
          <w:tcPr>
            <w:tcW w:w="690" w:type="dxa"/>
            <w:tcBorders>
              <w:top w:val="single" w:color="EC6881" w:sz="2" w:space="0"/>
              <w:bottom w:val="single" w:color="EC6881" w:sz="2" w:space="0"/>
            </w:tcBorders>
            <w:vAlign w:val="top"/>
          </w:tcPr>
          <w:p>
            <w:pPr>
              <w:spacing w:before="54" w:line="222" w:lineRule="auto"/>
              <w:ind w:left="118"/>
              <w:rPr>
                <w:rFonts w:ascii="SimHei" w:hAnsi="SimHei" w:eastAsia="SimHei" w:cs="SimHei"/>
                <w:sz w:val="24"/>
                <w:szCs w:val="24"/>
              </w:rPr>
            </w:pPr>
            <w:r>
              <w:rPr>
                <w:rFonts w:ascii="SimHei" w:hAnsi="SimHei" w:eastAsia="SimHei" w:cs="SimHei"/>
                <w:spacing w:val="-8"/>
                <w:sz w:val="24"/>
                <w:szCs w:val="24"/>
              </w:rPr>
              <w:t>实施</w:t>
            </w:r>
          </w:p>
          <w:p>
            <w:pPr>
              <w:spacing w:before="24" w:line="217" w:lineRule="auto"/>
              <w:ind w:left="115"/>
              <w:rPr>
                <w:rFonts w:ascii="SimHei" w:hAnsi="SimHei" w:eastAsia="SimHei" w:cs="SimHei"/>
                <w:sz w:val="24"/>
                <w:szCs w:val="24"/>
              </w:rPr>
            </w:pPr>
            <w:r>
              <w:rPr>
                <w:rFonts w:ascii="SimHei" w:hAnsi="SimHei" w:eastAsia="SimHei" w:cs="SimHei"/>
                <w:spacing w:val="-7"/>
                <w:sz w:val="24"/>
                <w:szCs w:val="24"/>
              </w:rPr>
              <w:t>主体</w:t>
            </w:r>
          </w:p>
        </w:tc>
        <w:tc>
          <w:tcPr>
            <w:tcW w:w="4483" w:type="dxa"/>
            <w:tcBorders>
              <w:top w:val="single" w:color="EC6881" w:sz="2" w:space="0"/>
              <w:bottom w:val="single" w:color="EC6881" w:sz="2" w:space="0"/>
            </w:tcBorders>
            <w:vAlign w:val="top"/>
          </w:tcPr>
          <w:p>
            <w:pPr>
              <w:spacing w:before="210" w:line="221" w:lineRule="auto"/>
              <w:ind w:left="1767"/>
              <w:rPr>
                <w:rFonts w:ascii="SimHei" w:hAnsi="SimHei" w:eastAsia="SimHei" w:cs="SimHei"/>
                <w:sz w:val="24"/>
                <w:szCs w:val="24"/>
              </w:rPr>
            </w:pPr>
            <w:r>
              <w:rPr>
                <w:rFonts w:ascii="SimHei" w:hAnsi="SimHei" w:eastAsia="SimHei" w:cs="SimHei"/>
                <w:spacing w:val="-3"/>
                <w:sz w:val="24"/>
                <w:szCs w:val="24"/>
              </w:rPr>
              <w:t>履职方式</w:t>
            </w:r>
          </w:p>
        </w:tc>
        <w:tc>
          <w:tcPr>
            <w:tcW w:w="2022" w:type="dxa"/>
            <w:tcBorders>
              <w:top w:val="single" w:color="EC6881" w:sz="2" w:space="0"/>
              <w:bottom w:val="single" w:color="EC6881" w:sz="2" w:space="0"/>
              <w:right w:val="single" w:color="FFFFFF" w:sz="2" w:space="0"/>
            </w:tcBorders>
            <w:vAlign w:val="top"/>
          </w:tcPr>
          <w:p>
            <w:pPr>
              <w:spacing w:before="210" w:line="221" w:lineRule="auto"/>
              <w:ind w:left="536"/>
              <w:rPr>
                <w:rFonts w:ascii="SimHei" w:hAnsi="SimHei" w:eastAsia="SimHei" w:cs="SimHei"/>
                <w:sz w:val="24"/>
                <w:szCs w:val="24"/>
              </w:rPr>
            </w:pPr>
            <w:r>
              <w:rPr>
                <w:rFonts w:ascii="SimHei" w:hAnsi="SimHei" w:eastAsia="SimHei" w:cs="SimHei"/>
                <w:spacing w:val="-3"/>
                <w:sz w:val="24"/>
                <w:szCs w:val="24"/>
              </w:rPr>
              <w:t>追责方式</w:t>
            </w:r>
          </w:p>
        </w:tc>
      </w:tr>
      <w:tr>
        <w:tblPrEx>
          <w:tblBorders>
            <w:top w:val="single" w:color="FBDFE4" w:sz="2" w:space="0"/>
            <w:left w:val="single" w:color="FBDFE4" w:sz="2" w:space="0"/>
            <w:bottom w:val="single" w:color="FBDFE4" w:sz="2" w:space="0"/>
            <w:right w:val="single" w:color="FBDFE4" w:sz="2" w:space="0"/>
            <w:insideH w:val="single" w:color="FBDFE4" w:sz="2" w:space="0"/>
            <w:insideV w:val="single" w:color="FBDFE4" w:sz="2" w:space="0"/>
          </w:tblBorders>
          <w:tblCellMar>
            <w:top w:w="0" w:type="dxa"/>
            <w:left w:w="0" w:type="dxa"/>
            <w:bottom w:w="0" w:type="dxa"/>
            <w:right w:w="0" w:type="dxa"/>
          </w:tblCellMar>
        </w:tblPrEx>
        <w:trPr>
          <w:trHeight w:val="8610" w:hRule="atLeast"/>
        </w:trPr>
        <w:tc>
          <w:tcPr>
            <w:tcW w:w="407" w:type="dxa"/>
            <w:tcBorders>
              <w:top w:val="single" w:color="EC6881" w:sz="2" w:space="0"/>
              <w:left w:val="single" w:color="FFFFFF" w:sz="2" w:space="0"/>
            </w:tcBorders>
            <w:vAlign w:val="top"/>
          </w:tcPr>
          <w:p>
            <w:pPr>
              <w:spacing w:line="242" w:lineRule="auto"/>
              <w:rPr>
                <w:rFonts w:ascii="Arial"/>
                <w:color w:val="auto"/>
                <w:sz w:val="21"/>
              </w:rPr>
            </w:pPr>
          </w:p>
          <w:p>
            <w:pPr>
              <w:spacing w:line="242" w:lineRule="auto"/>
              <w:rPr>
                <w:rFonts w:ascii="Arial"/>
                <w:color w:val="auto"/>
                <w:sz w:val="21"/>
              </w:rPr>
            </w:pPr>
          </w:p>
          <w:p>
            <w:pPr>
              <w:spacing w:line="242"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spacing w:line="243" w:lineRule="auto"/>
              <w:rPr>
                <w:rFonts w:ascii="Arial"/>
                <w:color w:val="auto"/>
                <w:sz w:val="21"/>
              </w:rPr>
            </w:pPr>
          </w:p>
          <w:p>
            <w:pPr>
              <w:pStyle w:val="8"/>
              <w:spacing w:before="65" w:line="270" w:lineRule="exact"/>
              <w:ind w:left="155" w:leftChars="0"/>
              <w:rPr>
                <w:color w:val="auto"/>
              </w:rPr>
            </w:pPr>
            <w:r>
              <w:rPr>
                <w:color w:val="auto"/>
                <w:position w:val="1"/>
              </w:rPr>
              <w:t>6</w:t>
            </w:r>
          </w:p>
        </w:tc>
        <w:tc>
          <w:tcPr>
            <w:tcW w:w="1034" w:type="dxa"/>
            <w:tcBorders>
              <w:top w:val="single" w:color="EC6881" w:sz="2" w:space="0"/>
            </w:tcBorders>
            <w:vAlign w:val="top"/>
          </w:tcPr>
          <w:p>
            <w:pPr>
              <w:spacing w:line="369" w:lineRule="auto"/>
              <w:rPr>
                <w:rFonts w:ascii="Arial"/>
                <w:color w:val="auto"/>
                <w:sz w:val="21"/>
              </w:rPr>
            </w:pPr>
          </w:p>
          <w:p>
            <w:pPr>
              <w:pStyle w:val="8"/>
              <w:spacing w:before="65" w:line="231" w:lineRule="auto"/>
              <w:ind w:left="28"/>
              <w:rPr>
                <w:color w:val="auto"/>
              </w:rPr>
            </w:pPr>
            <w:r>
              <w:rPr>
                <w:rFonts w:hint="eastAsia"/>
                <w:color w:val="auto"/>
                <w:spacing w:val="4"/>
                <w:lang w:eastAsia="zh-CN"/>
              </w:rPr>
              <w:t>浉河区</w:t>
            </w:r>
            <w:r>
              <w:rPr>
                <w:color w:val="auto"/>
                <w:spacing w:val="4"/>
              </w:rPr>
              <w:t>基本</w:t>
            </w:r>
            <w:r>
              <w:rPr>
                <w:color w:val="auto"/>
                <w:spacing w:val="1"/>
              </w:rPr>
              <w:t>医疗保险</w:t>
            </w:r>
            <w:r>
              <w:rPr>
                <w:color w:val="auto"/>
                <w:spacing w:val="5"/>
              </w:rPr>
              <w:t>参保职工纳入统筹基金支付</w:t>
            </w:r>
            <w:r>
              <w:rPr>
                <w:color w:val="auto"/>
                <w:spacing w:val="3"/>
              </w:rPr>
              <w:t>范围的门</w:t>
            </w:r>
            <w:r>
              <w:rPr>
                <w:color w:val="auto"/>
                <w:spacing w:val="5"/>
              </w:rPr>
              <w:t>诊慢性病</w:t>
            </w:r>
            <w:r>
              <w:rPr>
                <w:color w:val="auto"/>
              </w:rPr>
              <w:t>的鉴定</w:t>
            </w:r>
          </w:p>
        </w:tc>
        <w:tc>
          <w:tcPr>
            <w:tcW w:w="600" w:type="dxa"/>
            <w:tcBorders>
              <w:top w:val="single" w:color="EC6881" w:sz="2" w:space="0"/>
            </w:tcBorders>
            <w:vAlign w:val="top"/>
          </w:tcPr>
          <w:p>
            <w:pPr>
              <w:spacing w:line="260" w:lineRule="auto"/>
              <w:rPr>
                <w:rFonts w:ascii="Arial"/>
                <w:color w:val="auto"/>
                <w:sz w:val="21"/>
              </w:rPr>
            </w:pPr>
          </w:p>
          <w:p>
            <w:pPr>
              <w:spacing w:line="260" w:lineRule="auto"/>
              <w:rPr>
                <w:rFonts w:ascii="Arial"/>
                <w:color w:val="auto"/>
                <w:sz w:val="21"/>
              </w:rPr>
            </w:pPr>
          </w:p>
          <w:p>
            <w:pPr>
              <w:spacing w:line="260" w:lineRule="auto"/>
              <w:rPr>
                <w:rFonts w:ascii="Arial"/>
                <w:color w:val="auto"/>
                <w:sz w:val="21"/>
              </w:rPr>
            </w:pPr>
          </w:p>
          <w:p>
            <w:pPr>
              <w:spacing w:line="260" w:lineRule="auto"/>
              <w:rPr>
                <w:rFonts w:ascii="Arial"/>
                <w:color w:val="auto"/>
                <w:sz w:val="21"/>
              </w:rPr>
            </w:pPr>
          </w:p>
          <w:p>
            <w:pPr>
              <w:spacing w:line="260" w:lineRule="auto"/>
              <w:rPr>
                <w:rFonts w:ascii="Arial"/>
                <w:color w:val="auto"/>
                <w:sz w:val="21"/>
              </w:rPr>
            </w:pPr>
          </w:p>
          <w:p>
            <w:pPr>
              <w:pStyle w:val="8"/>
              <w:spacing w:before="65" w:line="288" w:lineRule="auto"/>
              <w:ind w:left="24" w:leftChars="0" w:right="165" w:rightChars="0" w:firstLine="2" w:firstLineChars="0"/>
              <w:rPr>
                <w:color w:val="auto"/>
              </w:rPr>
            </w:pPr>
            <w:r>
              <w:rPr>
                <w:color w:val="auto"/>
                <w:spacing w:val="1"/>
              </w:rPr>
              <w:t>其他</w:t>
            </w:r>
            <w:r>
              <w:rPr>
                <w:color w:val="auto"/>
                <w:spacing w:val="2"/>
              </w:rPr>
              <w:t>职权</w:t>
            </w:r>
          </w:p>
        </w:tc>
        <w:tc>
          <w:tcPr>
            <w:tcW w:w="5758" w:type="dxa"/>
            <w:tcBorders>
              <w:top w:val="single" w:color="EC6881" w:sz="2" w:space="0"/>
            </w:tcBorders>
            <w:vAlign w:val="top"/>
          </w:tcPr>
          <w:p>
            <w:pPr>
              <w:pStyle w:val="8"/>
              <w:spacing w:before="33" w:line="251" w:lineRule="auto"/>
              <w:ind w:left="29" w:right="15" w:firstLine="415"/>
              <w:jc w:val="both"/>
              <w:rPr>
                <w:color w:val="auto"/>
              </w:rPr>
            </w:pPr>
            <w:r>
              <w:rPr>
                <w:color w:val="auto"/>
                <w:spacing w:val="9"/>
              </w:rPr>
              <w:t>《关于妥善解决医疗保险制度改革有关问题的指</w:t>
            </w:r>
            <w:r>
              <w:rPr>
                <w:color w:val="auto"/>
                <w:spacing w:val="8"/>
              </w:rPr>
              <w:t>导意见》</w:t>
            </w:r>
            <w:r>
              <w:rPr>
                <w:color w:val="auto"/>
              </w:rPr>
              <w:t xml:space="preserve"> </w:t>
            </w:r>
            <w:r>
              <w:rPr>
                <w:color w:val="auto"/>
                <w:spacing w:val="7"/>
              </w:rPr>
              <w:t>（劳社厅发〔2002〕8号）第十一条：“妥善解决少数患</w:t>
            </w:r>
            <w:r>
              <w:rPr>
                <w:color w:val="auto"/>
                <w:spacing w:val="6"/>
              </w:rPr>
              <w:t>者个人</w:t>
            </w:r>
            <w:r>
              <w:rPr>
                <w:color w:val="auto"/>
                <w:spacing w:val="8"/>
              </w:rPr>
              <w:t>负担较重的问题，</w:t>
            </w:r>
            <w:r>
              <w:rPr>
                <w:color w:val="auto"/>
                <w:spacing w:val="-69"/>
              </w:rPr>
              <w:t xml:space="preserve"> </w:t>
            </w:r>
            <w:r>
              <w:rPr>
                <w:color w:val="auto"/>
                <w:spacing w:val="8"/>
              </w:rPr>
              <w:t>…可根据统筹基金的承受能力支付一定比例</w:t>
            </w:r>
            <w:r>
              <w:rPr>
                <w:color w:val="auto"/>
                <w:spacing w:val="21"/>
              </w:rPr>
              <w:t>费用。</w:t>
            </w:r>
            <w:r>
              <w:rPr>
                <w:color w:val="auto"/>
                <w:spacing w:val="-66"/>
              </w:rPr>
              <w:t xml:space="preserve"> </w:t>
            </w:r>
            <w:r>
              <w:rPr>
                <w:color w:val="auto"/>
                <w:spacing w:val="21"/>
              </w:rPr>
              <w:t>”</w:t>
            </w:r>
          </w:p>
          <w:p>
            <w:pPr>
              <w:pStyle w:val="8"/>
              <w:spacing w:line="228" w:lineRule="auto"/>
              <w:ind w:left="444"/>
              <w:rPr>
                <w:color w:val="auto"/>
              </w:rPr>
            </w:pPr>
            <w:r>
              <w:rPr>
                <w:color w:val="auto"/>
                <w:spacing w:val="9"/>
              </w:rPr>
              <w:t>《河南省省直职工基本医疗保险门诊慢性病管理暂行办</w:t>
            </w:r>
          </w:p>
          <w:p>
            <w:pPr>
              <w:pStyle w:val="8"/>
              <w:spacing w:before="21" w:line="252" w:lineRule="auto"/>
              <w:ind w:left="26" w:firstLine="5"/>
              <w:rPr>
                <w:color w:val="auto"/>
              </w:rPr>
            </w:pPr>
            <w:r>
              <w:rPr>
                <w:color w:val="auto"/>
                <w:spacing w:val="6"/>
              </w:rPr>
              <w:t>法》（豫劳社医疗〔2001〕13号）第四条：“省医保中心组织</w:t>
            </w:r>
            <w:r>
              <w:rPr>
                <w:color w:val="auto"/>
                <w:spacing w:val="7"/>
              </w:rPr>
              <w:t>专家，定期对提出申请的参保人员进行鉴定。经鉴定同时符合</w:t>
            </w:r>
            <w:r>
              <w:rPr>
                <w:color w:val="auto"/>
                <w:spacing w:val="6"/>
              </w:rPr>
              <w:t>所列全部条件的，</w:t>
            </w:r>
            <w:r>
              <w:rPr>
                <w:color w:val="auto"/>
                <w:spacing w:val="-62"/>
              </w:rPr>
              <w:t xml:space="preserve"> </w:t>
            </w:r>
            <w:r>
              <w:rPr>
                <w:color w:val="auto"/>
                <w:spacing w:val="6"/>
              </w:rPr>
              <w:t>…参保人员因认定的病种或治疗项目所发生的门诊医疗费用，在规定的期限内主要由统筹基金支付。”</w:t>
            </w:r>
            <w:r>
              <w:rPr>
                <w:color w:val="auto"/>
              </w:rPr>
              <w:t xml:space="preserve"> </w:t>
            </w:r>
          </w:p>
          <w:p>
            <w:pPr>
              <w:pStyle w:val="8"/>
              <w:spacing w:line="228" w:lineRule="auto"/>
              <w:ind w:firstLine="436" w:firstLineChars="200"/>
              <w:rPr>
                <w:color w:val="auto"/>
              </w:rPr>
            </w:pPr>
            <w:r>
              <w:rPr>
                <w:color w:val="auto"/>
                <w:spacing w:val="9"/>
              </w:rPr>
              <w:t>根据</w:t>
            </w:r>
            <w:r>
              <w:rPr>
                <w:rFonts w:hint="eastAsia"/>
                <w:color w:val="auto"/>
                <w:spacing w:val="9"/>
                <w:lang w:val="en-US" w:eastAsia="zh-CN"/>
              </w:rPr>
              <w:t>2023年11月27日信阳市社会医疗保险中心下发的</w:t>
            </w:r>
            <w:r>
              <w:rPr>
                <w:color w:val="auto"/>
                <w:spacing w:val="9"/>
              </w:rPr>
              <w:t>《</w:t>
            </w:r>
            <w:r>
              <w:rPr>
                <w:rFonts w:hint="eastAsia"/>
                <w:color w:val="auto"/>
                <w:spacing w:val="9"/>
              </w:rPr>
              <w:t>关于全市基本医疗保险门诊慢性病行网上申报的通知</w:t>
            </w:r>
            <w:r>
              <w:rPr>
                <w:color w:val="auto"/>
                <w:spacing w:val="9"/>
              </w:rPr>
              <w:t>》</w:t>
            </w:r>
            <w:r>
              <w:rPr>
                <w:rFonts w:hint="eastAsia"/>
                <w:color w:val="auto"/>
                <w:spacing w:val="9"/>
                <w:lang w:eastAsia="zh-CN"/>
              </w:rPr>
              <w:t>：</w:t>
            </w:r>
            <w:r>
              <w:rPr>
                <w:rFonts w:hint="eastAsia"/>
                <w:color w:val="auto"/>
                <w:spacing w:val="9"/>
              </w:rPr>
              <w:t>根据</w:t>
            </w:r>
            <w:r>
              <w:rPr>
                <w:rFonts w:hint="eastAsia"/>
                <w:color w:val="auto"/>
                <w:spacing w:val="9"/>
                <w:lang w:eastAsia="zh-CN"/>
              </w:rPr>
              <w:t>《</w:t>
            </w:r>
            <w:r>
              <w:rPr>
                <w:rFonts w:hint="eastAsia"/>
                <w:color w:val="auto"/>
                <w:spacing w:val="9"/>
              </w:rPr>
              <w:t>信阳市医疗保障经办政务服务事项清单和办事指南的通知</w:t>
            </w:r>
            <w:r>
              <w:rPr>
                <w:rFonts w:hint="eastAsia"/>
                <w:color w:val="auto"/>
                <w:spacing w:val="9"/>
                <w:lang w:eastAsia="zh-CN"/>
              </w:rPr>
              <w:t>》</w:t>
            </w:r>
            <w:r>
              <w:rPr>
                <w:rFonts w:hint="eastAsia"/>
                <w:color w:val="auto"/>
                <w:spacing w:val="9"/>
              </w:rPr>
              <w:t>(信医保</w:t>
            </w:r>
            <w:r>
              <w:rPr>
                <w:rFonts w:hint="eastAsia"/>
                <w:color w:val="auto"/>
                <w:spacing w:val="9"/>
                <w:lang w:val="en-US" w:eastAsia="zh-CN"/>
              </w:rPr>
              <w:t>[</w:t>
            </w:r>
            <w:r>
              <w:rPr>
                <w:rFonts w:hint="eastAsia"/>
                <w:color w:val="auto"/>
                <w:spacing w:val="9"/>
              </w:rPr>
              <w:t>2020</w:t>
            </w:r>
            <w:r>
              <w:rPr>
                <w:rFonts w:hint="eastAsia"/>
                <w:color w:val="auto"/>
                <w:spacing w:val="9"/>
                <w:lang w:val="en-US" w:eastAsia="zh-CN"/>
              </w:rPr>
              <w:t>]</w:t>
            </w:r>
            <w:r>
              <w:rPr>
                <w:rFonts w:hint="eastAsia"/>
                <w:color w:val="auto"/>
                <w:spacing w:val="9"/>
              </w:rPr>
              <w:t>15号)和</w:t>
            </w:r>
            <w:r>
              <w:rPr>
                <w:rFonts w:hint="eastAsia"/>
                <w:color w:val="auto"/>
                <w:spacing w:val="9"/>
                <w:lang w:eastAsia="zh-CN"/>
              </w:rPr>
              <w:t>《</w:t>
            </w:r>
            <w:r>
              <w:rPr>
                <w:rFonts w:hint="eastAsia"/>
                <w:color w:val="auto"/>
                <w:spacing w:val="9"/>
              </w:rPr>
              <w:t>信阳市基本医疗保险门诊慢性病管理办法</w:t>
            </w:r>
            <w:r>
              <w:rPr>
                <w:rFonts w:hint="eastAsia"/>
                <w:color w:val="auto"/>
                <w:spacing w:val="9"/>
                <w:lang w:eastAsia="zh-CN"/>
              </w:rPr>
              <w:t>》</w:t>
            </w:r>
            <w:r>
              <w:rPr>
                <w:rFonts w:hint="eastAsia"/>
                <w:color w:val="auto"/>
                <w:spacing w:val="9"/>
              </w:rPr>
              <w:t>(信人社</w:t>
            </w:r>
            <w:r>
              <w:rPr>
                <w:rFonts w:hint="eastAsia"/>
                <w:color w:val="auto"/>
                <w:spacing w:val="9"/>
                <w:lang w:val="en-US" w:eastAsia="zh-CN"/>
              </w:rPr>
              <w:t>[</w:t>
            </w:r>
            <w:r>
              <w:rPr>
                <w:rFonts w:hint="eastAsia"/>
                <w:color w:val="auto"/>
                <w:spacing w:val="9"/>
              </w:rPr>
              <w:t>2016</w:t>
            </w:r>
            <w:r>
              <w:rPr>
                <w:rFonts w:hint="eastAsia"/>
                <w:color w:val="auto"/>
                <w:spacing w:val="9"/>
                <w:lang w:val="en-US" w:eastAsia="zh-CN"/>
              </w:rPr>
              <w:t>]</w:t>
            </w:r>
            <w:r>
              <w:rPr>
                <w:rFonts w:hint="eastAsia"/>
                <w:color w:val="auto"/>
                <w:spacing w:val="9"/>
              </w:rPr>
              <w:t>99号)有关精神，深入推进医保领域"放管服"改革，推行我市门诊慢性病"不见面、网上办",进一步缩短办理时限、简化优化办理流程，我市基本医疗保险门诊慢性病实行网上申报办理</w:t>
            </w:r>
            <w:r>
              <w:rPr>
                <w:rFonts w:hint="eastAsia"/>
                <w:color w:val="auto"/>
                <w:spacing w:val="9"/>
                <w:lang w:eastAsia="zh-CN"/>
              </w:rPr>
              <w:t>。</w:t>
            </w:r>
          </w:p>
        </w:tc>
        <w:tc>
          <w:tcPr>
            <w:tcW w:w="690" w:type="dxa"/>
            <w:tcBorders>
              <w:top w:val="single" w:color="EC6881" w:sz="2" w:space="0"/>
            </w:tcBorders>
            <w:vAlign w:val="top"/>
          </w:tcPr>
          <w:p>
            <w:pPr>
              <w:spacing w:line="286" w:lineRule="auto"/>
              <w:rPr>
                <w:rFonts w:ascii="Arial"/>
                <w:color w:val="auto"/>
                <w:sz w:val="21"/>
              </w:rPr>
            </w:pPr>
          </w:p>
          <w:p>
            <w:pPr>
              <w:spacing w:line="286" w:lineRule="auto"/>
              <w:rPr>
                <w:rFonts w:ascii="Arial"/>
                <w:color w:val="auto"/>
                <w:sz w:val="21"/>
              </w:rPr>
            </w:pPr>
          </w:p>
          <w:p>
            <w:pPr>
              <w:spacing w:line="286" w:lineRule="auto"/>
              <w:rPr>
                <w:rFonts w:ascii="Arial"/>
                <w:color w:val="auto"/>
                <w:sz w:val="21"/>
              </w:rPr>
            </w:pPr>
          </w:p>
          <w:p>
            <w:pPr>
              <w:spacing w:line="287" w:lineRule="auto"/>
              <w:rPr>
                <w:rFonts w:ascii="Arial"/>
                <w:color w:val="auto"/>
                <w:sz w:val="21"/>
              </w:rPr>
            </w:pPr>
          </w:p>
          <w:p>
            <w:pPr>
              <w:pStyle w:val="8"/>
              <w:spacing w:before="65" w:line="230" w:lineRule="auto"/>
              <w:ind w:left="41"/>
            </w:pPr>
            <w:r>
              <w:rPr>
                <w:spacing w:val="5"/>
              </w:rPr>
              <w:t>信阳市</w:t>
            </w:r>
          </w:p>
          <w:p>
            <w:pPr>
              <w:pStyle w:val="8"/>
              <w:spacing w:before="63" w:line="229" w:lineRule="auto"/>
              <w:ind w:left="59"/>
            </w:pPr>
            <w:r>
              <w:rPr>
                <w:rFonts w:hint="eastAsia"/>
                <w:spacing w:val="-1"/>
                <w:lang w:eastAsia="zh-CN"/>
              </w:rPr>
              <w:t>浉河区</w:t>
            </w:r>
            <w:r>
              <w:rPr>
                <w:spacing w:val="-1"/>
              </w:rPr>
              <w:t>医疗保</w:t>
            </w:r>
          </w:p>
          <w:p>
            <w:pPr>
              <w:pStyle w:val="8"/>
              <w:spacing w:before="63" w:line="230" w:lineRule="auto"/>
              <w:ind w:left="158" w:leftChars="0"/>
              <w:rPr>
                <w:color w:val="auto"/>
              </w:rPr>
            </w:pPr>
            <w:r>
              <w:rPr>
                <w:spacing w:val="-4"/>
              </w:rPr>
              <w:t>障局</w:t>
            </w:r>
          </w:p>
        </w:tc>
        <w:tc>
          <w:tcPr>
            <w:tcW w:w="4483" w:type="dxa"/>
            <w:tcBorders>
              <w:top w:val="single" w:color="EC6881" w:sz="2" w:space="0"/>
            </w:tcBorders>
            <w:vAlign w:val="top"/>
          </w:tcPr>
          <w:p>
            <w:pPr>
              <w:pStyle w:val="8"/>
              <w:spacing w:before="61" w:line="232" w:lineRule="auto"/>
              <w:ind w:left="25"/>
              <w:rPr>
                <w:rFonts w:hint="eastAsia" w:ascii="Arial"/>
                <w:color w:val="auto"/>
                <w:sz w:val="21"/>
              </w:rPr>
            </w:pPr>
            <w:r>
              <w:rPr>
                <w:rFonts w:hint="eastAsia" w:ascii="仿宋" w:hAnsi="仿宋" w:eastAsia="仿宋" w:cs="仿宋"/>
                <w:color w:val="auto"/>
                <w:sz w:val="21"/>
                <w:lang w:val="en-US" w:eastAsia="zh-CN"/>
              </w:rPr>
              <w:t>1、</w:t>
            </w:r>
            <w:r>
              <w:rPr>
                <w:rFonts w:hint="eastAsia" w:ascii="Arial"/>
                <w:color w:val="auto"/>
                <w:sz w:val="21"/>
              </w:rPr>
              <w:t xml:space="preserve">慢性病可通过河南省医疗保障公共服务平台、河南政务服务网、河南省社会医疗保障服务中心微信公众号、河南医保支付宝小程序、豫事办等线上渠道直接申请。                                                 </w:t>
            </w:r>
          </w:p>
          <w:p>
            <w:pPr>
              <w:pStyle w:val="8"/>
              <w:spacing w:before="61" w:line="232" w:lineRule="auto"/>
              <w:ind w:left="25"/>
              <w:rPr>
                <w:rFonts w:hint="eastAsia" w:ascii="Arial"/>
                <w:color w:val="auto"/>
                <w:sz w:val="21"/>
              </w:rPr>
            </w:pPr>
            <w:r>
              <w:rPr>
                <w:rFonts w:hint="eastAsia" w:ascii="仿宋" w:hAnsi="仿宋" w:eastAsia="仿宋" w:cs="仿宋"/>
                <w:color w:val="auto"/>
                <w:sz w:val="21"/>
                <w:lang w:val="en-US" w:eastAsia="zh-CN"/>
              </w:rPr>
              <w:t>2</w:t>
            </w:r>
            <w:r>
              <w:rPr>
                <w:rFonts w:hint="eastAsia" w:ascii="Arial"/>
                <w:color w:val="auto"/>
                <w:sz w:val="21"/>
              </w:rPr>
              <w:t>、通过信阳市定点医疗机构辅助申报门诊慢性病。　　　　　　　　　　　　　　　　　　　　　　　　　　　</w:t>
            </w:r>
          </w:p>
          <w:p>
            <w:pPr>
              <w:pStyle w:val="8"/>
              <w:spacing w:before="61" w:line="232" w:lineRule="auto"/>
              <w:ind w:left="25"/>
              <w:rPr>
                <w:rFonts w:hint="eastAsia" w:ascii="Arial"/>
                <w:color w:val="auto"/>
                <w:sz w:val="21"/>
              </w:rPr>
            </w:pPr>
            <w:r>
              <w:rPr>
                <w:rFonts w:hint="eastAsia" w:ascii="仿宋" w:hAnsi="仿宋" w:eastAsia="仿宋" w:cs="仿宋"/>
                <w:color w:val="auto"/>
                <w:sz w:val="21"/>
                <w:lang w:val="en-US" w:eastAsia="zh-CN"/>
              </w:rPr>
              <w:t>3</w:t>
            </w:r>
            <w:r>
              <w:rPr>
                <w:rFonts w:hint="eastAsia" w:ascii="Arial"/>
                <w:color w:val="auto"/>
                <w:sz w:val="21"/>
              </w:rPr>
              <w:t>、恶性肿瘤放化疗及器官移植抗排异两个病种实施“线上+线下”双模式申报鉴定。线下办理需携带病历资料前住定点医疗机构领取申请表办理。</w:t>
            </w:r>
          </w:p>
          <w:p>
            <w:pPr>
              <w:pStyle w:val="8"/>
              <w:spacing w:before="61" w:line="232" w:lineRule="auto"/>
              <w:ind w:left="25" w:leftChars="0"/>
              <w:rPr>
                <w:color w:val="auto"/>
              </w:rPr>
            </w:pPr>
            <w:r>
              <w:rPr>
                <w:rFonts w:hint="eastAsia" w:ascii="仿宋" w:hAnsi="仿宋" w:eastAsia="仿宋" w:cs="仿宋"/>
                <w:color w:val="auto"/>
                <w:sz w:val="21"/>
                <w:lang w:val="en-US" w:eastAsia="zh-CN"/>
              </w:rPr>
              <w:t>4</w:t>
            </w:r>
            <w:r>
              <w:rPr>
                <w:rFonts w:hint="eastAsia" w:ascii="Arial"/>
                <w:color w:val="auto"/>
                <w:sz w:val="21"/>
                <w:lang w:val="en-US" w:eastAsia="zh-CN"/>
              </w:rPr>
              <w:t>、</w:t>
            </w:r>
            <w:r>
              <w:rPr>
                <w:rFonts w:hint="eastAsia" w:ascii="Arial"/>
                <w:color w:val="auto"/>
                <w:sz w:val="21"/>
              </w:rPr>
              <w:t>办理时限：随时申报，申报成功后</w:t>
            </w:r>
            <w:r>
              <w:rPr>
                <w:rFonts w:hint="eastAsia" w:ascii="仿宋" w:hAnsi="仿宋" w:eastAsia="仿宋" w:cs="仿宋"/>
                <w:color w:val="auto"/>
                <w:sz w:val="21"/>
              </w:rPr>
              <w:t>5-8</w:t>
            </w:r>
            <w:r>
              <w:rPr>
                <w:rFonts w:hint="eastAsia" w:ascii="Arial"/>
                <w:color w:val="auto"/>
                <w:sz w:val="21"/>
              </w:rPr>
              <w:t>个工作日办结。</w:t>
            </w:r>
          </w:p>
        </w:tc>
        <w:tc>
          <w:tcPr>
            <w:tcW w:w="2022" w:type="dxa"/>
            <w:tcBorders>
              <w:top w:val="single" w:color="EC6881" w:sz="2" w:space="0"/>
              <w:right w:val="single" w:color="FFFFFF" w:sz="2" w:space="0"/>
            </w:tcBorders>
            <w:vAlign w:val="top"/>
          </w:tcPr>
          <w:p>
            <w:pPr>
              <w:spacing w:line="245" w:lineRule="auto"/>
              <w:rPr>
                <w:rFonts w:ascii="Arial"/>
                <w:color w:val="auto"/>
                <w:sz w:val="21"/>
              </w:rPr>
            </w:pPr>
          </w:p>
          <w:p>
            <w:pPr>
              <w:spacing w:line="246" w:lineRule="auto"/>
              <w:rPr>
                <w:rFonts w:ascii="Arial"/>
                <w:color w:val="auto"/>
                <w:sz w:val="21"/>
              </w:rPr>
            </w:pPr>
          </w:p>
          <w:p>
            <w:pPr>
              <w:pStyle w:val="8"/>
              <w:spacing w:before="65" w:line="251" w:lineRule="auto"/>
              <w:ind w:left="28" w:leftChars="0" w:right="13" w:rightChars="0"/>
              <w:jc w:val="both"/>
              <w:rPr>
                <w:color w:val="auto"/>
              </w:rPr>
            </w:pPr>
            <w:r>
              <w:rPr>
                <w:color w:val="auto"/>
                <w:spacing w:val="8"/>
              </w:rPr>
              <w:t>《中华人民共和国社会保险法》第九十三</w:t>
            </w:r>
            <w:r>
              <w:rPr>
                <w:color w:val="auto"/>
                <w:spacing w:val="3"/>
              </w:rPr>
              <w:t>条</w:t>
            </w:r>
            <w:r>
              <w:rPr>
                <w:color w:val="auto"/>
                <w:spacing w:val="25"/>
              </w:rPr>
              <w:t xml:space="preserve">  </w:t>
            </w:r>
            <w:r>
              <w:rPr>
                <w:color w:val="auto"/>
                <w:spacing w:val="3"/>
              </w:rPr>
              <w:t>国家工作人员在</w:t>
            </w:r>
            <w:r>
              <w:rPr>
                <w:color w:val="auto"/>
                <w:spacing w:val="8"/>
              </w:rPr>
              <w:t>社会保险管理、监督工作中滥用职权、玩</w:t>
            </w:r>
            <w:r>
              <w:rPr>
                <w:color w:val="auto"/>
                <w:spacing w:val="7"/>
              </w:rPr>
              <w:t>忽职守、徇私舞弊的,</w:t>
            </w:r>
            <w:r>
              <w:rPr>
                <w:color w:val="auto"/>
                <w:spacing w:val="6"/>
              </w:rPr>
              <w:t>依法给予处分。</w:t>
            </w:r>
          </w:p>
        </w:tc>
      </w:tr>
      <w:tr>
        <w:tblPrEx>
          <w:tblBorders>
            <w:top w:val="single" w:color="FBDFE4" w:sz="2" w:space="0"/>
            <w:left w:val="single" w:color="FBDFE4" w:sz="2" w:space="0"/>
            <w:bottom w:val="single" w:color="FBDFE4" w:sz="2" w:space="0"/>
            <w:right w:val="single" w:color="FBDFE4" w:sz="2" w:space="0"/>
            <w:insideH w:val="single" w:color="FBDFE4" w:sz="2" w:space="0"/>
            <w:insideV w:val="single" w:color="FBDFE4" w:sz="2" w:space="0"/>
          </w:tblBorders>
          <w:tblCellMar>
            <w:top w:w="0" w:type="dxa"/>
            <w:left w:w="0" w:type="dxa"/>
            <w:bottom w:w="0" w:type="dxa"/>
            <w:right w:w="0" w:type="dxa"/>
          </w:tblCellMar>
        </w:tblPrEx>
        <w:trPr>
          <w:trHeight w:val="9621" w:hRule="atLeast"/>
        </w:trPr>
        <w:tc>
          <w:tcPr>
            <w:tcW w:w="407" w:type="dxa"/>
            <w:tcBorders>
              <w:left w:val="single" w:color="FFFFFF" w:sz="2" w:space="0"/>
            </w:tcBorders>
            <w:vAlign w:val="top"/>
          </w:tcPr>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59" w:lineRule="auto"/>
              <w:rPr>
                <w:rFonts w:ascii="Arial"/>
                <w:sz w:val="21"/>
              </w:rPr>
            </w:pPr>
          </w:p>
          <w:p>
            <w:pPr>
              <w:spacing w:line="260" w:lineRule="auto"/>
              <w:rPr>
                <w:rFonts w:ascii="Arial"/>
                <w:sz w:val="21"/>
              </w:rPr>
            </w:pPr>
          </w:p>
          <w:p>
            <w:pPr>
              <w:pStyle w:val="8"/>
              <w:spacing w:before="65" w:line="270" w:lineRule="exact"/>
              <w:ind w:left="159" w:leftChars="0"/>
            </w:pPr>
            <w:r>
              <w:rPr>
                <w:position w:val="2"/>
              </w:rPr>
              <w:t>7</w:t>
            </w:r>
          </w:p>
        </w:tc>
        <w:tc>
          <w:tcPr>
            <w:tcW w:w="1034" w:type="dxa"/>
            <w:vAlign w:val="top"/>
          </w:tcPr>
          <w:p>
            <w:pPr>
              <w:spacing w:line="470" w:lineRule="auto"/>
              <w:rPr>
                <w:rFonts w:ascii="Arial"/>
                <w:sz w:val="21"/>
              </w:rPr>
            </w:pPr>
          </w:p>
          <w:p>
            <w:pPr>
              <w:pStyle w:val="8"/>
              <w:spacing w:before="65" w:line="288" w:lineRule="auto"/>
              <w:ind w:left="22" w:leftChars="0" w:right="14" w:rightChars="0" w:firstLine="2" w:firstLineChars="0"/>
            </w:pPr>
            <w:r>
              <w:rPr>
                <w:spacing w:val="5"/>
              </w:rPr>
              <w:t>选择</w:t>
            </w:r>
            <w:r>
              <w:rPr>
                <w:rFonts w:hint="eastAsia"/>
                <w:spacing w:val="5"/>
                <w:lang w:eastAsia="zh-CN"/>
              </w:rPr>
              <w:t>浉河辖区</w:t>
            </w:r>
            <w:r>
              <w:rPr>
                <w:spacing w:val="5"/>
              </w:rPr>
              <w:t>基本医疗保险定点医疗机构和定点零</w:t>
            </w:r>
            <w:r>
              <w:rPr>
                <w:spacing w:val="-2"/>
              </w:rPr>
              <w:t>售</w:t>
            </w:r>
            <w:r>
              <w:rPr>
                <w:rFonts w:hint="eastAsia"/>
                <w:spacing w:val="-2"/>
                <w:lang w:eastAsia="zh-CN"/>
              </w:rPr>
              <w:t>药店</w:t>
            </w:r>
            <w:r>
              <w:rPr>
                <w:spacing w:val="-2"/>
              </w:rPr>
              <w:t>，并</w:t>
            </w:r>
            <w:r>
              <w:rPr>
                <w:spacing w:val="5"/>
              </w:rPr>
              <w:t>签订服务</w:t>
            </w:r>
            <w:r>
              <w:rPr>
                <w:spacing w:val="2"/>
              </w:rPr>
              <w:t>协议</w:t>
            </w:r>
          </w:p>
        </w:tc>
        <w:tc>
          <w:tcPr>
            <w:tcW w:w="600" w:type="dxa"/>
            <w:vAlign w:val="top"/>
          </w:tcPr>
          <w:p>
            <w:pPr>
              <w:spacing w:line="283" w:lineRule="auto"/>
              <w:rPr>
                <w:rFonts w:ascii="Arial"/>
                <w:color w:val="auto"/>
                <w:sz w:val="21"/>
              </w:rPr>
            </w:pPr>
          </w:p>
          <w:p>
            <w:pPr>
              <w:spacing w:line="283" w:lineRule="auto"/>
              <w:rPr>
                <w:rFonts w:ascii="Arial"/>
                <w:color w:val="auto"/>
                <w:sz w:val="21"/>
              </w:rPr>
            </w:pPr>
          </w:p>
          <w:p>
            <w:pPr>
              <w:spacing w:line="284" w:lineRule="auto"/>
              <w:rPr>
                <w:rFonts w:ascii="Arial"/>
                <w:color w:val="auto"/>
                <w:sz w:val="21"/>
              </w:rPr>
            </w:pPr>
          </w:p>
          <w:p>
            <w:pPr>
              <w:spacing w:line="284" w:lineRule="auto"/>
              <w:rPr>
                <w:rFonts w:ascii="Arial"/>
                <w:color w:val="auto"/>
                <w:sz w:val="21"/>
              </w:rPr>
            </w:pPr>
          </w:p>
          <w:p>
            <w:pPr>
              <w:spacing w:line="284" w:lineRule="auto"/>
              <w:rPr>
                <w:rFonts w:ascii="Arial"/>
                <w:color w:val="auto"/>
                <w:sz w:val="21"/>
              </w:rPr>
            </w:pPr>
          </w:p>
          <w:p>
            <w:pPr>
              <w:pStyle w:val="8"/>
              <w:spacing w:before="65" w:line="251" w:lineRule="auto"/>
              <w:ind w:left="24" w:leftChars="0" w:right="165" w:rightChars="0" w:firstLine="2" w:firstLineChars="0"/>
              <w:rPr>
                <w:color w:val="auto"/>
              </w:rPr>
            </w:pPr>
            <w:r>
              <w:rPr>
                <w:color w:val="auto"/>
                <w:spacing w:val="1"/>
              </w:rPr>
              <w:t>其他</w:t>
            </w:r>
            <w:r>
              <w:rPr>
                <w:color w:val="auto"/>
                <w:spacing w:val="2"/>
              </w:rPr>
              <w:t>职权</w:t>
            </w:r>
          </w:p>
        </w:tc>
        <w:tc>
          <w:tcPr>
            <w:tcW w:w="5758" w:type="dxa"/>
            <w:vAlign w:val="top"/>
          </w:tcPr>
          <w:p>
            <w:pPr>
              <w:spacing w:line="338" w:lineRule="auto"/>
              <w:rPr>
                <w:rFonts w:ascii="Arial"/>
                <w:color w:val="auto"/>
                <w:sz w:val="21"/>
              </w:rPr>
            </w:pPr>
          </w:p>
          <w:p>
            <w:pPr>
              <w:pStyle w:val="8"/>
              <w:spacing w:before="65" w:line="251" w:lineRule="auto"/>
              <w:ind w:left="25" w:right="72" w:firstLine="419"/>
              <w:jc w:val="both"/>
              <w:rPr>
                <w:color w:val="auto"/>
              </w:rPr>
            </w:pPr>
            <w:r>
              <w:rPr>
                <w:color w:val="auto"/>
                <w:spacing w:val="8"/>
              </w:rPr>
              <w:t>《中华人民共和国社会保险法》第三十一条：</w:t>
            </w:r>
            <w:r>
              <w:rPr>
                <w:color w:val="auto"/>
                <w:spacing w:val="-68"/>
              </w:rPr>
              <w:t xml:space="preserve"> </w:t>
            </w:r>
            <w:r>
              <w:rPr>
                <w:color w:val="auto"/>
                <w:spacing w:val="8"/>
              </w:rPr>
              <w:t>“社会保险</w:t>
            </w:r>
            <w:r>
              <w:rPr>
                <w:color w:val="auto"/>
                <w:spacing w:val="9"/>
              </w:rPr>
              <w:t>经办机构根据管理服务的需要，可以与医疗机构、药品经营单位签订服务协议，规范医疗服务行为。医疗机构应当为参保人</w:t>
            </w:r>
            <w:r>
              <w:rPr>
                <w:color w:val="auto"/>
                <w:spacing w:val="13"/>
              </w:rPr>
              <w:t>员提供合理、必要的医疗服务。</w:t>
            </w:r>
            <w:r>
              <w:rPr>
                <w:color w:val="auto"/>
                <w:spacing w:val="-61"/>
              </w:rPr>
              <w:t xml:space="preserve"> </w:t>
            </w:r>
            <w:r>
              <w:rPr>
                <w:color w:val="auto"/>
                <w:spacing w:val="13"/>
              </w:rPr>
              <w:t>”</w:t>
            </w:r>
          </w:p>
          <w:p>
            <w:pPr>
              <w:pStyle w:val="8"/>
              <w:spacing w:before="2" w:line="251" w:lineRule="auto"/>
              <w:ind w:left="24" w:firstLine="417"/>
              <w:jc w:val="both"/>
              <w:rPr>
                <w:color w:val="auto"/>
                <w:spacing w:val="-3"/>
              </w:rPr>
            </w:pPr>
            <w:r>
              <w:rPr>
                <w:color w:val="auto"/>
                <w:spacing w:val="8"/>
              </w:rPr>
              <w:t>《</w:t>
            </w:r>
            <w:r>
              <w:rPr>
                <w:rFonts w:hint="eastAsia"/>
                <w:color w:val="auto"/>
                <w:spacing w:val="8"/>
              </w:rPr>
              <w:t>河南省医疗保障局关于印发</w:t>
            </w:r>
            <w:r>
              <w:rPr>
                <w:rFonts w:hint="eastAsia"/>
                <w:color w:val="auto"/>
                <w:spacing w:val="8"/>
                <w:lang w:val="en-US" w:eastAsia="zh-CN"/>
              </w:rPr>
              <w:t>&lt;</w:t>
            </w:r>
            <w:r>
              <w:rPr>
                <w:rFonts w:hint="eastAsia"/>
                <w:color w:val="auto"/>
                <w:spacing w:val="8"/>
              </w:rPr>
              <w:t>河南省医疗机构医疗保障定点管理实施细则(试行)&gt;和&lt;河南省零售药店医疗保障定点管理实施细则(试行)&gt;的通知</w:t>
            </w:r>
            <w:r>
              <w:rPr>
                <w:rFonts w:hint="eastAsia"/>
                <w:color w:val="auto"/>
                <w:spacing w:val="8"/>
                <w:lang w:eastAsia="zh-CN"/>
              </w:rPr>
              <w:t>》</w:t>
            </w:r>
            <w:r>
              <w:rPr>
                <w:color w:val="auto"/>
                <w:spacing w:val="-2"/>
              </w:rPr>
              <w:t>（豫医</w:t>
            </w:r>
            <w:r>
              <w:rPr>
                <w:rFonts w:hint="eastAsia"/>
                <w:color w:val="auto"/>
                <w:spacing w:val="-2"/>
                <w:lang w:val="en-US" w:eastAsia="zh-CN"/>
              </w:rPr>
              <w:t>保</w:t>
            </w:r>
            <w:r>
              <w:rPr>
                <w:color w:val="auto"/>
                <w:spacing w:val="-2"/>
              </w:rPr>
              <w:t>〔20</w:t>
            </w:r>
            <w:r>
              <w:rPr>
                <w:rFonts w:hint="eastAsia"/>
                <w:color w:val="auto"/>
                <w:spacing w:val="-2"/>
                <w:lang w:val="en-US" w:eastAsia="zh-CN"/>
              </w:rPr>
              <w:t>25</w:t>
            </w:r>
            <w:r>
              <w:rPr>
                <w:color w:val="auto"/>
                <w:spacing w:val="-2"/>
              </w:rPr>
              <w:t>〕</w:t>
            </w:r>
            <w:r>
              <w:rPr>
                <w:rFonts w:hint="eastAsia"/>
                <w:color w:val="auto"/>
                <w:spacing w:val="-2"/>
                <w:lang w:val="en-US" w:eastAsia="zh-CN"/>
              </w:rPr>
              <w:t>10</w:t>
            </w:r>
            <w:r>
              <w:rPr>
                <w:color w:val="auto"/>
                <w:spacing w:val="-2"/>
              </w:rPr>
              <w:t xml:space="preserve"> </w:t>
            </w:r>
            <w:r>
              <w:rPr>
                <w:color w:val="auto"/>
                <w:spacing w:val="-3"/>
              </w:rPr>
              <w:t>号）</w:t>
            </w:r>
          </w:p>
          <w:p>
            <w:pPr>
              <w:pStyle w:val="8"/>
              <w:spacing w:before="2" w:line="251" w:lineRule="auto"/>
              <w:ind w:left="24" w:firstLine="417"/>
              <w:jc w:val="both"/>
              <w:rPr>
                <w:rFonts w:hint="eastAsia"/>
                <w:color w:val="auto"/>
                <w:spacing w:val="-3"/>
              </w:rPr>
            </w:pPr>
            <w:r>
              <w:rPr>
                <w:rFonts w:hint="eastAsia"/>
                <w:color w:val="auto"/>
                <w:spacing w:val="-3"/>
              </w:rPr>
              <w:t>第五条各统筹地区医疗保障行政部门应根据群众医疗需求、医保基金支撑能力及区域卫生资源规划等情况，科学编制本地区定点医药机构资源配置规划。</w:t>
            </w:r>
          </w:p>
          <w:p>
            <w:pPr>
              <w:pStyle w:val="8"/>
              <w:spacing w:before="2" w:line="251" w:lineRule="auto"/>
              <w:ind w:left="24" w:leftChars="0" w:firstLine="417" w:firstLineChars="0"/>
              <w:jc w:val="both"/>
              <w:rPr>
                <w:color w:val="auto"/>
              </w:rPr>
            </w:pPr>
            <w:r>
              <w:rPr>
                <w:rFonts w:hint="eastAsia"/>
                <w:color w:val="auto"/>
                <w:spacing w:val="-3"/>
              </w:rPr>
              <w:t>第六条医保经办机构应严格按照本统筹地区医疗保障行政部门确定的定点医药机构资源配置规划与年度配置目标，拟定年度执行计划，报同级医疗保障行政部门备案同意后执行，并接受医疗保障行政部门监督。</w:t>
            </w:r>
          </w:p>
        </w:tc>
        <w:tc>
          <w:tcPr>
            <w:tcW w:w="690" w:type="dxa"/>
            <w:vAlign w:val="top"/>
          </w:tcPr>
          <w:p>
            <w:pPr>
              <w:spacing w:line="249"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spacing w:line="249" w:lineRule="auto"/>
              <w:rPr>
                <w:rFonts w:ascii="Arial"/>
                <w:color w:val="auto"/>
                <w:sz w:val="21"/>
              </w:rPr>
            </w:pPr>
          </w:p>
          <w:p>
            <w:pPr>
              <w:pStyle w:val="8"/>
              <w:spacing w:before="65" w:line="230" w:lineRule="auto"/>
              <w:ind w:left="41"/>
            </w:pPr>
            <w:r>
              <w:rPr>
                <w:spacing w:val="5"/>
              </w:rPr>
              <w:t>信阳市</w:t>
            </w:r>
          </w:p>
          <w:p>
            <w:pPr>
              <w:pStyle w:val="8"/>
              <w:spacing w:before="63" w:line="229" w:lineRule="auto"/>
              <w:ind w:left="59"/>
            </w:pPr>
            <w:r>
              <w:rPr>
                <w:rFonts w:hint="eastAsia"/>
                <w:spacing w:val="-1"/>
                <w:lang w:eastAsia="zh-CN"/>
              </w:rPr>
              <w:t>浉河区</w:t>
            </w:r>
            <w:r>
              <w:rPr>
                <w:spacing w:val="-1"/>
              </w:rPr>
              <w:t>医疗保</w:t>
            </w:r>
          </w:p>
          <w:p>
            <w:pPr>
              <w:pStyle w:val="8"/>
              <w:spacing w:before="63" w:line="230" w:lineRule="auto"/>
              <w:ind w:left="158" w:leftChars="0"/>
              <w:rPr>
                <w:color w:val="auto"/>
              </w:rPr>
            </w:pPr>
            <w:r>
              <w:rPr>
                <w:spacing w:val="-4"/>
              </w:rPr>
              <w:t>障局</w:t>
            </w:r>
          </w:p>
        </w:tc>
        <w:tc>
          <w:tcPr>
            <w:tcW w:w="4483" w:type="dxa"/>
            <w:vAlign w:val="top"/>
          </w:tcPr>
          <w:p>
            <w:pPr>
              <w:pStyle w:val="8"/>
              <w:spacing w:before="63" w:line="269" w:lineRule="auto"/>
              <w:ind w:left="37" w:leftChars="0" w:right="13" w:rightChars="0" w:hanging="19" w:firstLineChars="0"/>
              <w:rPr>
                <w:rFonts w:hint="eastAsia"/>
                <w:color w:val="auto"/>
                <w:spacing w:val="6"/>
                <w:lang w:val="en-US" w:eastAsia="zh-CN"/>
              </w:rPr>
            </w:pPr>
          </w:p>
          <w:p>
            <w:pPr>
              <w:pStyle w:val="8"/>
              <w:spacing w:before="63" w:line="269" w:lineRule="auto"/>
              <w:ind w:left="37" w:leftChars="0" w:right="13" w:rightChars="0" w:hanging="19" w:firstLineChars="0"/>
              <w:rPr>
                <w:rFonts w:hint="eastAsia"/>
                <w:color w:val="auto"/>
                <w:spacing w:val="6"/>
                <w:lang w:val="en-US" w:eastAsia="zh-CN"/>
              </w:rPr>
            </w:pPr>
          </w:p>
          <w:p>
            <w:pPr>
              <w:pStyle w:val="8"/>
              <w:spacing w:before="63" w:line="269" w:lineRule="auto"/>
              <w:ind w:right="13" w:rightChars="0"/>
              <w:rPr>
                <w:color w:val="auto"/>
              </w:rPr>
            </w:pPr>
            <w:r>
              <w:rPr>
                <w:rFonts w:hint="eastAsia"/>
                <w:color w:val="auto"/>
                <w:spacing w:val="6"/>
                <w:lang w:val="en-US" w:eastAsia="zh-CN"/>
              </w:rPr>
              <w:t>1</w:t>
            </w:r>
            <w:r>
              <w:rPr>
                <w:color w:val="auto"/>
                <w:spacing w:val="6"/>
              </w:rPr>
              <w:t>、签订协议。公示期满无异议的，双方按照平等</w:t>
            </w:r>
            <w:r>
              <w:rPr>
                <w:color w:val="auto"/>
                <w:spacing w:val="8"/>
              </w:rPr>
              <w:t>的原则进行协商，双方签订河南省医疗保障定点</w:t>
            </w:r>
            <w:r>
              <w:rPr>
                <w:color w:val="auto"/>
                <w:spacing w:val="5"/>
              </w:rPr>
              <w:t>医药机构服务协议。</w:t>
            </w:r>
          </w:p>
        </w:tc>
        <w:tc>
          <w:tcPr>
            <w:tcW w:w="2022" w:type="dxa"/>
            <w:tcBorders>
              <w:right w:val="single" w:color="FFFFFF" w:sz="2" w:space="0"/>
            </w:tcBorders>
            <w:vAlign w:val="top"/>
          </w:tcPr>
          <w:p>
            <w:pPr>
              <w:spacing w:line="292" w:lineRule="auto"/>
              <w:rPr>
                <w:rFonts w:ascii="Arial"/>
                <w:sz w:val="21"/>
              </w:rPr>
            </w:pPr>
          </w:p>
          <w:p>
            <w:pPr>
              <w:spacing w:line="292" w:lineRule="auto"/>
              <w:rPr>
                <w:rFonts w:ascii="Arial"/>
                <w:sz w:val="21"/>
              </w:rPr>
            </w:pPr>
          </w:p>
          <w:p>
            <w:pPr>
              <w:pStyle w:val="8"/>
              <w:spacing w:before="65" w:line="252" w:lineRule="auto"/>
              <w:ind w:left="28" w:leftChars="0" w:right="13" w:rightChars="0"/>
              <w:jc w:val="both"/>
            </w:pPr>
            <w:r>
              <w:rPr>
                <w:spacing w:val="8"/>
              </w:rPr>
              <w:t>《中华人民共和国社会保险法》第九十三</w:t>
            </w:r>
            <w:r>
              <w:rPr>
                <w:spacing w:val="3"/>
              </w:rPr>
              <w:t>条</w:t>
            </w:r>
            <w:r>
              <w:rPr>
                <w:spacing w:val="25"/>
              </w:rPr>
              <w:t xml:space="preserve">  </w:t>
            </w:r>
            <w:r>
              <w:rPr>
                <w:spacing w:val="3"/>
              </w:rPr>
              <w:t>国家工作人员在</w:t>
            </w:r>
            <w:r>
              <w:rPr>
                <w:spacing w:val="8"/>
              </w:rPr>
              <w:t>社会保险管理、监督工作中滥用职权、玩</w:t>
            </w:r>
            <w:r>
              <w:rPr>
                <w:spacing w:val="7"/>
              </w:rPr>
              <w:t>忽职守、徇私舞弊的,</w:t>
            </w:r>
            <w:r>
              <w:rPr>
                <w:spacing w:val="6"/>
              </w:rPr>
              <w:t>依法给予处分。</w:t>
            </w:r>
          </w:p>
        </w:tc>
      </w:tr>
      <w:tr>
        <w:tblPrEx>
          <w:tblBorders>
            <w:top w:val="single" w:color="FBDFE4" w:sz="2" w:space="0"/>
            <w:left w:val="single" w:color="FBDFE4" w:sz="2" w:space="0"/>
            <w:bottom w:val="single" w:color="FBDFE4" w:sz="2" w:space="0"/>
            <w:right w:val="single" w:color="FBDFE4" w:sz="2" w:space="0"/>
            <w:insideH w:val="single" w:color="FBDFE4" w:sz="2" w:space="0"/>
            <w:insideV w:val="single" w:color="FBDFE4" w:sz="2" w:space="0"/>
          </w:tblBorders>
          <w:tblCellMar>
            <w:top w:w="0" w:type="dxa"/>
            <w:left w:w="0" w:type="dxa"/>
            <w:bottom w:w="0" w:type="dxa"/>
            <w:right w:w="0" w:type="dxa"/>
          </w:tblCellMar>
        </w:tblPrEx>
        <w:trPr>
          <w:trHeight w:val="9354" w:hRule="atLeast"/>
        </w:trPr>
        <w:tc>
          <w:tcPr>
            <w:tcW w:w="407" w:type="dxa"/>
            <w:tcBorders>
              <w:left w:val="single" w:color="FFFFFF" w:sz="2" w:space="0"/>
            </w:tcBorders>
            <w:vAlign w:val="top"/>
          </w:tcPr>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8"/>
              <w:spacing w:before="65" w:line="270" w:lineRule="exact"/>
              <w:ind w:left="154" w:leftChars="0"/>
            </w:pPr>
            <w:r>
              <w:rPr>
                <w:position w:val="1"/>
              </w:rPr>
              <w:t>8</w:t>
            </w:r>
          </w:p>
        </w:tc>
        <w:tc>
          <w:tcPr>
            <w:tcW w:w="1034" w:type="dxa"/>
            <w:vAlign w:val="top"/>
          </w:tcPr>
          <w:p>
            <w:pPr>
              <w:pStyle w:val="8"/>
              <w:spacing w:before="72" w:line="229" w:lineRule="auto"/>
              <w:ind w:left="24"/>
              <w:rPr>
                <w:rFonts w:hint="eastAsia" w:eastAsia="FangSong"/>
                <w:lang w:eastAsia="zh-CN"/>
              </w:rPr>
            </w:pPr>
            <w:r>
              <w:rPr>
                <w:spacing w:val="5"/>
              </w:rPr>
              <w:t>选择</w:t>
            </w:r>
            <w:r>
              <w:rPr>
                <w:rFonts w:hint="eastAsia"/>
                <w:spacing w:val="5"/>
                <w:lang w:eastAsia="zh-CN"/>
              </w:rPr>
              <w:t>浉河区</w:t>
            </w:r>
            <w:r>
              <w:rPr>
                <w:spacing w:val="5"/>
              </w:rPr>
              <w:t>基本医疗保险参保</w:t>
            </w:r>
            <w:r>
              <w:rPr>
                <w:spacing w:val="6"/>
              </w:rPr>
              <w:t>职工及离</w:t>
            </w:r>
            <w:r>
              <w:rPr>
                <w:spacing w:val="5"/>
              </w:rPr>
              <w:t>休干部转诊转院</w:t>
            </w:r>
            <w:r>
              <w:rPr>
                <w:rFonts w:hint="eastAsia"/>
                <w:spacing w:val="5"/>
                <w:lang w:eastAsia="zh-CN"/>
              </w:rPr>
              <w:t>办理</w:t>
            </w:r>
          </w:p>
        </w:tc>
        <w:tc>
          <w:tcPr>
            <w:tcW w:w="600" w:type="dxa"/>
            <w:vAlign w:val="top"/>
          </w:tcPr>
          <w:p>
            <w:pPr>
              <w:spacing w:line="323" w:lineRule="auto"/>
              <w:rPr>
                <w:rFonts w:ascii="Arial"/>
                <w:sz w:val="21"/>
              </w:rPr>
            </w:pPr>
          </w:p>
          <w:p>
            <w:pPr>
              <w:spacing w:line="323" w:lineRule="auto"/>
              <w:rPr>
                <w:rFonts w:ascii="Arial"/>
                <w:sz w:val="21"/>
              </w:rPr>
            </w:pPr>
          </w:p>
          <w:p>
            <w:pPr>
              <w:pStyle w:val="8"/>
              <w:spacing w:before="65" w:line="251" w:lineRule="auto"/>
              <w:ind w:left="24" w:leftChars="0" w:right="165" w:rightChars="0" w:firstLine="2" w:firstLineChars="0"/>
            </w:pPr>
            <w:r>
              <w:rPr>
                <w:spacing w:val="1"/>
              </w:rPr>
              <w:t>其他</w:t>
            </w:r>
            <w:r>
              <w:rPr>
                <w:spacing w:val="2"/>
              </w:rPr>
              <w:t>职权</w:t>
            </w:r>
          </w:p>
        </w:tc>
        <w:tc>
          <w:tcPr>
            <w:tcW w:w="5758" w:type="dxa"/>
            <w:vAlign w:val="top"/>
          </w:tcPr>
          <w:p>
            <w:pPr>
              <w:pStyle w:val="8"/>
              <w:spacing w:before="35" w:line="251" w:lineRule="auto"/>
              <w:ind w:left="24" w:right="72" w:firstLine="420"/>
              <w:jc w:val="both"/>
            </w:pPr>
            <w:r>
              <w:rPr>
                <w:spacing w:val="9"/>
              </w:rPr>
              <w:t>《国务院办公厅关于推进分级诊疗制度建设的指</w:t>
            </w:r>
            <w:r>
              <w:rPr>
                <w:spacing w:val="8"/>
              </w:rPr>
              <w:t>导意见》</w:t>
            </w:r>
            <w:r>
              <w:t xml:space="preserve"> </w:t>
            </w:r>
            <w:r>
              <w:rPr>
                <w:spacing w:val="5"/>
              </w:rPr>
              <w:t>（国办发〔2015〕70号</w:t>
            </w:r>
            <w:r>
              <w:rPr>
                <w:spacing w:val="-14"/>
              </w:rPr>
              <w:t>）</w:t>
            </w:r>
            <w:r>
              <w:rPr>
                <w:spacing w:val="-59"/>
              </w:rPr>
              <w:t xml:space="preserve"> </w:t>
            </w:r>
            <w:r>
              <w:rPr>
                <w:spacing w:val="-14"/>
              </w:rPr>
              <w:t>：</w:t>
            </w:r>
            <w:r>
              <w:rPr>
                <w:spacing w:val="5"/>
              </w:rPr>
              <w:t>“一、总体要求（</w:t>
            </w:r>
            <w:r>
              <w:rPr>
                <w:spacing w:val="-49"/>
              </w:rPr>
              <w:t xml:space="preserve"> </w:t>
            </w:r>
            <w:r>
              <w:rPr>
                <w:spacing w:val="5"/>
              </w:rPr>
              <w:t>二）</w:t>
            </w:r>
            <w:r>
              <w:rPr>
                <w:spacing w:val="-45"/>
              </w:rPr>
              <w:t xml:space="preserve"> </w:t>
            </w:r>
            <w:r>
              <w:rPr>
                <w:spacing w:val="4"/>
              </w:rPr>
              <w:t>目标任务。</w:t>
            </w:r>
            <w:r>
              <w:rPr>
                <w:spacing w:val="9"/>
              </w:rPr>
              <w:t>双向转诊。坚持科学就医、方便群众、提高效率，完善双向转诊程序，建立健全转诊指导目录，重点畅通慢性期、恢复期患者向下转诊渠道，逐步实现不同级别、不同类别医疗机构之间</w:t>
            </w:r>
            <w:r>
              <w:rPr>
                <w:spacing w:val="17"/>
              </w:rPr>
              <w:t>的有序转诊。</w:t>
            </w:r>
            <w:r>
              <w:rPr>
                <w:spacing w:val="-65"/>
              </w:rPr>
              <w:t xml:space="preserve"> </w:t>
            </w:r>
            <w:r>
              <w:rPr>
                <w:spacing w:val="17"/>
              </w:rPr>
              <w:t>”</w:t>
            </w:r>
          </w:p>
          <w:p>
            <w:pPr>
              <w:pStyle w:val="8"/>
              <w:spacing w:before="33" w:line="251" w:lineRule="auto"/>
              <w:ind w:right="72"/>
              <w:jc w:val="both"/>
            </w:pPr>
            <w:r>
              <w:rPr>
                <w:spacing w:val="3"/>
              </w:rPr>
              <w:t>《城镇职工基本医疗保险定点医疗机构管理暂行办法》（劳</w:t>
            </w:r>
            <w:r>
              <w:rPr>
                <w:spacing w:val="8"/>
              </w:rPr>
              <w:t>社部发〔1999〕14号）第十三条第二款：“参保人员在不同等</w:t>
            </w:r>
            <w:r>
              <w:rPr>
                <w:spacing w:val="9"/>
              </w:rPr>
              <w:t>级定点医疗机构就医时个人负担医疗费用的具体比例和参保人</w:t>
            </w:r>
            <w:r>
              <w:rPr>
                <w:spacing w:val="7"/>
              </w:rPr>
              <w:t>员转诊、转院管理办法，</w:t>
            </w:r>
            <w:r>
              <w:rPr>
                <w:spacing w:val="-38"/>
              </w:rPr>
              <w:t xml:space="preserve"> </w:t>
            </w:r>
            <w:r>
              <w:rPr>
                <w:spacing w:val="7"/>
              </w:rPr>
              <w:t>由统筹地区劳动保障行政管理部门制</w:t>
            </w:r>
            <w:r>
              <w:rPr>
                <w:spacing w:val="25"/>
              </w:rPr>
              <w:t>定。</w:t>
            </w:r>
            <w:r>
              <w:rPr>
                <w:spacing w:val="-64"/>
              </w:rPr>
              <w:t xml:space="preserve"> </w:t>
            </w:r>
            <w:r>
              <w:rPr>
                <w:spacing w:val="25"/>
              </w:rPr>
              <w:t>”</w:t>
            </w:r>
          </w:p>
          <w:p>
            <w:pPr>
              <w:pStyle w:val="8"/>
              <w:spacing w:before="7" w:line="250" w:lineRule="auto"/>
              <w:ind w:left="24" w:right="12" w:firstLine="420"/>
              <w:jc w:val="both"/>
            </w:pPr>
            <w:r>
              <w:rPr>
                <w:spacing w:val="9"/>
              </w:rPr>
              <w:t>《河南省人力资源和社会保障厅关于印发河南省基本医疗保险转诊转院和异地就医管理暂行办法的通知》（豫人社医疗</w:t>
            </w:r>
            <w:r>
              <w:rPr>
                <w:spacing w:val="7"/>
              </w:rPr>
              <w:t>〔2016〕18 号）第六条：“参保人员需转往参保地外市</w:t>
            </w:r>
            <w:r>
              <w:rPr>
                <w:spacing w:val="6"/>
              </w:rPr>
              <w:t>级及以</w:t>
            </w:r>
            <w:r>
              <w:rPr>
                <w:spacing w:val="9"/>
              </w:rPr>
              <w:t>上医疗机构住院的，应到参保地确定具有转诊转院资格的定点医疗机构开具转诊转院证明；需再次转院的，应由所住医疗机构开具转诊转院证明。参保人员凭转诊转院证明向参保地医保</w:t>
            </w:r>
            <w:r>
              <w:rPr>
                <w:spacing w:val="7"/>
              </w:rPr>
              <w:t>经办机构备案；在异地就医即时结算定点医疗机构就医的,医保</w:t>
            </w:r>
            <w:r>
              <w:rPr>
                <w:spacing w:val="13"/>
              </w:rPr>
              <w:t>经办机构同步办理电子转诊。</w:t>
            </w:r>
            <w:r>
              <w:rPr>
                <w:spacing w:val="-59"/>
              </w:rPr>
              <w:t xml:space="preserve"> </w:t>
            </w:r>
            <w:r>
              <w:rPr>
                <w:spacing w:val="13"/>
              </w:rPr>
              <w:t>”</w:t>
            </w:r>
          </w:p>
          <w:p>
            <w:pPr>
              <w:pStyle w:val="8"/>
              <w:spacing w:before="1" w:line="217" w:lineRule="auto"/>
              <w:ind w:right="12" w:rightChars="0"/>
              <w:jc w:val="right"/>
            </w:pPr>
            <w:r>
              <w:rPr>
                <w:spacing w:val="7"/>
              </w:rPr>
              <w:t>《中共河南省委组织部、</w:t>
            </w:r>
            <w:r>
              <w:rPr>
                <w:spacing w:val="-41"/>
              </w:rPr>
              <w:t xml:space="preserve"> </w:t>
            </w:r>
            <w:r>
              <w:rPr>
                <w:spacing w:val="7"/>
              </w:rPr>
              <w:t>中共河南省委老干部局、河南省</w:t>
            </w:r>
            <w:r>
              <w:rPr>
                <w:spacing w:val="4"/>
              </w:rPr>
              <w:t>劳动和社会保障厅、河南省卫生厅、河南省财政厅关于印</w:t>
            </w:r>
            <w:r>
              <w:rPr>
                <w:spacing w:val="3"/>
              </w:rPr>
              <w:t>发〈河</w:t>
            </w:r>
            <w:r>
              <w:rPr>
                <w:spacing w:val="9"/>
              </w:rPr>
              <w:t>南省省直离休干部医药费保障和管理工作暂行</w:t>
            </w:r>
            <w:r>
              <w:rPr>
                <w:spacing w:val="8"/>
              </w:rPr>
              <w:t>办法〉的通知》</w:t>
            </w:r>
            <w:r>
              <w:t xml:space="preserve"> </w:t>
            </w:r>
            <w:r>
              <w:rPr>
                <w:spacing w:val="7"/>
              </w:rPr>
              <w:t>（豫老〔2003〕7号）第十五条：“离休干部因病情需要</w:t>
            </w:r>
            <w:r>
              <w:rPr>
                <w:spacing w:val="6"/>
              </w:rPr>
              <w:t>转诊转</w:t>
            </w:r>
            <w:r>
              <w:rPr>
                <w:spacing w:val="7"/>
              </w:rPr>
              <w:t>院的，</w:t>
            </w:r>
            <w:r>
              <w:rPr>
                <w:spacing w:val="-40"/>
              </w:rPr>
              <w:t xml:space="preserve"> </w:t>
            </w:r>
            <w:r>
              <w:rPr>
                <w:spacing w:val="7"/>
              </w:rPr>
              <w:t>由定点医疗机构提出意见，报经办机构批准方可转诊转</w:t>
            </w:r>
            <w:r>
              <w:rPr>
                <w:spacing w:val="24"/>
              </w:rPr>
              <w:t>院。</w:t>
            </w:r>
            <w:r>
              <w:rPr>
                <w:spacing w:val="-63"/>
              </w:rPr>
              <w:t xml:space="preserve"> </w:t>
            </w:r>
            <w:r>
              <w:rPr>
                <w:spacing w:val="24"/>
              </w:rPr>
              <w:t>”</w:t>
            </w:r>
          </w:p>
        </w:tc>
        <w:tc>
          <w:tcPr>
            <w:tcW w:w="690" w:type="dxa"/>
            <w:vAlign w:val="top"/>
          </w:tcPr>
          <w:p>
            <w:pPr>
              <w:spacing w:line="473" w:lineRule="auto"/>
              <w:rPr>
                <w:rFonts w:ascii="Arial"/>
                <w:sz w:val="21"/>
              </w:rPr>
            </w:pPr>
          </w:p>
          <w:p>
            <w:pPr>
              <w:pStyle w:val="8"/>
              <w:spacing w:before="65" w:line="230" w:lineRule="auto"/>
              <w:ind w:left="41"/>
            </w:pPr>
            <w:r>
              <w:rPr>
                <w:spacing w:val="5"/>
              </w:rPr>
              <w:t>信阳市</w:t>
            </w:r>
          </w:p>
          <w:p>
            <w:pPr>
              <w:pStyle w:val="8"/>
              <w:spacing w:before="63" w:line="229" w:lineRule="auto"/>
              <w:ind w:left="59"/>
            </w:pPr>
            <w:r>
              <w:rPr>
                <w:spacing w:val="-1"/>
              </w:rPr>
              <w:t>医疗保</w:t>
            </w:r>
          </w:p>
          <w:p>
            <w:pPr>
              <w:pStyle w:val="8"/>
              <w:spacing w:before="63" w:line="230" w:lineRule="auto"/>
              <w:ind w:left="158" w:leftChars="0"/>
            </w:pPr>
            <w:r>
              <w:rPr>
                <w:spacing w:val="-4"/>
              </w:rPr>
              <w:t>障局</w:t>
            </w:r>
          </w:p>
        </w:tc>
        <w:tc>
          <w:tcPr>
            <w:tcW w:w="4483" w:type="dxa"/>
            <w:vAlign w:val="top"/>
          </w:tcPr>
          <w:p>
            <w:pPr>
              <w:pStyle w:val="8"/>
              <w:spacing w:before="72" w:line="260" w:lineRule="auto"/>
              <w:ind w:left="27" w:right="162" w:firstLine="427"/>
            </w:pPr>
            <w:r>
              <w:rPr>
                <w:spacing w:val="8"/>
              </w:rPr>
              <w:t>1、鼓励使用医保信息平台等"不见面"网上</w:t>
            </w:r>
            <w:r>
              <w:rPr>
                <w:spacing w:val="6"/>
              </w:rPr>
              <w:t>备案(备案人员)</w:t>
            </w:r>
          </w:p>
          <w:p>
            <w:pPr>
              <w:pStyle w:val="8"/>
              <w:spacing w:before="60" w:line="258" w:lineRule="auto"/>
              <w:ind w:left="35" w:right="11" w:firstLine="406"/>
            </w:pPr>
            <w:r>
              <w:rPr>
                <w:spacing w:val="6"/>
              </w:rPr>
              <w:t>2、到有转诊资质的定点医疗机构开具的《河南省基本医疗保险转诊单》。</w:t>
            </w:r>
          </w:p>
          <w:p>
            <w:pPr>
              <w:pStyle w:val="8"/>
              <w:spacing w:before="65" w:line="259" w:lineRule="auto"/>
              <w:ind w:left="24" w:right="56" w:hanging="1"/>
              <w:rPr>
                <w:spacing w:val="7"/>
              </w:rPr>
            </w:pPr>
            <w:r>
              <w:rPr>
                <w:spacing w:val="6"/>
              </w:rPr>
              <w:t>3、异地急诊人员</w:t>
            </w:r>
            <w:r>
              <w:rPr>
                <w:spacing w:val="64"/>
              </w:rPr>
              <w:t xml:space="preserve"> </w:t>
            </w:r>
            <w:r>
              <w:rPr>
                <w:spacing w:val="6"/>
              </w:rPr>
              <w:t>(精神病患者)可提供急诊诊断</w:t>
            </w:r>
            <w:r>
              <w:rPr>
                <w:spacing w:val="7"/>
              </w:rPr>
              <w:t>证明(精神病诊断证明)。</w:t>
            </w:r>
          </w:p>
          <w:p>
            <w:pPr>
              <w:pStyle w:val="8"/>
              <w:spacing w:before="65" w:line="259" w:lineRule="auto"/>
              <w:ind w:left="24" w:leftChars="0" w:right="56" w:rightChars="0" w:hanging="1" w:firstLineChars="0"/>
              <w:rPr>
                <w:spacing w:val="7"/>
              </w:rPr>
            </w:pPr>
            <w:r>
              <w:rPr>
                <w:spacing w:val="9"/>
              </w:rPr>
              <w:t>4.异地转诊人员同一疾病过程一年内在同一家定</w:t>
            </w:r>
            <w:r>
              <w:rPr>
                <w:spacing w:val="6"/>
              </w:rPr>
              <w:t>点医疗机构住院</w:t>
            </w:r>
            <w:r>
              <w:rPr>
                <w:spacing w:val="59"/>
              </w:rPr>
              <w:t xml:space="preserve"> </w:t>
            </w:r>
            <w:r>
              <w:rPr>
                <w:spacing w:val="6"/>
              </w:rPr>
              <w:t>(含跨年度住院),第二次及以后不再开具转诊单,凭有效身份证件、原转诊转院证</w:t>
            </w:r>
            <w:r>
              <w:rPr>
                <w:spacing w:val="8"/>
              </w:rPr>
              <w:t>明材料或疾病诊断证明, 到参保地经办机构或原转出定点医疗机构直接办理备案手续。</w:t>
            </w:r>
          </w:p>
        </w:tc>
        <w:tc>
          <w:tcPr>
            <w:tcW w:w="2022" w:type="dxa"/>
            <w:tcBorders>
              <w:right w:val="single" w:color="FFFFFF" w:sz="2" w:space="0"/>
            </w:tcBorders>
            <w:vAlign w:val="top"/>
          </w:tcPr>
          <w:p>
            <w:pPr>
              <w:pStyle w:val="8"/>
              <w:spacing w:before="38" w:line="246" w:lineRule="auto"/>
              <w:ind w:left="28" w:leftChars="0" w:right="13" w:rightChars="0"/>
              <w:jc w:val="both"/>
            </w:pPr>
            <w:r>
              <w:rPr>
                <w:spacing w:val="8"/>
              </w:rPr>
              <w:t>《中华人民共和国社会保险法》第九十三</w:t>
            </w:r>
            <w:r>
              <w:rPr>
                <w:spacing w:val="3"/>
              </w:rPr>
              <w:t>条</w:t>
            </w:r>
            <w:r>
              <w:rPr>
                <w:spacing w:val="25"/>
              </w:rPr>
              <w:t xml:space="preserve">  </w:t>
            </w:r>
            <w:r>
              <w:rPr>
                <w:spacing w:val="3"/>
              </w:rPr>
              <w:t>国家工作人员在</w:t>
            </w:r>
            <w:r>
              <w:rPr>
                <w:spacing w:val="8"/>
              </w:rPr>
              <w:t>社会保险管理、监督工作中滥用职权、玩</w:t>
            </w:r>
            <w:r>
              <w:rPr>
                <w:spacing w:val="7"/>
              </w:rPr>
              <w:t>忽职守、徇私舞弊的,</w:t>
            </w:r>
            <w:r>
              <w:rPr>
                <w:spacing w:val="6"/>
              </w:rPr>
              <w:t>依法给予处分。</w:t>
            </w:r>
          </w:p>
        </w:tc>
      </w:tr>
    </w:tbl>
    <w:p>
      <w:pPr>
        <w:rPr>
          <w:sz w:val="21"/>
          <w:szCs w:val="21"/>
        </w:rPr>
        <w:sectPr>
          <w:footerReference r:id="rId8" w:type="default"/>
          <w:pgSz w:w="16839" w:h="11906"/>
          <w:pgMar w:top="1012" w:right="1138" w:bottom="1163" w:left="700" w:header="0" w:footer="791" w:gutter="0"/>
          <w:pgNumType w:fmt="decimal"/>
          <w:cols w:space="720" w:num="1"/>
        </w:sectPr>
      </w:pPr>
    </w:p>
    <w:tbl>
      <w:tblPr>
        <w:tblStyle w:val="7"/>
        <w:tblpPr w:leftFromText="180" w:rightFromText="180" w:vertAnchor="text" w:horzAnchor="page" w:tblpX="790" w:tblpY="103"/>
        <w:tblOverlap w:val="never"/>
        <w:tblW w:w="14994" w:type="dxa"/>
        <w:tblInd w:w="0" w:type="dxa"/>
        <w:tblBorders>
          <w:top w:val="single" w:color="FBDFE4" w:sz="2" w:space="0"/>
          <w:left w:val="single" w:color="FBDFE4" w:sz="2" w:space="0"/>
          <w:bottom w:val="single" w:color="FBDFE4" w:sz="2" w:space="0"/>
          <w:right w:val="single" w:color="FBDFE4" w:sz="2" w:space="0"/>
          <w:insideH w:val="single" w:color="FBDFE4" w:sz="2" w:space="0"/>
          <w:insideV w:val="single" w:color="FBDFE4" w:sz="2" w:space="0"/>
        </w:tblBorders>
        <w:tblLayout w:type="fixed"/>
        <w:tblCellMar>
          <w:top w:w="0" w:type="dxa"/>
          <w:left w:w="0" w:type="dxa"/>
          <w:bottom w:w="0" w:type="dxa"/>
          <w:right w:w="0" w:type="dxa"/>
        </w:tblCellMar>
      </w:tblPr>
      <w:tblGrid>
        <w:gridCol w:w="407"/>
        <w:gridCol w:w="1034"/>
        <w:gridCol w:w="600"/>
        <w:gridCol w:w="5758"/>
        <w:gridCol w:w="690"/>
        <w:gridCol w:w="4483"/>
        <w:gridCol w:w="2022"/>
      </w:tblGrid>
      <w:tr>
        <w:tblPrEx>
          <w:tblBorders>
            <w:top w:val="single" w:color="FBDFE4" w:sz="2" w:space="0"/>
            <w:left w:val="single" w:color="FBDFE4" w:sz="2" w:space="0"/>
            <w:bottom w:val="single" w:color="FBDFE4" w:sz="2" w:space="0"/>
            <w:right w:val="single" w:color="FBDFE4" w:sz="2" w:space="0"/>
            <w:insideH w:val="single" w:color="FBDFE4" w:sz="2" w:space="0"/>
            <w:insideV w:val="single" w:color="FBDFE4" w:sz="2" w:space="0"/>
          </w:tblBorders>
          <w:tblCellMar>
            <w:top w:w="0" w:type="dxa"/>
            <w:left w:w="0" w:type="dxa"/>
            <w:bottom w:w="0" w:type="dxa"/>
            <w:right w:w="0" w:type="dxa"/>
          </w:tblCellMar>
        </w:tblPrEx>
        <w:trPr>
          <w:trHeight w:val="8424" w:hRule="atLeast"/>
        </w:trPr>
        <w:tc>
          <w:tcPr>
            <w:tcW w:w="407" w:type="dxa"/>
            <w:tcBorders>
              <w:left w:val="single" w:color="FFFFFF" w:sz="2" w:space="0"/>
            </w:tcBorders>
            <w:vAlign w:val="top"/>
          </w:tcPr>
          <w:p>
            <w:pPr>
              <w:spacing w:line="255" w:lineRule="auto"/>
              <w:rPr>
                <w:rFonts w:ascii="Arial"/>
                <w:sz w:val="21"/>
              </w:rPr>
            </w:pPr>
          </w:p>
          <w:p>
            <w:pPr>
              <w:spacing w:line="256" w:lineRule="auto"/>
              <w:rPr>
                <w:rFonts w:ascii="Arial"/>
                <w:sz w:val="21"/>
              </w:rPr>
            </w:pPr>
          </w:p>
          <w:p>
            <w:pPr>
              <w:spacing w:line="256" w:lineRule="auto"/>
              <w:rPr>
                <w:rFonts w:ascii="Arial"/>
                <w:sz w:val="21"/>
              </w:rPr>
            </w:pPr>
          </w:p>
          <w:p>
            <w:pPr>
              <w:pStyle w:val="8"/>
              <w:spacing w:before="65" w:line="272" w:lineRule="exact"/>
              <w:ind w:left="119"/>
              <w:rPr>
                <w:rFonts w:hint="eastAsia" w:eastAsia="FangSong"/>
                <w:lang w:val="en-US" w:eastAsia="zh-CN"/>
              </w:rPr>
            </w:pPr>
            <w:r>
              <w:rPr>
                <w:rFonts w:hint="eastAsia"/>
                <w:lang w:val="en-US" w:eastAsia="zh-CN"/>
              </w:rPr>
              <w:t>9</w:t>
            </w:r>
          </w:p>
        </w:tc>
        <w:tc>
          <w:tcPr>
            <w:tcW w:w="1034" w:type="dxa"/>
            <w:vAlign w:val="top"/>
          </w:tcPr>
          <w:p>
            <w:pPr>
              <w:pStyle w:val="8"/>
              <w:spacing w:before="213" w:line="231" w:lineRule="auto"/>
              <w:ind w:left="108"/>
            </w:pPr>
            <w:r>
              <w:rPr>
                <w:spacing w:val="5"/>
              </w:rPr>
              <w:t>对欺诈骗</w:t>
            </w:r>
          </w:p>
          <w:p>
            <w:pPr>
              <w:pStyle w:val="8"/>
              <w:spacing w:before="62" w:line="229" w:lineRule="auto"/>
              <w:ind w:left="107"/>
            </w:pPr>
            <w:r>
              <w:rPr>
                <w:spacing w:val="5"/>
              </w:rPr>
              <w:t>取医疗保</w:t>
            </w:r>
          </w:p>
          <w:p>
            <w:pPr>
              <w:pStyle w:val="8"/>
              <w:spacing w:before="63" w:line="229" w:lineRule="auto"/>
              <w:ind w:left="117"/>
            </w:pPr>
            <w:r>
              <w:rPr>
                <w:spacing w:val="3"/>
              </w:rPr>
              <w:t>障基金行</w:t>
            </w:r>
          </w:p>
          <w:p>
            <w:pPr>
              <w:pStyle w:val="8"/>
              <w:spacing w:before="64" w:line="288" w:lineRule="auto"/>
              <w:ind w:left="318" w:right="98" w:hanging="205"/>
            </w:pPr>
            <w:r>
              <w:rPr>
                <w:spacing w:val="4"/>
              </w:rPr>
              <w:t>为的举报</w:t>
            </w:r>
            <w:r>
              <w:rPr>
                <w:spacing w:val="-1"/>
              </w:rPr>
              <w:t>奖励</w:t>
            </w:r>
          </w:p>
        </w:tc>
        <w:tc>
          <w:tcPr>
            <w:tcW w:w="600" w:type="dxa"/>
            <w:vAlign w:val="top"/>
          </w:tcPr>
          <w:p>
            <w:pPr>
              <w:spacing w:line="315" w:lineRule="auto"/>
              <w:rPr>
                <w:rFonts w:ascii="Arial"/>
                <w:sz w:val="21"/>
              </w:rPr>
            </w:pPr>
          </w:p>
          <w:p>
            <w:pPr>
              <w:spacing w:line="315" w:lineRule="auto"/>
              <w:rPr>
                <w:rFonts w:ascii="Arial"/>
                <w:sz w:val="21"/>
              </w:rPr>
            </w:pPr>
          </w:p>
          <w:p>
            <w:pPr>
              <w:pStyle w:val="8"/>
              <w:spacing w:before="65" w:line="251" w:lineRule="auto"/>
              <w:ind w:left="24" w:right="165" w:firstLine="2"/>
            </w:pPr>
            <w:r>
              <w:rPr>
                <w:spacing w:val="1"/>
              </w:rPr>
              <w:t>其他</w:t>
            </w:r>
            <w:r>
              <w:rPr>
                <w:spacing w:val="2"/>
              </w:rPr>
              <w:t>职权</w:t>
            </w:r>
          </w:p>
        </w:tc>
        <w:tc>
          <w:tcPr>
            <w:tcW w:w="5758" w:type="dxa"/>
            <w:vAlign w:val="top"/>
          </w:tcPr>
          <w:p>
            <w:pPr>
              <w:pStyle w:val="8"/>
              <w:spacing w:before="84" w:line="277" w:lineRule="auto"/>
              <w:ind w:left="24" w:right="15" w:firstLine="420"/>
              <w:jc w:val="both"/>
            </w:pPr>
            <w:r>
              <w:rPr>
                <w:spacing w:val="8"/>
              </w:rPr>
              <w:t>《国家医疗保障局办公室  财政部办公厅关于印发&lt;欺诈</w:t>
            </w:r>
            <w:r>
              <w:rPr>
                <w:spacing w:val="7"/>
              </w:rPr>
              <w:t>骗取医疗保障基金行为举报奖励暂行办法&gt;的通知》（医保办发</w:t>
            </w:r>
            <w:r>
              <w:rPr>
                <w:spacing w:val="8"/>
              </w:rPr>
              <w:t>〔2018〕22号）第三条：</w:t>
            </w:r>
            <w:r>
              <w:rPr>
                <w:spacing w:val="-80"/>
              </w:rPr>
              <w:t xml:space="preserve"> </w:t>
            </w:r>
            <w:r>
              <w:rPr>
                <w:spacing w:val="8"/>
              </w:rPr>
              <w:t>“统筹地区医疗保障部</w:t>
            </w:r>
            <w:r>
              <w:rPr>
                <w:spacing w:val="7"/>
              </w:rPr>
              <w:t>门负责涉及本</w:t>
            </w:r>
            <w:r>
              <w:rPr>
                <w:spacing w:val="12"/>
              </w:rPr>
              <w:t>统筹地区医疗保障基金欺诈骗取行为的举报奖励工作</w:t>
            </w:r>
            <w:r>
              <w:rPr>
                <w:spacing w:val="11"/>
              </w:rPr>
              <w:t>。</w:t>
            </w:r>
            <w:r>
              <w:rPr>
                <w:spacing w:val="-64"/>
              </w:rPr>
              <w:t xml:space="preserve"> </w:t>
            </w:r>
            <w:r>
              <w:rPr>
                <w:spacing w:val="11"/>
              </w:rPr>
              <w:t>”</w:t>
            </w:r>
          </w:p>
          <w:p>
            <w:pPr>
              <w:pStyle w:val="8"/>
              <w:spacing w:before="46" w:line="232" w:lineRule="auto"/>
              <w:ind w:left="30"/>
            </w:pPr>
            <w:r>
              <w:rPr>
                <w:spacing w:val="7"/>
              </w:rPr>
              <w:t>《河南省医保局、财政厅关于印发&lt;欺诈骗取医疗保障基金</w:t>
            </w:r>
            <w:r>
              <w:rPr>
                <w:spacing w:val="8"/>
              </w:rPr>
              <w:t>行为举报奖励暂行办法实施细则&gt;的通知》（豫医保〔2019〕8</w:t>
            </w:r>
            <w:r>
              <w:rPr>
                <w:spacing w:val="-5"/>
              </w:rPr>
              <w:t>号）</w:t>
            </w:r>
          </w:p>
          <w:p>
            <w:pPr>
              <w:pStyle w:val="8"/>
              <w:spacing w:before="1" w:line="269" w:lineRule="auto"/>
              <w:ind w:left="26" w:right="15" w:firstLine="418"/>
            </w:pPr>
            <w:r>
              <w:rPr>
                <w:rFonts w:hint="eastAsia"/>
                <w:spacing w:val="7"/>
              </w:rPr>
              <w:t>《信阳市浉河区医疗保障局职能配置、 内设机构和人员编制规定》第五条：“（六）贯彻执行全市医疗保障基金监督管理办法，建立健全医疗保障基金安全防控机制。  …监督管理纳入医保范围内的医疗服务行为和医疗费用，规范医保经办业务、服务流程，依法查处医疗保障领域违法违规行为。 ”</w:t>
            </w:r>
          </w:p>
        </w:tc>
        <w:tc>
          <w:tcPr>
            <w:tcW w:w="690" w:type="dxa"/>
            <w:vAlign w:val="top"/>
          </w:tcPr>
          <w:p>
            <w:pPr>
              <w:spacing w:line="457" w:lineRule="auto"/>
              <w:rPr>
                <w:rFonts w:ascii="Arial"/>
                <w:sz w:val="21"/>
              </w:rPr>
            </w:pPr>
          </w:p>
          <w:p>
            <w:pPr>
              <w:pStyle w:val="8"/>
              <w:spacing w:before="65" w:line="230" w:lineRule="auto"/>
              <w:ind w:left="41"/>
            </w:pPr>
            <w:r>
              <w:rPr>
                <w:spacing w:val="5"/>
              </w:rPr>
              <w:t>信阳市</w:t>
            </w:r>
          </w:p>
          <w:p>
            <w:pPr>
              <w:pStyle w:val="8"/>
              <w:spacing w:before="63" w:line="229" w:lineRule="auto"/>
              <w:ind w:left="59"/>
            </w:pPr>
            <w:r>
              <w:rPr>
                <w:rFonts w:hint="eastAsia"/>
                <w:spacing w:val="-1"/>
                <w:lang w:eastAsia="zh-CN"/>
              </w:rPr>
              <w:t>浉河区</w:t>
            </w:r>
            <w:r>
              <w:rPr>
                <w:spacing w:val="-1"/>
              </w:rPr>
              <w:t>医疗保</w:t>
            </w:r>
          </w:p>
          <w:p>
            <w:pPr>
              <w:pStyle w:val="8"/>
              <w:spacing w:before="63" w:line="230" w:lineRule="auto"/>
              <w:ind w:left="158"/>
            </w:pPr>
            <w:r>
              <w:rPr>
                <w:spacing w:val="-4"/>
              </w:rPr>
              <w:t>障局</w:t>
            </w:r>
          </w:p>
        </w:tc>
        <w:tc>
          <w:tcPr>
            <w:tcW w:w="4483" w:type="dxa"/>
            <w:vAlign w:val="top"/>
          </w:tcPr>
          <w:p>
            <w:pPr>
              <w:pStyle w:val="8"/>
              <w:spacing w:before="88" w:line="274" w:lineRule="auto"/>
              <w:ind w:left="25" w:right="11" w:firstLine="419"/>
            </w:pPr>
            <w:r>
              <w:rPr>
                <w:spacing w:val="5"/>
              </w:rPr>
              <w:t>《信阳市医保局、财政局关于印发&lt;欺诈骗取</w:t>
            </w:r>
            <w:r>
              <w:rPr>
                <w:spacing w:val="9"/>
              </w:rPr>
              <w:t>医疗保障基金行为举报奖励暂行办法实施细则&gt;</w:t>
            </w:r>
            <w:r>
              <w:t xml:space="preserve"> </w:t>
            </w:r>
            <w:r>
              <w:rPr>
                <w:spacing w:val="6"/>
              </w:rPr>
              <w:t>（试行）的通知》第四条 市医疗保障行政部门负</w:t>
            </w:r>
            <w:r>
              <w:rPr>
                <w:spacing w:val="9"/>
              </w:rPr>
              <w:t>责市本级行政区域内的违法违规使用医疗保障基</w:t>
            </w:r>
            <w:r>
              <w:rPr>
                <w:spacing w:val="7"/>
              </w:rPr>
              <w:t>金行为举报奖励工作。县（区）</w:t>
            </w:r>
            <w:r>
              <w:rPr>
                <w:spacing w:val="-53"/>
              </w:rPr>
              <w:t xml:space="preserve"> </w:t>
            </w:r>
            <w:r>
              <w:rPr>
                <w:spacing w:val="7"/>
              </w:rPr>
              <w:t>医疗保障局负责</w:t>
            </w:r>
            <w:r>
              <w:rPr>
                <w:spacing w:val="9"/>
              </w:rPr>
              <w:t>辖区内的违法违规使用医疗保障基金行为举报奖</w:t>
            </w:r>
            <w:r>
              <w:rPr>
                <w:spacing w:val="3"/>
              </w:rPr>
              <w:t>励工作。</w:t>
            </w:r>
          </w:p>
        </w:tc>
        <w:tc>
          <w:tcPr>
            <w:tcW w:w="2022" w:type="dxa"/>
            <w:tcBorders>
              <w:right w:val="single" w:color="FFFFFF" w:sz="2" w:space="0"/>
            </w:tcBorders>
            <w:vAlign w:val="top"/>
          </w:tcPr>
          <w:p>
            <w:pPr>
              <w:pStyle w:val="8"/>
              <w:spacing w:before="55" w:line="279" w:lineRule="auto"/>
              <w:ind w:left="29" w:right="113" w:hanging="1"/>
              <w:jc w:val="both"/>
            </w:pPr>
            <w:r>
              <w:rPr>
                <w:spacing w:val="8"/>
              </w:rPr>
              <w:t>《医疗保障基金使用</w:t>
            </w:r>
            <w:r>
              <w:rPr>
                <w:spacing w:val="7"/>
              </w:rPr>
              <w:t>监督管理条例》第四</w:t>
            </w:r>
            <w:r>
              <w:rPr>
                <w:spacing w:val="8"/>
              </w:rPr>
              <w:t>十七条医疗保障等行政部门工作人员在医疗保障基金使用监督</w:t>
            </w:r>
            <w:r>
              <w:rPr>
                <w:spacing w:val="7"/>
              </w:rPr>
              <w:t>管理工作中滥用职</w:t>
            </w:r>
            <w:r>
              <w:rPr>
                <w:spacing w:val="8"/>
              </w:rPr>
              <w:t>权、玩忽职守、徇私舞弊的，依法给予处</w:t>
            </w:r>
            <w:r>
              <w:rPr>
                <w:spacing w:val="-4"/>
              </w:rPr>
              <w:t>分。</w:t>
            </w:r>
          </w:p>
        </w:tc>
      </w:tr>
    </w:tbl>
    <w:p>
      <w:pPr>
        <w:pStyle w:val="2"/>
        <w:spacing w:line="79" w:lineRule="exact"/>
        <w:rPr>
          <w:sz w:val="6"/>
        </w:rPr>
      </w:pPr>
    </w:p>
    <w:p>
      <w:pPr>
        <w:spacing w:line="79" w:lineRule="exact"/>
        <w:rPr>
          <w:sz w:val="6"/>
          <w:szCs w:val="6"/>
        </w:rPr>
        <w:sectPr>
          <w:footerReference r:id="rId9" w:type="default"/>
          <w:pgSz w:w="16839" w:h="11906"/>
          <w:pgMar w:top="1012" w:right="1138" w:bottom="1163" w:left="700" w:header="0" w:footer="794" w:gutter="0"/>
          <w:pgNumType w:fmt="decimal"/>
          <w:cols w:space="720" w:num="1"/>
        </w:sectPr>
      </w:pPr>
    </w:p>
    <w:p>
      <w:pPr>
        <w:spacing w:line="95" w:lineRule="exact"/>
      </w:pPr>
    </w:p>
    <w:tbl>
      <w:tblPr>
        <w:tblStyle w:val="7"/>
        <w:tblW w:w="14994" w:type="dxa"/>
        <w:tblInd w:w="2" w:type="dxa"/>
        <w:tblBorders>
          <w:top w:val="single" w:color="FBDFE4" w:sz="2" w:space="0"/>
          <w:left w:val="single" w:color="FBDFE4" w:sz="2" w:space="0"/>
          <w:bottom w:val="single" w:color="FBDFE4" w:sz="2" w:space="0"/>
          <w:right w:val="single" w:color="FBDFE4" w:sz="2" w:space="0"/>
          <w:insideH w:val="single" w:color="FBDFE4" w:sz="2" w:space="0"/>
          <w:insideV w:val="single" w:color="FBDFE4" w:sz="2" w:space="0"/>
        </w:tblBorders>
        <w:tblLayout w:type="fixed"/>
        <w:tblCellMar>
          <w:top w:w="0" w:type="dxa"/>
          <w:left w:w="0" w:type="dxa"/>
          <w:bottom w:w="0" w:type="dxa"/>
          <w:right w:w="0" w:type="dxa"/>
        </w:tblCellMar>
      </w:tblPr>
      <w:tblGrid>
        <w:gridCol w:w="407"/>
        <w:gridCol w:w="1034"/>
        <w:gridCol w:w="600"/>
        <w:gridCol w:w="5758"/>
        <w:gridCol w:w="690"/>
        <w:gridCol w:w="4483"/>
        <w:gridCol w:w="2022"/>
      </w:tblGrid>
      <w:tr>
        <w:tblPrEx>
          <w:tblBorders>
            <w:top w:val="single" w:color="FBDFE4" w:sz="2" w:space="0"/>
            <w:left w:val="single" w:color="FBDFE4" w:sz="2" w:space="0"/>
            <w:bottom w:val="single" w:color="FBDFE4" w:sz="2" w:space="0"/>
            <w:right w:val="single" w:color="FBDFE4" w:sz="2" w:space="0"/>
            <w:insideH w:val="single" w:color="FBDFE4" w:sz="2" w:space="0"/>
            <w:insideV w:val="single" w:color="FBDFE4" w:sz="2" w:space="0"/>
          </w:tblBorders>
          <w:tblCellMar>
            <w:top w:w="0" w:type="dxa"/>
            <w:left w:w="0" w:type="dxa"/>
            <w:bottom w:w="0" w:type="dxa"/>
            <w:right w:w="0" w:type="dxa"/>
          </w:tblCellMar>
        </w:tblPrEx>
        <w:trPr>
          <w:trHeight w:val="659" w:hRule="atLeast"/>
        </w:trPr>
        <w:tc>
          <w:tcPr>
            <w:tcW w:w="407" w:type="dxa"/>
            <w:tcBorders>
              <w:top w:val="single" w:color="EC6881" w:sz="2" w:space="0"/>
              <w:left w:val="single" w:color="FFFFFF" w:sz="2" w:space="0"/>
              <w:bottom w:val="single" w:color="EC6881" w:sz="2" w:space="0"/>
            </w:tcBorders>
            <w:textDirection w:val="tbRlV"/>
            <w:vAlign w:val="top"/>
          </w:tcPr>
          <w:p>
            <w:pPr>
              <w:spacing w:before="81" w:line="209" w:lineRule="auto"/>
              <w:ind w:left="54"/>
              <w:rPr>
                <w:rFonts w:ascii="SimHei" w:hAnsi="SimHei" w:eastAsia="SimHei" w:cs="SimHei"/>
                <w:sz w:val="24"/>
                <w:szCs w:val="24"/>
              </w:rPr>
            </w:pPr>
            <w:r>
              <w:rPr>
                <w:rFonts w:ascii="SimHei" w:hAnsi="SimHei" w:eastAsia="SimHei" w:cs="SimHei"/>
                <w:spacing w:val="37"/>
                <w:sz w:val="24"/>
                <w:szCs w:val="24"/>
              </w:rPr>
              <w:t>序号</w:t>
            </w:r>
          </w:p>
        </w:tc>
        <w:tc>
          <w:tcPr>
            <w:tcW w:w="1034" w:type="dxa"/>
            <w:tcBorders>
              <w:top w:val="single" w:color="EC6881" w:sz="2" w:space="0"/>
              <w:bottom w:val="single" w:color="EC6881" w:sz="2" w:space="0"/>
            </w:tcBorders>
            <w:vAlign w:val="top"/>
          </w:tcPr>
          <w:p>
            <w:pPr>
              <w:spacing w:before="210" w:line="222" w:lineRule="auto"/>
              <w:ind w:left="41"/>
              <w:rPr>
                <w:rFonts w:ascii="SimHei" w:hAnsi="SimHei" w:eastAsia="SimHei" w:cs="SimHei"/>
                <w:sz w:val="24"/>
                <w:szCs w:val="24"/>
              </w:rPr>
            </w:pPr>
            <w:r>
              <w:rPr>
                <w:rFonts w:ascii="SimHei" w:hAnsi="SimHei" w:eastAsia="SimHei" w:cs="SimHei"/>
                <w:spacing w:val="-3"/>
                <w:sz w:val="24"/>
                <w:szCs w:val="24"/>
              </w:rPr>
              <w:t>项目名称</w:t>
            </w:r>
          </w:p>
        </w:tc>
        <w:tc>
          <w:tcPr>
            <w:tcW w:w="600" w:type="dxa"/>
            <w:tcBorders>
              <w:top w:val="single" w:color="EC6881" w:sz="2" w:space="0"/>
              <w:bottom w:val="single" w:color="EC6881" w:sz="2" w:space="0"/>
            </w:tcBorders>
            <w:vAlign w:val="top"/>
          </w:tcPr>
          <w:p>
            <w:pPr>
              <w:spacing w:before="54" w:line="224" w:lineRule="auto"/>
              <w:ind w:left="63"/>
              <w:rPr>
                <w:rFonts w:ascii="SimHei" w:hAnsi="SimHei" w:eastAsia="SimHei" w:cs="SimHei"/>
                <w:sz w:val="24"/>
                <w:szCs w:val="24"/>
              </w:rPr>
            </w:pPr>
            <w:r>
              <w:rPr>
                <w:rFonts w:ascii="SimHei" w:hAnsi="SimHei" w:eastAsia="SimHei" w:cs="SimHei"/>
                <w:spacing w:val="-5"/>
                <w:sz w:val="24"/>
                <w:szCs w:val="24"/>
              </w:rPr>
              <w:t>职权</w:t>
            </w:r>
          </w:p>
          <w:p>
            <w:pPr>
              <w:spacing w:before="21" w:line="217" w:lineRule="auto"/>
              <w:ind w:left="72"/>
              <w:rPr>
                <w:rFonts w:ascii="SimHei" w:hAnsi="SimHei" w:eastAsia="SimHei" w:cs="SimHei"/>
                <w:sz w:val="24"/>
                <w:szCs w:val="24"/>
              </w:rPr>
            </w:pPr>
            <w:r>
              <w:rPr>
                <w:rFonts w:ascii="SimHei" w:hAnsi="SimHei" w:eastAsia="SimHei" w:cs="SimHei"/>
                <w:spacing w:val="-9"/>
                <w:sz w:val="24"/>
                <w:szCs w:val="24"/>
              </w:rPr>
              <w:t>类别</w:t>
            </w:r>
          </w:p>
        </w:tc>
        <w:tc>
          <w:tcPr>
            <w:tcW w:w="5758" w:type="dxa"/>
            <w:tcBorders>
              <w:top w:val="single" w:color="EC6881" w:sz="2" w:space="0"/>
              <w:bottom w:val="single" w:color="EC6881" w:sz="2" w:space="0"/>
            </w:tcBorders>
            <w:vAlign w:val="top"/>
          </w:tcPr>
          <w:p>
            <w:pPr>
              <w:spacing w:before="210" w:line="222" w:lineRule="auto"/>
              <w:ind w:left="2404"/>
              <w:rPr>
                <w:rFonts w:ascii="SimHei" w:hAnsi="SimHei" w:eastAsia="SimHei" w:cs="SimHei"/>
                <w:sz w:val="24"/>
                <w:szCs w:val="24"/>
              </w:rPr>
            </w:pPr>
            <w:r>
              <w:rPr>
                <w:rFonts w:ascii="SimHei" w:hAnsi="SimHei" w:eastAsia="SimHei" w:cs="SimHei"/>
                <w:spacing w:val="-3"/>
                <w:sz w:val="24"/>
                <w:szCs w:val="24"/>
              </w:rPr>
              <w:t>设定依据</w:t>
            </w:r>
          </w:p>
        </w:tc>
        <w:tc>
          <w:tcPr>
            <w:tcW w:w="690" w:type="dxa"/>
            <w:tcBorders>
              <w:top w:val="single" w:color="EC6881" w:sz="2" w:space="0"/>
              <w:bottom w:val="single" w:color="EC6881" w:sz="2" w:space="0"/>
            </w:tcBorders>
            <w:vAlign w:val="top"/>
          </w:tcPr>
          <w:p>
            <w:pPr>
              <w:spacing w:before="54" w:line="222" w:lineRule="auto"/>
              <w:ind w:left="118"/>
              <w:rPr>
                <w:rFonts w:ascii="SimHei" w:hAnsi="SimHei" w:eastAsia="SimHei" w:cs="SimHei"/>
                <w:sz w:val="24"/>
                <w:szCs w:val="24"/>
              </w:rPr>
            </w:pPr>
            <w:r>
              <w:rPr>
                <w:rFonts w:ascii="SimHei" w:hAnsi="SimHei" w:eastAsia="SimHei" w:cs="SimHei"/>
                <w:spacing w:val="-8"/>
                <w:sz w:val="24"/>
                <w:szCs w:val="24"/>
              </w:rPr>
              <w:t>实施</w:t>
            </w:r>
          </w:p>
          <w:p>
            <w:pPr>
              <w:spacing w:before="24" w:line="217" w:lineRule="auto"/>
              <w:ind w:left="115"/>
              <w:rPr>
                <w:rFonts w:ascii="SimHei" w:hAnsi="SimHei" w:eastAsia="SimHei" w:cs="SimHei"/>
                <w:sz w:val="24"/>
                <w:szCs w:val="24"/>
              </w:rPr>
            </w:pPr>
            <w:r>
              <w:rPr>
                <w:rFonts w:ascii="SimHei" w:hAnsi="SimHei" w:eastAsia="SimHei" w:cs="SimHei"/>
                <w:spacing w:val="-7"/>
                <w:sz w:val="24"/>
                <w:szCs w:val="24"/>
              </w:rPr>
              <w:t>主体</w:t>
            </w:r>
          </w:p>
        </w:tc>
        <w:tc>
          <w:tcPr>
            <w:tcW w:w="4483" w:type="dxa"/>
            <w:tcBorders>
              <w:top w:val="single" w:color="EC6881" w:sz="2" w:space="0"/>
              <w:bottom w:val="single" w:color="EC6881" w:sz="2" w:space="0"/>
            </w:tcBorders>
            <w:vAlign w:val="top"/>
          </w:tcPr>
          <w:p>
            <w:pPr>
              <w:spacing w:before="210" w:line="221" w:lineRule="auto"/>
              <w:ind w:left="1767"/>
              <w:rPr>
                <w:rFonts w:ascii="SimHei" w:hAnsi="SimHei" w:eastAsia="SimHei" w:cs="SimHei"/>
                <w:sz w:val="24"/>
                <w:szCs w:val="24"/>
              </w:rPr>
            </w:pPr>
            <w:r>
              <w:rPr>
                <w:rFonts w:ascii="SimHei" w:hAnsi="SimHei" w:eastAsia="SimHei" w:cs="SimHei"/>
                <w:spacing w:val="-3"/>
                <w:sz w:val="24"/>
                <w:szCs w:val="24"/>
              </w:rPr>
              <w:t>履职方式</w:t>
            </w:r>
          </w:p>
        </w:tc>
        <w:tc>
          <w:tcPr>
            <w:tcW w:w="2022" w:type="dxa"/>
            <w:tcBorders>
              <w:top w:val="single" w:color="EC6881" w:sz="2" w:space="0"/>
              <w:bottom w:val="single" w:color="EC6881" w:sz="2" w:space="0"/>
              <w:right w:val="single" w:color="FFFFFF" w:sz="2" w:space="0"/>
            </w:tcBorders>
            <w:vAlign w:val="top"/>
          </w:tcPr>
          <w:p>
            <w:pPr>
              <w:spacing w:before="210" w:line="221" w:lineRule="auto"/>
              <w:ind w:left="536"/>
              <w:rPr>
                <w:rFonts w:ascii="SimHei" w:hAnsi="SimHei" w:eastAsia="SimHei" w:cs="SimHei"/>
                <w:sz w:val="24"/>
                <w:szCs w:val="24"/>
              </w:rPr>
            </w:pPr>
            <w:r>
              <w:rPr>
                <w:rFonts w:ascii="SimHei" w:hAnsi="SimHei" w:eastAsia="SimHei" w:cs="SimHei"/>
                <w:spacing w:val="-3"/>
                <w:sz w:val="24"/>
                <w:szCs w:val="24"/>
              </w:rPr>
              <w:t>追责方式</w:t>
            </w:r>
          </w:p>
        </w:tc>
      </w:tr>
      <w:tr>
        <w:tblPrEx>
          <w:tblBorders>
            <w:top w:val="single" w:color="FBDFE4" w:sz="2" w:space="0"/>
            <w:left w:val="single" w:color="FBDFE4" w:sz="2" w:space="0"/>
            <w:bottom w:val="single" w:color="FBDFE4" w:sz="2" w:space="0"/>
            <w:right w:val="single" w:color="FBDFE4" w:sz="2" w:space="0"/>
            <w:insideH w:val="single" w:color="FBDFE4" w:sz="2" w:space="0"/>
            <w:insideV w:val="single" w:color="FBDFE4" w:sz="2" w:space="0"/>
          </w:tblBorders>
          <w:tblCellMar>
            <w:top w:w="0" w:type="dxa"/>
            <w:left w:w="0" w:type="dxa"/>
            <w:bottom w:w="0" w:type="dxa"/>
            <w:right w:w="0" w:type="dxa"/>
          </w:tblCellMar>
        </w:tblPrEx>
        <w:trPr>
          <w:trHeight w:val="4798" w:hRule="atLeast"/>
        </w:trPr>
        <w:tc>
          <w:tcPr>
            <w:tcW w:w="407" w:type="dxa"/>
            <w:tcBorders>
              <w:left w:val="single" w:color="FFFFFF" w:sz="2" w:space="0"/>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pStyle w:val="8"/>
              <w:spacing w:before="65" w:line="272" w:lineRule="exact"/>
              <w:ind w:left="37"/>
              <w:rPr>
                <w:rFonts w:hint="eastAsia" w:eastAsia="FangSong"/>
                <w:lang w:val="en-US" w:eastAsia="zh-CN"/>
              </w:rPr>
            </w:pPr>
            <w:r>
              <w:rPr>
                <w:spacing w:val="-8"/>
                <w:position w:val="1"/>
              </w:rPr>
              <w:t>1</w:t>
            </w:r>
            <w:r>
              <w:rPr>
                <w:rFonts w:hint="eastAsia"/>
                <w:spacing w:val="-8"/>
                <w:position w:val="1"/>
                <w:lang w:val="en-US" w:eastAsia="zh-CN"/>
              </w:rPr>
              <w:t>0</w:t>
            </w:r>
          </w:p>
        </w:tc>
        <w:tc>
          <w:tcPr>
            <w:tcW w:w="1034"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spacing w:line="267" w:lineRule="auto"/>
              <w:rPr>
                <w:rFonts w:ascii="Arial"/>
                <w:sz w:val="21"/>
              </w:rPr>
            </w:pPr>
          </w:p>
          <w:p>
            <w:pPr>
              <w:pStyle w:val="8"/>
              <w:spacing w:before="65" w:line="289" w:lineRule="auto"/>
              <w:ind w:left="22" w:right="182" w:firstLine="1"/>
              <w:jc w:val="both"/>
            </w:pPr>
            <w:r>
              <w:rPr>
                <w:spacing w:val="5"/>
              </w:rPr>
              <w:t>对医疗保障基金使用情况进行监督检</w:t>
            </w:r>
            <w:r>
              <w:t>查</w:t>
            </w:r>
          </w:p>
        </w:tc>
        <w:tc>
          <w:tcPr>
            <w:tcW w:w="600" w:type="dxa"/>
            <w:vAlign w:val="top"/>
          </w:tcPr>
          <w:p>
            <w:pPr>
              <w:spacing w:line="259"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pStyle w:val="8"/>
              <w:spacing w:before="65" w:line="250" w:lineRule="auto"/>
              <w:ind w:left="26" w:right="165"/>
            </w:pPr>
            <w:r>
              <w:rPr>
                <w:spacing w:val="1"/>
              </w:rPr>
              <w:t>行政检查</w:t>
            </w:r>
          </w:p>
        </w:tc>
        <w:tc>
          <w:tcPr>
            <w:tcW w:w="5758" w:type="dxa"/>
            <w:vAlign w:val="top"/>
          </w:tcPr>
          <w:p>
            <w:pPr>
              <w:pStyle w:val="8"/>
              <w:spacing w:before="35" w:line="251" w:lineRule="auto"/>
              <w:ind w:left="25" w:right="72" w:firstLine="446"/>
            </w:pPr>
            <w:r>
              <w:rPr>
                <w:spacing w:val="7"/>
              </w:rPr>
              <w:t>中华人民共和国社会保险法》第七十九条：</w:t>
            </w:r>
            <w:r>
              <w:rPr>
                <w:spacing w:val="-68"/>
              </w:rPr>
              <w:t xml:space="preserve"> </w:t>
            </w:r>
            <w:r>
              <w:rPr>
                <w:spacing w:val="7"/>
              </w:rPr>
              <w:t>“社会保险行</w:t>
            </w:r>
            <w:r>
              <w:rPr>
                <w:spacing w:val="9"/>
              </w:rPr>
              <w:t>政部门对社会保险基金的收支、管理和投资运营情况进行监督检查，发现存在问题的，应当提出整改建议，依法作出处理决定或者向有关行政部门提出处理建议。社会保险基金检查结果应当定期向社会公布。社会保险行政部门对社会保险基金实施</w:t>
            </w:r>
            <w:r>
              <w:rPr>
                <w:spacing w:val="7"/>
              </w:rPr>
              <w:t>监督检查，有权采取下列措施：</w:t>
            </w:r>
            <w:r>
              <w:rPr>
                <w:spacing w:val="-42"/>
              </w:rPr>
              <w:t xml:space="preserve"> </w:t>
            </w:r>
            <w:r>
              <w:rPr>
                <w:spacing w:val="7"/>
              </w:rPr>
              <w:t>(一)查阅、记录、复制与社会</w:t>
            </w:r>
            <w:r>
              <w:rPr>
                <w:spacing w:val="9"/>
              </w:rPr>
              <w:t>保险基金收支、管理和投资运营相关的资料，对可能被转移、</w:t>
            </w:r>
            <w:r>
              <w:rPr>
                <w:spacing w:val="7"/>
              </w:rPr>
              <w:t>隐匿或者灭失的资料予以封存；</w:t>
            </w:r>
            <w:r>
              <w:rPr>
                <w:spacing w:val="-42"/>
              </w:rPr>
              <w:t xml:space="preserve"> </w:t>
            </w:r>
            <w:r>
              <w:rPr>
                <w:spacing w:val="7"/>
              </w:rPr>
              <w:t>(二)询问与调查事项有关的单</w:t>
            </w:r>
            <w:r>
              <w:rPr>
                <w:spacing w:val="9"/>
              </w:rPr>
              <w:t>位和个人，要求其对与调查事项有关的问题作出说明、提供有</w:t>
            </w:r>
            <w:r>
              <w:rPr>
                <w:spacing w:val="7"/>
              </w:rPr>
              <w:t>关证明材料；</w:t>
            </w:r>
            <w:r>
              <w:rPr>
                <w:spacing w:val="-42"/>
              </w:rPr>
              <w:t xml:space="preserve"> </w:t>
            </w:r>
            <w:r>
              <w:rPr>
                <w:spacing w:val="7"/>
              </w:rPr>
              <w:t>(三)对隐匿、转移、侵占、挪用社会保险基金的</w:t>
            </w:r>
            <w:r>
              <w:rPr>
                <w:spacing w:val="13"/>
              </w:rPr>
              <w:t>行为予以制止并责令改正。</w:t>
            </w:r>
            <w:r>
              <w:rPr>
                <w:spacing w:val="-55"/>
              </w:rPr>
              <w:t xml:space="preserve"> </w:t>
            </w:r>
            <w:r>
              <w:rPr>
                <w:spacing w:val="13"/>
              </w:rPr>
              <w:t>”</w:t>
            </w:r>
          </w:p>
        </w:tc>
        <w:tc>
          <w:tcPr>
            <w:tcW w:w="690" w:type="dxa"/>
            <w:vAlign w:val="top"/>
          </w:tcPr>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pStyle w:val="8"/>
              <w:spacing w:before="65" w:line="230" w:lineRule="auto"/>
              <w:ind w:left="41"/>
            </w:pPr>
            <w:r>
              <w:rPr>
                <w:spacing w:val="5"/>
              </w:rPr>
              <w:t>信阳市</w:t>
            </w:r>
          </w:p>
          <w:p>
            <w:pPr>
              <w:pStyle w:val="8"/>
              <w:spacing w:before="63" w:line="229" w:lineRule="auto"/>
              <w:ind w:left="59"/>
            </w:pPr>
            <w:r>
              <w:rPr>
                <w:rFonts w:hint="eastAsia"/>
                <w:spacing w:val="-1"/>
                <w:lang w:eastAsia="zh-CN"/>
              </w:rPr>
              <w:t>浉河区</w:t>
            </w:r>
            <w:r>
              <w:rPr>
                <w:spacing w:val="-1"/>
              </w:rPr>
              <w:t>医疗保</w:t>
            </w:r>
          </w:p>
          <w:p>
            <w:pPr>
              <w:pStyle w:val="8"/>
              <w:spacing w:before="63" w:line="230" w:lineRule="auto"/>
              <w:ind w:left="158"/>
            </w:pPr>
            <w:r>
              <w:rPr>
                <w:spacing w:val="-4"/>
              </w:rPr>
              <w:t>障局</w:t>
            </w:r>
          </w:p>
        </w:tc>
        <w:tc>
          <w:tcPr>
            <w:tcW w:w="4483" w:type="dxa"/>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spacing w:line="259" w:lineRule="auto"/>
              <w:rPr>
                <w:rFonts w:ascii="Arial"/>
                <w:sz w:val="21"/>
              </w:rPr>
            </w:pPr>
          </w:p>
          <w:p>
            <w:pPr>
              <w:pStyle w:val="8"/>
              <w:spacing w:before="65" w:line="229" w:lineRule="auto"/>
              <w:ind w:left="34"/>
            </w:pPr>
            <w:r>
              <w:rPr>
                <w:spacing w:val="5"/>
              </w:rPr>
              <w:t>1. 检查：按照法律、法规规定的程序实施行政检</w:t>
            </w:r>
          </w:p>
          <w:p>
            <w:pPr>
              <w:pStyle w:val="8"/>
              <w:spacing w:before="23" w:line="231" w:lineRule="auto"/>
              <w:ind w:left="27"/>
            </w:pPr>
            <w:r>
              <w:rPr>
                <w:spacing w:val="8"/>
              </w:rPr>
              <w:t>查，实事求是，证据完整、确凿。</w:t>
            </w:r>
          </w:p>
          <w:p>
            <w:pPr>
              <w:pStyle w:val="8"/>
              <w:spacing w:before="23" w:line="231" w:lineRule="auto"/>
              <w:ind w:left="22"/>
            </w:pPr>
            <w:r>
              <w:rPr>
                <w:spacing w:val="8"/>
              </w:rPr>
              <w:t>2. 处置：依法处置，不得违反法律、法规。</w:t>
            </w:r>
          </w:p>
          <w:p>
            <w:pPr>
              <w:pStyle w:val="8"/>
              <w:spacing w:before="23" w:line="229" w:lineRule="auto"/>
              <w:jc w:val="right"/>
            </w:pPr>
            <w:r>
              <w:rPr>
                <w:spacing w:val="6"/>
              </w:rPr>
              <w:t>3. 法律、法规、规章规定的其他应履行的事项。</w:t>
            </w:r>
          </w:p>
        </w:tc>
        <w:tc>
          <w:tcPr>
            <w:tcW w:w="2022" w:type="dxa"/>
            <w:tcBorders>
              <w:right w:val="single" w:color="FFFFFF" w:sz="2" w:space="0"/>
            </w:tcBorders>
            <w:vAlign w:val="top"/>
          </w:tcPr>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pStyle w:val="8"/>
              <w:spacing w:before="65" w:line="251" w:lineRule="auto"/>
              <w:ind w:left="29" w:right="113" w:hanging="1"/>
            </w:pPr>
            <w:r>
              <w:rPr>
                <w:spacing w:val="8"/>
              </w:rPr>
              <w:t>《医疗保障基金使用</w:t>
            </w:r>
            <w:r>
              <w:rPr>
                <w:spacing w:val="7"/>
              </w:rPr>
              <w:t>监督管理条例》第四</w:t>
            </w:r>
            <w:r>
              <w:rPr>
                <w:spacing w:val="8"/>
              </w:rPr>
              <w:t>十七条医疗保障等行政部门工作人员在医疗保障基金使用监督</w:t>
            </w:r>
            <w:r>
              <w:rPr>
                <w:spacing w:val="7"/>
              </w:rPr>
              <w:t>管理工作中滥用职</w:t>
            </w:r>
          </w:p>
          <w:p>
            <w:pPr>
              <w:pStyle w:val="8"/>
              <w:spacing w:before="3" w:line="252" w:lineRule="auto"/>
              <w:ind w:left="30" w:right="113" w:hanging="3"/>
            </w:pPr>
            <w:r>
              <w:rPr>
                <w:spacing w:val="8"/>
              </w:rPr>
              <w:t>权、玩忽职守、徇私舞弊的，依法给予处</w:t>
            </w:r>
            <w:r>
              <w:rPr>
                <w:spacing w:val="-4"/>
              </w:rPr>
              <w:t>分。</w:t>
            </w:r>
          </w:p>
        </w:tc>
      </w:tr>
      <w:tr>
        <w:tblPrEx>
          <w:tblBorders>
            <w:top w:val="single" w:color="FBDFE4" w:sz="2" w:space="0"/>
            <w:left w:val="single" w:color="FBDFE4" w:sz="2" w:space="0"/>
            <w:bottom w:val="single" w:color="FBDFE4" w:sz="2" w:space="0"/>
            <w:right w:val="single" w:color="FBDFE4" w:sz="2" w:space="0"/>
            <w:insideH w:val="single" w:color="FBDFE4" w:sz="2" w:space="0"/>
            <w:insideV w:val="single" w:color="FBDFE4" w:sz="2" w:space="0"/>
          </w:tblBorders>
          <w:tblCellMar>
            <w:top w:w="0" w:type="dxa"/>
            <w:left w:w="0" w:type="dxa"/>
            <w:bottom w:w="0" w:type="dxa"/>
            <w:right w:w="0" w:type="dxa"/>
          </w:tblCellMar>
        </w:tblPrEx>
        <w:trPr>
          <w:trHeight w:val="3349" w:hRule="atLeast"/>
        </w:trPr>
        <w:tc>
          <w:tcPr>
            <w:tcW w:w="407" w:type="dxa"/>
            <w:tcBorders>
              <w:left w:val="single" w:color="FFFFFF" w:sz="2" w:space="0"/>
            </w:tcBorders>
            <w:vAlign w:val="top"/>
          </w:tcPr>
          <w:p>
            <w:pPr>
              <w:spacing w:line="323" w:lineRule="auto"/>
              <w:rPr>
                <w:rFonts w:ascii="Arial"/>
                <w:sz w:val="21"/>
              </w:rPr>
            </w:pPr>
          </w:p>
          <w:p>
            <w:pPr>
              <w:spacing w:line="323" w:lineRule="auto"/>
              <w:rPr>
                <w:rFonts w:ascii="Arial"/>
                <w:sz w:val="21"/>
              </w:rPr>
            </w:pPr>
          </w:p>
          <w:p>
            <w:pPr>
              <w:pStyle w:val="8"/>
              <w:spacing w:before="65" w:line="271" w:lineRule="exact"/>
              <w:ind w:left="119"/>
              <w:rPr>
                <w:rFonts w:hint="eastAsia" w:eastAsia="FangSong"/>
                <w:lang w:val="en-US" w:eastAsia="zh-CN"/>
              </w:rPr>
            </w:pPr>
            <w:r>
              <w:rPr>
                <w:spacing w:val="-8"/>
                <w:position w:val="1"/>
              </w:rPr>
              <w:t>1</w:t>
            </w:r>
            <w:r>
              <w:rPr>
                <w:rFonts w:hint="eastAsia"/>
                <w:spacing w:val="-8"/>
                <w:position w:val="1"/>
                <w:lang w:val="en-US" w:eastAsia="zh-CN"/>
              </w:rPr>
              <w:t>1</w:t>
            </w:r>
          </w:p>
        </w:tc>
        <w:tc>
          <w:tcPr>
            <w:tcW w:w="1034" w:type="dxa"/>
            <w:vAlign w:val="top"/>
          </w:tcPr>
          <w:p>
            <w:pPr>
              <w:pStyle w:val="8"/>
              <w:spacing w:before="36" w:line="229" w:lineRule="auto"/>
              <w:ind w:left="108"/>
            </w:pPr>
            <w:r>
              <w:rPr>
                <w:spacing w:val="5"/>
              </w:rPr>
              <w:t>对用人单</w:t>
            </w:r>
          </w:p>
          <w:p>
            <w:pPr>
              <w:pStyle w:val="8"/>
              <w:spacing w:before="22" w:line="250" w:lineRule="auto"/>
              <w:ind w:left="29" w:right="14" w:firstLine="78"/>
            </w:pPr>
            <w:r>
              <w:rPr>
                <w:spacing w:val="5"/>
              </w:rPr>
              <w:t>位办理社</w:t>
            </w:r>
            <w:r>
              <w:rPr>
                <w:spacing w:val="-3"/>
              </w:rPr>
              <w:t>会保险（医</w:t>
            </w:r>
          </w:p>
          <w:p>
            <w:pPr>
              <w:pStyle w:val="8"/>
              <w:spacing w:before="3" w:line="250" w:lineRule="auto"/>
              <w:ind w:left="103" w:right="14" w:hanging="78"/>
            </w:pPr>
            <w:r>
              <w:rPr>
                <w:spacing w:val="-3"/>
              </w:rPr>
              <w:t>疗保障）登</w:t>
            </w:r>
            <w:r>
              <w:rPr>
                <w:spacing w:val="6"/>
              </w:rPr>
              <w:t>记行为的</w:t>
            </w:r>
          </w:p>
          <w:p>
            <w:pPr>
              <w:pStyle w:val="8"/>
              <w:spacing w:before="3" w:line="216" w:lineRule="auto"/>
              <w:ind w:left="112"/>
            </w:pPr>
            <w:r>
              <w:rPr>
                <w:spacing w:val="4"/>
              </w:rPr>
              <w:t>监督检查</w:t>
            </w:r>
          </w:p>
        </w:tc>
        <w:tc>
          <w:tcPr>
            <w:tcW w:w="600" w:type="dxa"/>
            <w:vAlign w:val="top"/>
          </w:tcPr>
          <w:p>
            <w:pPr>
              <w:spacing w:line="255" w:lineRule="auto"/>
              <w:rPr>
                <w:rFonts w:ascii="Arial"/>
                <w:sz w:val="21"/>
              </w:rPr>
            </w:pPr>
          </w:p>
          <w:p>
            <w:pPr>
              <w:spacing w:line="255" w:lineRule="auto"/>
              <w:rPr>
                <w:rFonts w:ascii="Arial"/>
                <w:sz w:val="21"/>
              </w:rPr>
            </w:pPr>
          </w:p>
          <w:p>
            <w:pPr>
              <w:pStyle w:val="8"/>
              <w:spacing w:before="65" w:line="252" w:lineRule="auto"/>
              <w:ind w:left="101" w:right="91"/>
            </w:pPr>
            <w:r>
              <w:rPr>
                <w:spacing w:val="1"/>
              </w:rPr>
              <w:t>行政检查</w:t>
            </w:r>
          </w:p>
        </w:tc>
        <w:tc>
          <w:tcPr>
            <w:tcW w:w="5758" w:type="dxa"/>
            <w:vAlign w:val="top"/>
          </w:tcPr>
          <w:p>
            <w:pPr>
              <w:pStyle w:val="8"/>
              <w:spacing w:before="208" w:line="313" w:lineRule="auto"/>
              <w:ind w:left="28" w:right="72" w:firstLine="416"/>
              <w:jc w:val="both"/>
            </w:pPr>
            <w:r>
              <w:rPr>
                <w:spacing w:val="8"/>
              </w:rPr>
              <w:t>《中华人民共和国社会保险法》第七十七条：</w:t>
            </w:r>
            <w:r>
              <w:rPr>
                <w:spacing w:val="-68"/>
              </w:rPr>
              <w:t xml:space="preserve"> </w:t>
            </w:r>
            <w:r>
              <w:rPr>
                <w:spacing w:val="8"/>
              </w:rPr>
              <w:t>“县级以上</w:t>
            </w:r>
            <w:r>
              <w:rPr>
                <w:spacing w:val="9"/>
              </w:rPr>
              <w:t>人民政府社会保险行政部门应当加强对用人单位和个人遵守社会保险法律、法规情况的监督检查。社会保险行政部门实施监督检查时，被检查的用人单位和个人应当如实提供与社会保险</w:t>
            </w:r>
            <w:r>
              <w:rPr>
                <w:spacing w:val="12"/>
              </w:rPr>
              <w:t>有关的资料，不得拒绝检查或者谎报、瞒报。</w:t>
            </w:r>
            <w:r>
              <w:rPr>
                <w:spacing w:val="-56"/>
              </w:rPr>
              <w:t xml:space="preserve"> </w:t>
            </w:r>
            <w:r>
              <w:rPr>
                <w:spacing w:val="12"/>
              </w:rPr>
              <w:t>”</w:t>
            </w:r>
          </w:p>
        </w:tc>
        <w:tc>
          <w:tcPr>
            <w:tcW w:w="690" w:type="dxa"/>
            <w:vAlign w:val="top"/>
          </w:tcPr>
          <w:p>
            <w:pPr>
              <w:pStyle w:val="8"/>
              <w:spacing w:before="65" w:line="230" w:lineRule="auto"/>
              <w:ind w:left="41"/>
            </w:pPr>
            <w:r>
              <w:rPr>
                <w:spacing w:val="5"/>
              </w:rPr>
              <w:t>信阳市</w:t>
            </w:r>
          </w:p>
          <w:p>
            <w:pPr>
              <w:pStyle w:val="8"/>
              <w:spacing w:before="63" w:line="229" w:lineRule="auto"/>
              <w:ind w:left="59"/>
            </w:pPr>
            <w:r>
              <w:rPr>
                <w:rFonts w:hint="eastAsia"/>
                <w:spacing w:val="-1"/>
                <w:lang w:eastAsia="zh-CN"/>
              </w:rPr>
              <w:t>浉河区</w:t>
            </w:r>
            <w:r>
              <w:rPr>
                <w:spacing w:val="-1"/>
              </w:rPr>
              <w:t>医疗保</w:t>
            </w:r>
          </w:p>
          <w:p>
            <w:pPr>
              <w:rPr>
                <w:rFonts w:ascii="Arial"/>
                <w:sz w:val="21"/>
              </w:rPr>
            </w:pPr>
            <w:r>
              <w:rPr>
                <w:spacing w:val="-4"/>
              </w:rPr>
              <w:t>障局</w:t>
            </w:r>
          </w:p>
        </w:tc>
        <w:tc>
          <w:tcPr>
            <w:tcW w:w="4483" w:type="dxa"/>
            <w:vAlign w:val="top"/>
          </w:tcPr>
          <w:p>
            <w:pPr>
              <w:rPr>
                <w:rFonts w:ascii="Arial"/>
                <w:sz w:val="21"/>
              </w:rPr>
            </w:pPr>
          </w:p>
          <w:p>
            <w:pPr>
              <w:pStyle w:val="8"/>
              <w:spacing w:before="65" w:line="241" w:lineRule="auto"/>
              <w:ind w:left="27" w:right="56" w:firstLine="7"/>
            </w:pPr>
            <w:r>
              <w:rPr>
                <w:spacing w:val="8"/>
              </w:rPr>
              <w:t>1.检查：按照法律、法规规定的程序实施行政检查，实事求是，证据完整、确凿。</w:t>
            </w:r>
          </w:p>
          <w:p>
            <w:pPr>
              <w:pStyle w:val="8"/>
              <w:spacing w:before="23" w:line="231" w:lineRule="auto"/>
              <w:ind w:left="22"/>
            </w:pPr>
            <w:r>
              <w:rPr>
                <w:spacing w:val="8"/>
              </w:rPr>
              <w:t>2.处置：依法处置，不得违反法律、法规。</w:t>
            </w:r>
          </w:p>
          <w:p>
            <w:pPr>
              <w:pStyle w:val="8"/>
              <w:spacing w:before="21" w:line="229" w:lineRule="auto"/>
              <w:ind w:left="23"/>
            </w:pPr>
            <w:r>
              <w:rPr>
                <w:spacing w:val="8"/>
              </w:rPr>
              <w:t>3.法律、法规、规章规定的其他应履行的事项。</w:t>
            </w:r>
          </w:p>
        </w:tc>
        <w:tc>
          <w:tcPr>
            <w:tcW w:w="2022" w:type="dxa"/>
            <w:tcBorders>
              <w:right w:val="single" w:color="FFFFFF" w:sz="2" w:space="0"/>
            </w:tcBorders>
            <w:vAlign w:val="top"/>
          </w:tcPr>
          <w:p>
            <w:pPr>
              <w:pStyle w:val="8"/>
              <w:spacing w:before="38" w:line="245" w:lineRule="auto"/>
              <w:ind w:left="29" w:right="17" w:firstLine="26"/>
              <w:jc w:val="both"/>
            </w:pPr>
            <w:r>
              <w:rPr>
                <w:spacing w:val="5"/>
              </w:rPr>
              <w:t>中华人民共和国社会</w:t>
            </w:r>
            <w:r>
              <w:rPr>
                <w:spacing w:val="8"/>
              </w:rPr>
              <w:t>保险法》第九十三条国家工作人员在社会保险管理、监督工作中滥用职权、玩忽职</w:t>
            </w:r>
            <w:r>
              <w:rPr>
                <w:spacing w:val="7"/>
              </w:rPr>
              <w:t>守、徇私舞弊的,依法</w:t>
            </w:r>
            <w:r>
              <w:rPr>
                <w:spacing w:val="4"/>
              </w:rPr>
              <w:t>给予处分。</w:t>
            </w:r>
          </w:p>
        </w:tc>
      </w:tr>
    </w:tbl>
    <w:p>
      <w:pPr>
        <w:pStyle w:val="2"/>
        <w:spacing w:line="97" w:lineRule="exact"/>
        <w:rPr>
          <w:sz w:val="8"/>
        </w:rPr>
      </w:pPr>
    </w:p>
    <w:p>
      <w:pPr>
        <w:spacing w:line="97" w:lineRule="exact"/>
        <w:rPr>
          <w:sz w:val="8"/>
          <w:szCs w:val="8"/>
        </w:rPr>
        <w:sectPr>
          <w:footerReference r:id="rId10" w:type="default"/>
          <w:pgSz w:w="16839" w:h="11906"/>
          <w:pgMar w:top="1012" w:right="1138" w:bottom="1163" w:left="700" w:header="0" w:footer="791" w:gutter="0"/>
          <w:pgNumType w:fmt="decimal"/>
          <w:cols w:space="720" w:num="1"/>
        </w:sectPr>
      </w:pPr>
    </w:p>
    <w:p>
      <w:pPr>
        <w:spacing w:line="95" w:lineRule="exact"/>
      </w:pPr>
    </w:p>
    <w:tbl>
      <w:tblPr>
        <w:tblStyle w:val="7"/>
        <w:tblW w:w="14994" w:type="dxa"/>
        <w:tblInd w:w="2" w:type="dxa"/>
        <w:tblBorders>
          <w:top w:val="single" w:color="FBDFE4" w:sz="2" w:space="0"/>
          <w:left w:val="single" w:color="FBDFE4" w:sz="2" w:space="0"/>
          <w:bottom w:val="single" w:color="FBDFE4" w:sz="2" w:space="0"/>
          <w:right w:val="single" w:color="FBDFE4" w:sz="2" w:space="0"/>
          <w:insideH w:val="single" w:color="FBDFE4" w:sz="2" w:space="0"/>
          <w:insideV w:val="single" w:color="FBDFE4" w:sz="2" w:space="0"/>
        </w:tblBorders>
        <w:tblLayout w:type="fixed"/>
        <w:tblCellMar>
          <w:top w:w="0" w:type="dxa"/>
          <w:left w:w="0" w:type="dxa"/>
          <w:bottom w:w="0" w:type="dxa"/>
          <w:right w:w="0" w:type="dxa"/>
        </w:tblCellMar>
      </w:tblPr>
      <w:tblGrid>
        <w:gridCol w:w="407"/>
        <w:gridCol w:w="1034"/>
        <w:gridCol w:w="600"/>
        <w:gridCol w:w="5758"/>
        <w:gridCol w:w="690"/>
        <w:gridCol w:w="4483"/>
        <w:gridCol w:w="2022"/>
      </w:tblGrid>
      <w:tr>
        <w:tblPrEx>
          <w:tblBorders>
            <w:top w:val="single" w:color="FBDFE4" w:sz="2" w:space="0"/>
            <w:left w:val="single" w:color="FBDFE4" w:sz="2" w:space="0"/>
            <w:bottom w:val="single" w:color="FBDFE4" w:sz="2" w:space="0"/>
            <w:right w:val="single" w:color="FBDFE4" w:sz="2" w:space="0"/>
            <w:insideH w:val="single" w:color="FBDFE4" w:sz="2" w:space="0"/>
            <w:insideV w:val="single" w:color="FBDFE4" w:sz="2" w:space="0"/>
          </w:tblBorders>
          <w:tblCellMar>
            <w:top w:w="0" w:type="dxa"/>
            <w:left w:w="0" w:type="dxa"/>
            <w:bottom w:w="0" w:type="dxa"/>
            <w:right w:w="0" w:type="dxa"/>
          </w:tblCellMar>
        </w:tblPrEx>
        <w:trPr>
          <w:trHeight w:val="659" w:hRule="atLeast"/>
        </w:trPr>
        <w:tc>
          <w:tcPr>
            <w:tcW w:w="407" w:type="dxa"/>
            <w:tcBorders>
              <w:top w:val="single" w:color="EC6881" w:sz="2" w:space="0"/>
              <w:left w:val="single" w:color="FFFFFF" w:sz="2" w:space="0"/>
              <w:bottom w:val="single" w:color="EC6881" w:sz="2" w:space="0"/>
            </w:tcBorders>
            <w:textDirection w:val="tbRlV"/>
            <w:vAlign w:val="top"/>
          </w:tcPr>
          <w:p>
            <w:pPr>
              <w:spacing w:before="81" w:line="209" w:lineRule="auto"/>
              <w:ind w:left="54"/>
              <w:rPr>
                <w:rFonts w:ascii="SimHei" w:hAnsi="SimHei" w:eastAsia="SimHei" w:cs="SimHei"/>
                <w:sz w:val="24"/>
                <w:szCs w:val="24"/>
              </w:rPr>
            </w:pPr>
            <w:r>
              <w:rPr>
                <w:rFonts w:ascii="SimHei" w:hAnsi="SimHei" w:eastAsia="SimHei" w:cs="SimHei"/>
                <w:spacing w:val="37"/>
                <w:sz w:val="24"/>
                <w:szCs w:val="24"/>
              </w:rPr>
              <w:t>序号</w:t>
            </w:r>
          </w:p>
        </w:tc>
        <w:tc>
          <w:tcPr>
            <w:tcW w:w="1034" w:type="dxa"/>
            <w:tcBorders>
              <w:top w:val="single" w:color="EC6881" w:sz="2" w:space="0"/>
              <w:bottom w:val="single" w:color="EC6881" w:sz="2" w:space="0"/>
            </w:tcBorders>
            <w:vAlign w:val="top"/>
          </w:tcPr>
          <w:p>
            <w:pPr>
              <w:spacing w:before="210" w:line="222" w:lineRule="auto"/>
              <w:ind w:left="41"/>
              <w:rPr>
                <w:rFonts w:ascii="SimHei" w:hAnsi="SimHei" w:eastAsia="SimHei" w:cs="SimHei"/>
                <w:sz w:val="24"/>
                <w:szCs w:val="24"/>
              </w:rPr>
            </w:pPr>
            <w:r>
              <w:rPr>
                <w:rFonts w:ascii="SimHei" w:hAnsi="SimHei" w:eastAsia="SimHei" w:cs="SimHei"/>
                <w:spacing w:val="-3"/>
                <w:sz w:val="24"/>
                <w:szCs w:val="24"/>
              </w:rPr>
              <w:t>项目名称</w:t>
            </w:r>
          </w:p>
        </w:tc>
        <w:tc>
          <w:tcPr>
            <w:tcW w:w="600" w:type="dxa"/>
            <w:tcBorders>
              <w:top w:val="single" w:color="EC6881" w:sz="2" w:space="0"/>
              <w:bottom w:val="single" w:color="EC6881" w:sz="2" w:space="0"/>
            </w:tcBorders>
            <w:vAlign w:val="top"/>
          </w:tcPr>
          <w:p>
            <w:pPr>
              <w:spacing w:before="54" w:line="224" w:lineRule="auto"/>
              <w:ind w:left="63"/>
              <w:rPr>
                <w:rFonts w:ascii="SimHei" w:hAnsi="SimHei" w:eastAsia="SimHei" w:cs="SimHei"/>
                <w:sz w:val="24"/>
                <w:szCs w:val="24"/>
              </w:rPr>
            </w:pPr>
            <w:r>
              <w:rPr>
                <w:rFonts w:ascii="SimHei" w:hAnsi="SimHei" w:eastAsia="SimHei" w:cs="SimHei"/>
                <w:spacing w:val="-5"/>
                <w:sz w:val="24"/>
                <w:szCs w:val="24"/>
              </w:rPr>
              <w:t>职权</w:t>
            </w:r>
          </w:p>
          <w:p>
            <w:pPr>
              <w:spacing w:before="21" w:line="217" w:lineRule="auto"/>
              <w:ind w:left="72"/>
              <w:rPr>
                <w:rFonts w:ascii="SimHei" w:hAnsi="SimHei" w:eastAsia="SimHei" w:cs="SimHei"/>
                <w:sz w:val="24"/>
                <w:szCs w:val="24"/>
              </w:rPr>
            </w:pPr>
            <w:r>
              <w:rPr>
                <w:rFonts w:ascii="SimHei" w:hAnsi="SimHei" w:eastAsia="SimHei" w:cs="SimHei"/>
                <w:spacing w:val="-9"/>
                <w:sz w:val="24"/>
                <w:szCs w:val="24"/>
              </w:rPr>
              <w:t>类别</w:t>
            </w:r>
          </w:p>
        </w:tc>
        <w:tc>
          <w:tcPr>
            <w:tcW w:w="5758" w:type="dxa"/>
            <w:tcBorders>
              <w:top w:val="single" w:color="EC6881" w:sz="2" w:space="0"/>
              <w:bottom w:val="single" w:color="EC6881" w:sz="2" w:space="0"/>
            </w:tcBorders>
            <w:vAlign w:val="top"/>
          </w:tcPr>
          <w:p>
            <w:pPr>
              <w:spacing w:before="210" w:line="222" w:lineRule="auto"/>
              <w:ind w:left="2404"/>
              <w:rPr>
                <w:rFonts w:ascii="SimHei" w:hAnsi="SimHei" w:eastAsia="SimHei" w:cs="SimHei"/>
                <w:sz w:val="24"/>
                <w:szCs w:val="24"/>
              </w:rPr>
            </w:pPr>
            <w:r>
              <w:rPr>
                <w:rFonts w:ascii="SimHei" w:hAnsi="SimHei" w:eastAsia="SimHei" w:cs="SimHei"/>
                <w:spacing w:val="-3"/>
                <w:sz w:val="24"/>
                <w:szCs w:val="24"/>
              </w:rPr>
              <w:t>设定依据</w:t>
            </w:r>
          </w:p>
        </w:tc>
        <w:tc>
          <w:tcPr>
            <w:tcW w:w="690" w:type="dxa"/>
            <w:tcBorders>
              <w:top w:val="single" w:color="EC6881" w:sz="2" w:space="0"/>
              <w:bottom w:val="single" w:color="EC6881" w:sz="2" w:space="0"/>
            </w:tcBorders>
            <w:vAlign w:val="top"/>
          </w:tcPr>
          <w:p>
            <w:pPr>
              <w:spacing w:before="54" w:line="222" w:lineRule="auto"/>
              <w:ind w:left="118"/>
              <w:rPr>
                <w:rFonts w:ascii="SimHei" w:hAnsi="SimHei" w:eastAsia="SimHei" w:cs="SimHei"/>
                <w:sz w:val="24"/>
                <w:szCs w:val="24"/>
              </w:rPr>
            </w:pPr>
            <w:r>
              <w:rPr>
                <w:rFonts w:ascii="SimHei" w:hAnsi="SimHei" w:eastAsia="SimHei" w:cs="SimHei"/>
                <w:spacing w:val="-8"/>
                <w:sz w:val="24"/>
                <w:szCs w:val="24"/>
              </w:rPr>
              <w:t>实施</w:t>
            </w:r>
          </w:p>
          <w:p>
            <w:pPr>
              <w:spacing w:before="24" w:line="217" w:lineRule="auto"/>
              <w:ind w:left="115"/>
              <w:rPr>
                <w:rFonts w:ascii="SimHei" w:hAnsi="SimHei" w:eastAsia="SimHei" w:cs="SimHei"/>
                <w:sz w:val="24"/>
                <w:szCs w:val="24"/>
              </w:rPr>
            </w:pPr>
            <w:r>
              <w:rPr>
                <w:rFonts w:ascii="SimHei" w:hAnsi="SimHei" w:eastAsia="SimHei" w:cs="SimHei"/>
                <w:spacing w:val="-7"/>
                <w:sz w:val="24"/>
                <w:szCs w:val="24"/>
              </w:rPr>
              <w:t>主体</w:t>
            </w:r>
          </w:p>
        </w:tc>
        <w:tc>
          <w:tcPr>
            <w:tcW w:w="4483" w:type="dxa"/>
            <w:tcBorders>
              <w:top w:val="single" w:color="EC6881" w:sz="2" w:space="0"/>
              <w:bottom w:val="single" w:color="EC6881" w:sz="2" w:space="0"/>
            </w:tcBorders>
            <w:vAlign w:val="top"/>
          </w:tcPr>
          <w:p>
            <w:pPr>
              <w:spacing w:before="210" w:line="221" w:lineRule="auto"/>
              <w:ind w:left="1767"/>
              <w:rPr>
                <w:rFonts w:ascii="SimHei" w:hAnsi="SimHei" w:eastAsia="SimHei" w:cs="SimHei"/>
                <w:sz w:val="24"/>
                <w:szCs w:val="24"/>
              </w:rPr>
            </w:pPr>
            <w:r>
              <w:rPr>
                <w:rFonts w:ascii="SimHei" w:hAnsi="SimHei" w:eastAsia="SimHei" w:cs="SimHei"/>
                <w:spacing w:val="-3"/>
                <w:sz w:val="24"/>
                <w:szCs w:val="24"/>
              </w:rPr>
              <w:t>履职方式</w:t>
            </w:r>
          </w:p>
        </w:tc>
        <w:tc>
          <w:tcPr>
            <w:tcW w:w="2022" w:type="dxa"/>
            <w:tcBorders>
              <w:top w:val="single" w:color="EC6881" w:sz="2" w:space="0"/>
              <w:bottom w:val="single" w:color="EC6881" w:sz="2" w:space="0"/>
              <w:right w:val="single" w:color="FFFFFF" w:sz="2" w:space="0"/>
            </w:tcBorders>
            <w:vAlign w:val="top"/>
          </w:tcPr>
          <w:p>
            <w:pPr>
              <w:spacing w:before="210" w:line="221" w:lineRule="auto"/>
              <w:ind w:left="536"/>
              <w:rPr>
                <w:rFonts w:ascii="SimHei" w:hAnsi="SimHei" w:eastAsia="SimHei" w:cs="SimHei"/>
                <w:sz w:val="24"/>
                <w:szCs w:val="24"/>
              </w:rPr>
            </w:pPr>
            <w:r>
              <w:rPr>
                <w:rFonts w:ascii="SimHei" w:hAnsi="SimHei" w:eastAsia="SimHei" w:cs="SimHei"/>
                <w:spacing w:val="-3"/>
                <w:sz w:val="24"/>
                <w:szCs w:val="24"/>
              </w:rPr>
              <w:t>追责方式</w:t>
            </w:r>
          </w:p>
        </w:tc>
      </w:tr>
      <w:tr>
        <w:tblPrEx>
          <w:tblBorders>
            <w:top w:val="single" w:color="FBDFE4" w:sz="2" w:space="0"/>
            <w:left w:val="single" w:color="FBDFE4" w:sz="2" w:space="0"/>
            <w:bottom w:val="single" w:color="FBDFE4" w:sz="2" w:space="0"/>
            <w:right w:val="single" w:color="FBDFE4" w:sz="2" w:space="0"/>
            <w:insideH w:val="single" w:color="FBDFE4" w:sz="2" w:space="0"/>
            <w:insideV w:val="single" w:color="FBDFE4" w:sz="2" w:space="0"/>
          </w:tblBorders>
          <w:tblCellMar>
            <w:top w:w="0" w:type="dxa"/>
            <w:left w:w="0" w:type="dxa"/>
            <w:bottom w:w="0" w:type="dxa"/>
            <w:right w:w="0" w:type="dxa"/>
          </w:tblCellMar>
        </w:tblPrEx>
        <w:trPr>
          <w:trHeight w:val="1955" w:hRule="atLeast"/>
        </w:trPr>
        <w:tc>
          <w:tcPr>
            <w:tcW w:w="407" w:type="dxa"/>
            <w:tcBorders>
              <w:left w:val="single" w:color="FFFFFF" w:sz="2" w:space="0"/>
            </w:tcBorders>
            <w:vAlign w:val="top"/>
          </w:tcPr>
          <w:p>
            <w:pPr>
              <w:spacing w:line="267" w:lineRule="auto"/>
              <w:rPr>
                <w:rFonts w:ascii="Arial"/>
                <w:sz w:val="21"/>
              </w:rPr>
            </w:pPr>
          </w:p>
          <w:p>
            <w:pPr>
              <w:spacing w:line="267" w:lineRule="auto"/>
              <w:rPr>
                <w:rFonts w:ascii="Arial"/>
                <w:sz w:val="21"/>
              </w:rPr>
            </w:pPr>
          </w:p>
          <w:p>
            <w:pPr>
              <w:spacing w:line="268" w:lineRule="auto"/>
              <w:rPr>
                <w:rFonts w:ascii="Arial"/>
                <w:sz w:val="21"/>
              </w:rPr>
            </w:pPr>
          </w:p>
          <w:p>
            <w:pPr>
              <w:pStyle w:val="8"/>
              <w:spacing w:before="65" w:line="272" w:lineRule="exact"/>
              <w:ind w:left="119"/>
              <w:rPr>
                <w:rFonts w:hint="eastAsia" w:eastAsia="FangSong"/>
                <w:lang w:val="en-US" w:eastAsia="zh-CN"/>
              </w:rPr>
            </w:pPr>
            <w:r>
              <w:rPr>
                <w:spacing w:val="-8"/>
                <w:position w:val="1"/>
              </w:rPr>
              <w:t>1</w:t>
            </w:r>
            <w:r>
              <w:rPr>
                <w:rFonts w:hint="eastAsia"/>
                <w:spacing w:val="-8"/>
                <w:position w:val="1"/>
                <w:lang w:val="en-US" w:eastAsia="zh-CN"/>
              </w:rPr>
              <w:t>2</w:t>
            </w:r>
          </w:p>
        </w:tc>
        <w:tc>
          <w:tcPr>
            <w:tcW w:w="1034" w:type="dxa"/>
            <w:vAlign w:val="top"/>
          </w:tcPr>
          <w:p>
            <w:pPr>
              <w:spacing w:line="246" w:lineRule="auto"/>
              <w:rPr>
                <w:rFonts w:ascii="Arial"/>
                <w:sz w:val="21"/>
              </w:rPr>
            </w:pPr>
          </w:p>
          <w:p>
            <w:pPr>
              <w:spacing w:line="246" w:lineRule="auto"/>
              <w:rPr>
                <w:rFonts w:ascii="Arial"/>
                <w:sz w:val="21"/>
              </w:rPr>
            </w:pPr>
          </w:p>
          <w:p>
            <w:pPr>
              <w:pStyle w:val="8"/>
              <w:spacing w:before="65" w:line="288" w:lineRule="auto"/>
              <w:ind w:left="110" w:right="98" w:hanging="4"/>
              <w:jc w:val="both"/>
            </w:pPr>
            <w:r>
              <w:rPr>
                <w:spacing w:val="5"/>
              </w:rPr>
              <w:t>社会保险</w:t>
            </w:r>
            <w:r>
              <w:rPr>
                <w:spacing w:val="4"/>
              </w:rPr>
              <w:t>（医疗保障）稽核</w:t>
            </w:r>
          </w:p>
        </w:tc>
        <w:tc>
          <w:tcPr>
            <w:tcW w:w="600" w:type="dxa"/>
            <w:vAlign w:val="top"/>
          </w:tcPr>
          <w:p>
            <w:pPr>
              <w:spacing w:line="323" w:lineRule="auto"/>
              <w:rPr>
                <w:rFonts w:ascii="Arial"/>
                <w:sz w:val="21"/>
              </w:rPr>
            </w:pPr>
          </w:p>
          <w:p>
            <w:pPr>
              <w:spacing w:line="324" w:lineRule="auto"/>
              <w:rPr>
                <w:rFonts w:ascii="Arial"/>
                <w:sz w:val="21"/>
              </w:rPr>
            </w:pPr>
          </w:p>
          <w:p>
            <w:pPr>
              <w:pStyle w:val="8"/>
              <w:spacing w:before="65" w:line="287" w:lineRule="auto"/>
              <w:ind w:left="26" w:right="165"/>
            </w:pPr>
            <w:r>
              <w:rPr>
                <w:spacing w:val="1"/>
              </w:rPr>
              <w:t>行政检查</w:t>
            </w:r>
          </w:p>
        </w:tc>
        <w:tc>
          <w:tcPr>
            <w:tcW w:w="5758" w:type="dxa"/>
            <w:vAlign w:val="top"/>
          </w:tcPr>
          <w:p>
            <w:pPr>
              <w:spacing w:line="385" w:lineRule="auto"/>
              <w:rPr>
                <w:rFonts w:ascii="Arial"/>
                <w:sz w:val="21"/>
              </w:rPr>
            </w:pPr>
          </w:p>
          <w:p>
            <w:pPr>
              <w:pStyle w:val="8"/>
              <w:spacing w:before="65" w:line="258" w:lineRule="auto"/>
              <w:ind w:left="26" w:right="72" w:firstLine="418"/>
            </w:pPr>
            <w:r>
              <w:rPr>
                <w:spacing w:val="9"/>
              </w:rPr>
              <w:t>《社会保险稽核办法》（劳动和社会保障部令第16号）第</w:t>
            </w:r>
            <w:r>
              <w:rPr>
                <w:spacing w:val="8"/>
              </w:rPr>
              <w:t>三条：</w:t>
            </w:r>
            <w:r>
              <w:rPr>
                <w:spacing w:val="-64"/>
              </w:rPr>
              <w:t xml:space="preserve"> </w:t>
            </w:r>
            <w:r>
              <w:rPr>
                <w:spacing w:val="8"/>
              </w:rPr>
              <w:t>“县级以上社会保险经办机构负责社会保险稽核工作。</w:t>
            </w:r>
            <w:r>
              <w:rPr>
                <w:spacing w:val="9"/>
              </w:rPr>
              <w:t>县级以上社会保险经办机构的稽核部门具体承办社会保险稽核</w:t>
            </w:r>
            <w:r>
              <w:rPr>
                <w:spacing w:val="22"/>
              </w:rPr>
              <w:t>工作。</w:t>
            </w:r>
            <w:r>
              <w:rPr>
                <w:spacing w:val="-67"/>
              </w:rPr>
              <w:t xml:space="preserve"> </w:t>
            </w:r>
            <w:r>
              <w:rPr>
                <w:spacing w:val="22"/>
              </w:rPr>
              <w:t>”</w:t>
            </w:r>
          </w:p>
        </w:tc>
        <w:tc>
          <w:tcPr>
            <w:tcW w:w="690" w:type="dxa"/>
            <w:vAlign w:val="top"/>
          </w:tcPr>
          <w:p>
            <w:pPr>
              <w:spacing w:line="246" w:lineRule="auto"/>
              <w:rPr>
                <w:rFonts w:ascii="Arial"/>
                <w:sz w:val="21"/>
              </w:rPr>
            </w:pPr>
          </w:p>
          <w:p>
            <w:pPr>
              <w:spacing w:line="246" w:lineRule="auto"/>
              <w:rPr>
                <w:rFonts w:ascii="Arial"/>
                <w:sz w:val="21"/>
              </w:rPr>
            </w:pPr>
          </w:p>
          <w:p>
            <w:pPr>
              <w:pStyle w:val="8"/>
              <w:spacing w:before="65" w:line="230" w:lineRule="auto"/>
              <w:ind w:left="41"/>
            </w:pPr>
            <w:r>
              <w:rPr>
                <w:spacing w:val="5"/>
              </w:rPr>
              <w:t>信阳市</w:t>
            </w:r>
          </w:p>
          <w:p>
            <w:pPr>
              <w:pStyle w:val="8"/>
              <w:spacing w:before="63" w:line="229" w:lineRule="auto"/>
              <w:ind w:left="59"/>
            </w:pPr>
            <w:r>
              <w:rPr>
                <w:rFonts w:hint="eastAsia"/>
                <w:spacing w:val="-1"/>
                <w:lang w:eastAsia="zh-CN"/>
              </w:rPr>
              <w:t>浉河区</w:t>
            </w:r>
            <w:r>
              <w:rPr>
                <w:spacing w:val="-1"/>
              </w:rPr>
              <w:t>医疗保</w:t>
            </w:r>
          </w:p>
          <w:p>
            <w:pPr>
              <w:pStyle w:val="8"/>
              <w:spacing w:before="63" w:line="230" w:lineRule="auto"/>
              <w:ind w:left="158"/>
            </w:pPr>
            <w:r>
              <w:rPr>
                <w:spacing w:val="-4"/>
              </w:rPr>
              <w:t>障局</w:t>
            </w:r>
          </w:p>
        </w:tc>
        <w:tc>
          <w:tcPr>
            <w:tcW w:w="4483" w:type="dxa"/>
            <w:vAlign w:val="top"/>
          </w:tcPr>
          <w:p>
            <w:pPr>
              <w:spacing w:line="374" w:lineRule="auto"/>
              <w:rPr>
                <w:rFonts w:ascii="Arial"/>
                <w:sz w:val="21"/>
              </w:rPr>
            </w:pPr>
          </w:p>
          <w:p>
            <w:pPr>
              <w:pStyle w:val="8"/>
              <w:spacing w:before="65" w:line="242" w:lineRule="auto"/>
              <w:ind w:left="27" w:right="56" w:firstLine="7"/>
            </w:pPr>
            <w:r>
              <w:rPr>
                <w:spacing w:val="8"/>
              </w:rPr>
              <w:t>1.检查：按照法律、法规规定的程序实施行政检查，实事求是，证据完整、确凿。</w:t>
            </w:r>
          </w:p>
          <w:p>
            <w:pPr>
              <w:pStyle w:val="8"/>
              <w:spacing w:before="20" w:line="231" w:lineRule="auto"/>
              <w:ind w:left="22"/>
            </w:pPr>
            <w:r>
              <w:rPr>
                <w:spacing w:val="8"/>
              </w:rPr>
              <w:t>2.处置：依法处置，不得违反法律、法规。</w:t>
            </w:r>
          </w:p>
          <w:p>
            <w:pPr>
              <w:pStyle w:val="8"/>
              <w:spacing w:before="43" w:line="229" w:lineRule="auto"/>
              <w:ind w:left="23"/>
            </w:pPr>
            <w:r>
              <w:rPr>
                <w:spacing w:val="8"/>
              </w:rPr>
              <w:t>3.法律、法规、规章规定的其他应履行的事项。</w:t>
            </w:r>
          </w:p>
        </w:tc>
        <w:tc>
          <w:tcPr>
            <w:tcW w:w="2022" w:type="dxa"/>
            <w:tcBorders>
              <w:right w:val="single" w:color="FFFFFF" w:sz="2" w:space="0"/>
            </w:tcBorders>
            <w:vAlign w:val="top"/>
          </w:tcPr>
          <w:p>
            <w:pPr>
              <w:pStyle w:val="8"/>
              <w:spacing w:before="56" w:line="249" w:lineRule="auto"/>
              <w:ind w:left="29" w:right="17" w:firstLine="26"/>
              <w:jc w:val="both"/>
            </w:pPr>
            <w:r>
              <w:rPr>
                <w:spacing w:val="5"/>
              </w:rPr>
              <w:t>中华人民共和国社会</w:t>
            </w:r>
            <w:r>
              <w:rPr>
                <w:spacing w:val="8"/>
              </w:rPr>
              <w:t>保险法》第九十三条国家工作人员在社会保险管理、监督工作中滥用职权、玩忽职</w:t>
            </w:r>
            <w:r>
              <w:rPr>
                <w:spacing w:val="7"/>
              </w:rPr>
              <w:t>守、徇私舞弊的,依法</w:t>
            </w:r>
            <w:r>
              <w:rPr>
                <w:spacing w:val="4"/>
              </w:rPr>
              <w:t>给予处分。</w:t>
            </w:r>
          </w:p>
        </w:tc>
      </w:tr>
      <w:tr>
        <w:tblPrEx>
          <w:tblBorders>
            <w:top w:val="single" w:color="FBDFE4" w:sz="2" w:space="0"/>
            <w:left w:val="single" w:color="FBDFE4" w:sz="2" w:space="0"/>
            <w:bottom w:val="single" w:color="FBDFE4" w:sz="2" w:space="0"/>
            <w:right w:val="single" w:color="FBDFE4" w:sz="2" w:space="0"/>
            <w:insideH w:val="single" w:color="FBDFE4" w:sz="2" w:space="0"/>
            <w:insideV w:val="single" w:color="FBDFE4" w:sz="2" w:space="0"/>
          </w:tblBorders>
          <w:tblCellMar>
            <w:top w:w="0" w:type="dxa"/>
            <w:left w:w="0" w:type="dxa"/>
            <w:bottom w:w="0" w:type="dxa"/>
            <w:right w:w="0" w:type="dxa"/>
          </w:tblCellMar>
        </w:tblPrEx>
        <w:trPr>
          <w:trHeight w:val="5997" w:hRule="atLeast"/>
        </w:trPr>
        <w:tc>
          <w:tcPr>
            <w:tcW w:w="407" w:type="dxa"/>
            <w:tcBorders>
              <w:left w:val="single" w:color="FFFFFF" w:sz="2" w:space="0"/>
            </w:tcBorders>
            <w:vAlign w:val="top"/>
          </w:tcPr>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pStyle w:val="8"/>
              <w:spacing w:before="65" w:line="270" w:lineRule="exact"/>
              <w:ind w:left="119"/>
              <w:rPr>
                <w:rFonts w:hint="eastAsia" w:eastAsia="FangSong"/>
                <w:lang w:val="en-US" w:eastAsia="zh-CN"/>
              </w:rPr>
            </w:pPr>
            <w:r>
              <w:rPr>
                <w:spacing w:val="-8"/>
                <w:position w:val="1"/>
              </w:rPr>
              <w:t>1</w:t>
            </w:r>
            <w:r>
              <w:rPr>
                <w:rFonts w:hint="eastAsia"/>
                <w:spacing w:val="-8"/>
                <w:position w:val="1"/>
                <w:lang w:val="en-US" w:eastAsia="zh-CN"/>
              </w:rPr>
              <w:t>3</w:t>
            </w:r>
          </w:p>
        </w:tc>
        <w:tc>
          <w:tcPr>
            <w:tcW w:w="1034" w:type="dxa"/>
            <w:vAlign w:val="top"/>
          </w:tcPr>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pStyle w:val="8"/>
              <w:spacing w:before="65" w:line="288" w:lineRule="auto"/>
              <w:ind w:left="22" w:right="182" w:hanging="1"/>
              <w:jc w:val="both"/>
            </w:pPr>
            <w:r>
              <w:rPr>
                <w:spacing w:val="6"/>
              </w:rPr>
              <w:t>骗取医疗</w:t>
            </w:r>
            <w:r>
              <w:rPr>
                <w:spacing w:val="5"/>
              </w:rPr>
              <w:t>保障基金行为的处</w:t>
            </w:r>
            <w:r>
              <w:t>罚</w:t>
            </w:r>
          </w:p>
        </w:tc>
        <w:tc>
          <w:tcPr>
            <w:tcW w:w="600"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8"/>
              <w:spacing w:before="65" w:line="289" w:lineRule="auto"/>
              <w:ind w:left="26" w:right="165"/>
            </w:pPr>
            <w:r>
              <w:rPr>
                <w:spacing w:val="1"/>
              </w:rPr>
              <w:t>行政处罚</w:t>
            </w:r>
          </w:p>
        </w:tc>
        <w:tc>
          <w:tcPr>
            <w:tcW w:w="5758" w:type="dxa"/>
            <w:vAlign w:val="top"/>
          </w:tcPr>
          <w:p>
            <w:pPr>
              <w:spacing w:line="256" w:lineRule="auto"/>
              <w:rPr>
                <w:rFonts w:ascii="Arial"/>
                <w:sz w:val="21"/>
              </w:rPr>
            </w:pPr>
          </w:p>
          <w:p>
            <w:pPr>
              <w:spacing w:line="256" w:lineRule="auto"/>
              <w:rPr>
                <w:rFonts w:ascii="Arial"/>
                <w:sz w:val="21"/>
              </w:rPr>
            </w:pPr>
          </w:p>
          <w:p>
            <w:pPr>
              <w:pStyle w:val="8"/>
              <w:spacing w:before="65" w:line="251" w:lineRule="auto"/>
              <w:ind w:left="25" w:right="72" w:firstLine="419"/>
              <w:jc w:val="both"/>
            </w:pPr>
            <w:r>
              <w:rPr>
                <w:spacing w:val="8"/>
              </w:rPr>
              <w:t>《中华人民共和国社会保险法》第八十七条：</w:t>
            </w:r>
            <w:r>
              <w:rPr>
                <w:spacing w:val="-68"/>
              </w:rPr>
              <w:t xml:space="preserve"> </w:t>
            </w:r>
            <w:r>
              <w:rPr>
                <w:spacing w:val="8"/>
              </w:rPr>
              <w:t>“社会保险</w:t>
            </w:r>
            <w:r>
              <w:rPr>
                <w:spacing w:val="9"/>
              </w:rPr>
              <w:t>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w:t>
            </w:r>
            <w:r>
              <w:rPr>
                <w:spacing w:val="6"/>
              </w:rPr>
              <w:t>的，依法吊销其执业资格。</w:t>
            </w:r>
            <w:r>
              <w:rPr>
                <w:spacing w:val="-65"/>
              </w:rPr>
              <w:t xml:space="preserve"> </w:t>
            </w:r>
            <w:r>
              <w:rPr>
                <w:spacing w:val="6"/>
              </w:rPr>
              <w:t>”第八十八条：</w:t>
            </w:r>
            <w:r>
              <w:rPr>
                <w:spacing w:val="-80"/>
              </w:rPr>
              <w:t xml:space="preserve"> </w:t>
            </w:r>
            <w:r>
              <w:rPr>
                <w:spacing w:val="6"/>
              </w:rPr>
              <w:t>“</w:t>
            </w:r>
            <w:r>
              <w:rPr>
                <w:spacing w:val="-63"/>
              </w:rPr>
              <w:t xml:space="preserve"> </w:t>
            </w:r>
            <w:r>
              <w:rPr>
                <w:spacing w:val="6"/>
              </w:rPr>
              <w:t>以欺诈、伪造证</w:t>
            </w:r>
            <w:r>
              <w:rPr>
                <w:spacing w:val="7"/>
              </w:rPr>
              <w:t>明材料或者其他手段骗取社会保险待遇的，</w:t>
            </w:r>
            <w:r>
              <w:rPr>
                <w:spacing w:val="-35"/>
              </w:rPr>
              <w:t xml:space="preserve"> </w:t>
            </w:r>
            <w:r>
              <w:rPr>
                <w:spacing w:val="7"/>
              </w:rPr>
              <w:t>由社会保险行政部</w:t>
            </w:r>
            <w:r>
              <w:rPr>
                <w:spacing w:val="9"/>
              </w:rPr>
              <w:t>门责令退回骗取的社会保险金，处骗取金额二倍以上五倍以下</w:t>
            </w:r>
            <w:r>
              <w:rPr>
                <w:spacing w:val="19"/>
              </w:rPr>
              <w:t>的罚款。</w:t>
            </w:r>
            <w:r>
              <w:rPr>
                <w:spacing w:val="-61"/>
              </w:rPr>
              <w:t xml:space="preserve"> </w:t>
            </w:r>
            <w:r>
              <w:rPr>
                <w:spacing w:val="19"/>
              </w:rPr>
              <w:t>”</w:t>
            </w:r>
          </w:p>
          <w:p>
            <w:pPr>
              <w:pStyle w:val="8"/>
              <w:spacing w:before="18" w:line="288" w:lineRule="auto"/>
              <w:ind w:left="24"/>
              <w:jc w:val="both"/>
            </w:pPr>
            <w:r>
              <w:rPr>
                <w:rFonts w:hint="eastAsia"/>
                <w:spacing w:val="6"/>
              </w:rPr>
              <w:t>《信阳市浉河区医疗保障局职能配置、 内设机构和人员编制规定》第五条：“（六）贯彻执行全市医疗保障基金监督管理办法，建立健全医疗保障基金安全防控机制。  …监督管理纳入医保范围内的医疗服务行为和医疗费用，规范医保经办业务、服务流程，依法查处医疗保障领域违法违规行为。 ”</w:t>
            </w:r>
          </w:p>
        </w:tc>
        <w:tc>
          <w:tcPr>
            <w:tcW w:w="690"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8"/>
              <w:spacing w:before="65" w:line="230" w:lineRule="auto"/>
              <w:ind w:left="41"/>
            </w:pPr>
            <w:r>
              <w:rPr>
                <w:spacing w:val="5"/>
              </w:rPr>
              <w:t>信阳市</w:t>
            </w:r>
          </w:p>
          <w:p>
            <w:pPr>
              <w:pStyle w:val="8"/>
              <w:spacing w:before="63" w:line="229" w:lineRule="auto"/>
              <w:ind w:left="59"/>
            </w:pPr>
            <w:r>
              <w:rPr>
                <w:rFonts w:hint="eastAsia"/>
                <w:spacing w:val="-1"/>
                <w:lang w:eastAsia="zh-CN"/>
              </w:rPr>
              <w:t>浉河区</w:t>
            </w:r>
            <w:r>
              <w:rPr>
                <w:spacing w:val="-1"/>
              </w:rPr>
              <w:t>医疗保</w:t>
            </w:r>
          </w:p>
          <w:p>
            <w:pPr>
              <w:pStyle w:val="8"/>
              <w:spacing w:before="65" w:line="288" w:lineRule="auto"/>
              <w:ind w:left="38" w:right="13" w:hanging="11"/>
              <w:jc w:val="both"/>
            </w:pPr>
            <w:r>
              <w:rPr>
                <w:spacing w:val="-4"/>
              </w:rPr>
              <w:t>障局</w:t>
            </w:r>
          </w:p>
        </w:tc>
        <w:tc>
          <w:tcPr>
            <w:tcW w:w="4483" w:type="dxa"/>
            <w:vAlign w:val="top"/>
          </w:tcPr>
          <w:p>
            <w:pPr>
              <w:pStyle w:val="8"/>
              <w:spacing w:before="34" w:line="244" w:lineRule="auto"/>
              <w:ind w:left="27" w:firstLine="7"/>
            </w:pPr>
            <w:r>
              <w:rPr>
                <w:spacing w:val="6"/>
              </w:rPr>
              <w:t>1.立案:依据监督检查职权或者通过投诉、举报、</w:t>
            </w:r>
            <w:r>
              <w:rPr>
                <w:spacing w:val="10"/>
              </w:rPr>
              <w:t>其他部门移送，上级交办等途径发现的违法行为</w:t>
            </w:r>
            <w:r>
              <w:rPr>
                <w:spacing w:val="7"/>
              </w:rPr>
              <w:t>线索，予以核查，决定是否立案。</w:t>
            </w:r>
          </w:p>
          <w:p>
            <w:pPr>
              <w:pStyle w:val="8"/>
              <w:spacing w:before="23" w:line="246" w:lineRule="auto"/>
              <w:ind w:left="27" w:right="11" w:hanging="5"/>
            </w:pPr>
            <w:r>
              <w:rPr>
                <w:spacing w:val="6"/>
              </w:rPr>
              <w:t>2.调查:对立案的案件，全面、客观、公正、及时</w:t>
            </w:r>
            <w:r>
              <w:rPr>
                <w:spacing w:val="11"/>
              </w:rPr>
              <w:t>进行案件调查，收集、调取证据，并依法进行检查。调查或者检查时不少于两人，并主动出示执</w:t>
            </w:r>
            <w:r>
              <w:rPr>
                <w:spacing w:val="3"/>
              </w:rPr>
              <w:t>法证件。</w:t>
            </w:r>
          </w:p>
          <w:p>
            <w:pPr>
              <w:pStyle w:val="8"/>
              <w:spacing w:before="23" w:line="244" w:lineRule="auto"/>
              <w:ind w:left="26" w:right="11" w:hanging="3"/>
            </w:pPr>
            <w:r>
              <w:rPr>
                <w:spacing w:val="6"/>
              </w:rPr>
              <w:t>3.审查:对案件的违法事实、收集的证据、办案的</w:t>
            </w:r>
            <w:r>
              <w:rPr>
                <w:spacing w:val="11"/>
              </w:rPr>
              <w:t>程序、法律适用、处罚内容和幅度当事人的陈述</w:t>
            </w:r>
            <w:r>
              <w:rPr>
                <w:spacing w:val="8"/>
              </w:rPr>
              <w:t>申辩理由等进行审查，提出处理意见。</w:t>
            </w:r>
          </w:p>
          <w:p>
            <w:pPr>
              <w:pStyle w:val="8"/>
              <w:spacing w:before="21" w:line="247" w:lineRule="auto"/>
              <w:ind w:left="24" w:right="11" w:hanging="6"/>
            </w:pPr>
            <w:r>
              <w:rPr>
                <w:spacing w:val="15"/>
              </w:rPr>
              <w:t>4.告知:书面告知当事人拟作出的行政处罚内容</w:t>
            </w:r>
            <w:r>
              <w:rPr>
                <w:spacing w:val="11"/>
              </w:rPr>
              <w:t>及事实、理由、依据，并告知当事人依法享有陈</w:t>
            </w:r>
            <w:r>
              <w:rPr>
                <w:spacing w:val="9"/>
              </w:rPr>
              <w:t>述权、</w:t>
            </w:r>
            <w:r>
              <w:rPr>
                <w:spacing w:val="-49"/>
              </w:rPr>
              <w:t xml:space="preserve"> </w:t>
            </w:r>
            <w:r>
              <w:rPr>
                <w:spacing w:val="9"/>
              </w:rPr>
              <w:t>申辩权。属于听证范围的，告知当事人听</w:t>
            </w:r>
            <w:r>
              <w:rPr>
                <w:spacing w:val="1"/>
              </w:rPr>
              <w:t>证权。</w:t>
            </w:r>
          </w:p>
          <w:p>
            <w:pPr>
              <w:pStyle w:val="8"/>
              <w:spacing w:before="21" w:line="241" w:lineRule="auto"/>
              <w:ind w:left="45" w:right="13" w:hanging="22"/>
            </w:pPr>
            <w:r>
              <w:rPr>
                <w:spacing w:val="6"/>
              </w:rPr>
              <w:t>5.决定:依法应当给予行政处罚的，制作加盖本部门印章的行政处罚决定书。</w:t>
            </w:r>
          </w:p>
          <w:p>
            <w:pPr>
              <w:pStyle w:val="8"/>
              <w:spacing w:before="22" w:line="247" w:lineRule="auto"/>
              <w:ind w:left="25" w:right="11" w:hanging="4"/>
            </w:pPr>
            <w:r>
              <w:rPr>
                <w:spacing w:val="10"/>
              </w:rPr>
              <w:t>6.送达:行政处罚决定书在七个工作</w:t>
            </w:r>
            <w:r>
              <w:rPr>
                <w:spacing w:val="-25"/>
              </w:rPr>
              <w:t xml:space="preserve"> </w:t>
            </w:r>
            <w:r>
              <w:rPr>
                <w:spacing w:val="10"/>
              </w:rPr>
              <w:t>日</w:t>
            </w:r>
            <w:r>
              <w:rPr>
                <w:spacing w:val="-51"/>
              </w:rPr>
              <w:t xml:space="preserve"> </w:t>
            </w:r>
            <w:r>
              <w:rPr>
                <w:spacing w:val="10"/>
              </w:rPr>
              <w:t>内送达当</w:t>
            </w:r>
            <w:r>
              <w:rPr>
                <w:spacing w:val="12"/>
              </w:rPr>
              <w:t>事人</w:t>
            </w:r>
            <w:r>
              <w:rPr>
                <w:spacing w:val="-27"/>
              </w:rPr>
              <w:t xml:space="preserve"> </w:t>
            </w:r>
            <w:r>
              <w:rPr>
                <w:spacing w:val="12"/>
              </w:rPr>
              <w:t>7.执行:监督当事人在决定的期限内，履行</w:t>
            </w:r>
            <w:r>
              <w:rPr>
                <w:spacing w:val="9"/>
              </w:rPr>
              <w:t>生效的行政处罚决定。</w:t>
            </w:r>
            <w:r>
              <w:rPr>
                <w:spacing w:val="-50"/>
              </w:rPr>
              <w:t xml:space="preserve"> </w:t>
            </w:r>
            <w:r>
              <w:rPr>
                <w:spacing w:val="9"/>
              </w:rPr>
              <w:t>当事人在法定期限内不申</w:t>
            </w:r>
            <w:r>
              <w:rPr>
                <w:spacing w:val="11"/>
              </w:rPr>
              <w:t>请行政复议或者提起行政诉讼，又不履行的，依</w:t>
            </w:r>
            <w:r>
              <w:rPr>
                <w:spacing w:val="7"/>
              </w:rPr>
              <w:t>法申请人民法院强制执行。</w:t>
            </w:r>
          </w:p>
          <w:p>
            <w:pPr>
              <w:pStyle w:val="8"/>
              <w:spacing w:before="23" w:line="217" w:lineRule="auto"/>
              <w:ind w:left="20"/>
            </w:pPr>
            <w:r>
              <w:rPr>
                <w:spacing w:val="8"/>
              </w:rPr>
              <w:t>8.法律法规规章规定的其他履职方式。</w:t>
            </w:r>
          </w:p>
        </w:tc>
        <w:tc>
          <w:tcPr>
            <w:tcW w:w="2022" w:type="dxa"/>
            <w:tcBorders>
              <w:right w:val="single" w:color="FFFFFF" w:sz="2" w:space="0"/>
            </w:tcBorders>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8"/>
              <w:spacing w:before="65" w:line="251" w:lineRule="auto"/>
              <w:ind w:left="27" w:right="113"/>
              <w:jc w:val="both"/>
            </w:pPr>
            <w:r>
              <w:rPr>
                <w:spacing w:val="8"/>
              </w:rPr>
              <w:t>《医疗保障基金使用监督管理条例》第四</w:t>
            </w:r>
            <w:r>
              <w:rPr>
                <w:spacing w:val="4"/>
              </w:rPr>
              <w:t>十七条</w:t>
            </w:r>
            <w:r>
              <w:rPr>
                <w:spacing w:val="37"/>
              </w:rPr>
              <w:t xml:space="preserve"> </w:t>
            </w:r>
            <w:r>
              <w:rPr>
                <w:spacing w:val="4"/>
              </w:rPr>
              <w:t>医疗保障等</w:t>
            </w:r>
            <w:r>
              <w:rPr>
                <w:spacing w:val="8"/>
              </w:rPr>
              <w:t>行政部门工作人员在医疗保障基金使用监督管理工作中滥用职权、玩忽职守、徇私舞弊的，依法给予处</w:t>
            </w:r>
            <w:r>
              <w:rPr>
                <w:spacing w:val="-3"/>
              </w:rPr>
              <w:t>分。</w:t>
            </w:r>
          </w:p>
        </w:tc>
      </w:tr>
    </w:tbl>
    <w:p>
      <w:pPr>
        <w:spacing w:line="228" w:lineRule="exact"/>
        <w:rPr>
          <w:sz w:val="19"/>
          <w:szCs w:val="19"/>
        </w:rPr>
        <w:sectPr>
          <w:footerReference r:id="rId11" w:type="default"/>
          <w:pgSz w:w="16839" w:h="11906"/>
          <w:pgMar w:top="1012" w:right="1138" w:bottom="1163" w:left="700" w:header="0" w:footer="794" w:gutter="0"/>
          <w:pgNumType w:fmt="decimal"/>
          <w:cols w:space="720" w:num="1"/>
        </w:sectPr>
      </w:pPr>
    </w:p>
    <w:p>
      <w:pPr>
        <w:spacing w:line="95" w:lineRule="exact"/>
      </w:pPr>
    </w:p>
    <w:tbl>
      <w:tblPr>
        <w:tblStyle w:val="7"/>
        <w:tblW w:w="14994" w:type="dxa"/>
        <w:tblInd w:w="2" w:type="dxa"/>
        <w:tblBorders>
          <w:top w:val="single" w:color="EC6881" w:sz="2" w:space="0"/>
          <w:left w:val="single" w:color="EC6881" w:sz="2" w:space="0"/>
          <w:bottom w:val="single" w:color="EC6881" w:sz="2" w:space="0"/>
          <w:right w:val="single" w:color="EC6881" w:sz="2" w:space="0"/>
          <w:insideH w:val="single" w:color="EC6881" w:sz="2" w:space="0"/>
          <w:insideV w:val="single" w:color="EC6881" w:sz="2" w:space="0"/>
        </w:tblBorders>
        <w:tblLayout w:type="fixed"/>
        <w:tblCellMar>
          <w:top w:w="0" w:type="dxa"/>
          <w:left w:w="0" w:type="dxa"/>
          <w:bottom w:w="0" w:type="dxa"/>
          <w:right w:w="0" w:type="dxa"/>
        </w:tblCellMar>
      </w:tblPr>
      <w:tblGrid>
        <w:gridCol w:w="407"/>
        <w:gridCol w:w="1034"/>
        <w:gridCol w:w="600"/>
        <w:gridCol w:w="5758"/>
        <w:gridCol w:w="690"/>
        <w:gridCol w:w="4483"/>
        <w:gridCol w:w="2022"/>
      </w:tblGrid>
      <w:tr>
        <w:tblPrEx>
          <w:tblBorders>
            <w:top w:val="single" w:color="EC6881" w:sz="2" w:space="0"/>
            <w:left w:val="single" w:color="EC6881" w:sz="2" w:space="0"/>
            <w:bottom w:val="single" w:color="EC6881" w:sz="2" w:space="0"/>
            <w:right w:val="single" w:color="EC6881" w:sz="2" w:space="0"/>
            <w:insideH w:val="single" w:color="EC6881" w:sz="2" w:space="0"/>
            <w:insideV w:val="single" w:color="EC6881" w:sz="2" w:space="0"/>
          </w:tblBorders>
          <w:tblCellMar>
            <w:top w:w="0" w:type="dxa"/>
            <w:left w:w="0" w:type="dxa"/>
            <w:bottom w:w="0" w:type="dxa"/>
            <w:right w:w="0" w:type="dxa"/>
          </w:tblCellMar>
        </w:tblPrEx>
        <w:trPr>
          <w:trHeight w:val="659" w:hRule="atLeast"/>
        </w:trPr>
        <w:tc>
          <w:tcPr>
            <w:tcW w:w="407" w:type="dxa"/>
            <w:tcBorders>
              <w:left w:val="single" w:color="FFFFFF" w:sz="2" w:space="0"/>
              <w:right w:val="single" w:color="FBDFE4" w:sz="2" w:space="0"/>
            </w:tcBorders>
            <w:textDirection w:val="tbRlV"/>
            <w:vAlign w:val="top"/>
          </w:tcPr>
          <w:p>
            <w:pPr>
              <w:spacing w:before="81" w:line="209" w:lineRule="auto"/>
              <w:ind w:left="54"/>
              <w:rPr>
                <w:rFonts w:ascii="SimHei" w:hAnsi="SimHei" w:eastAsia="SimHei" w:cs="SimHei"/>
                <w:sz w:val="24"/>
                <w:szCs w:val="24"/>
              </w:rPr>
            </w:pPr>
            <w:r>
              <w:rPr>
                <w:rFonts w:ascii="SimHei" w:hAnsi="SimHei" w:eastAsia="SimHei" w:cs="SimHei"/>
                <w:spacing w:val="37"/>
                <w:sz w:val="24"/>
                <w:szCs w:val="24"/>
              </w:rPr>
              <w:t>序号</w:t>
            </w:r>
          </w:p>
        </w:tc>
        <w:tc>
          <w:tcPr>
            <w:tcW w:w="1034" w:type="dxa"/>
            <w:tcBorders>
              <w:left w:val="single" w:color="FBDFE4" w:sz="2" w:space="0"/>
              <w:right w:val="single" w:color="FBDFE4" w:sz="2" w:space="0"/>
            </w:tcBorders>
            <w:vAlign w:val="top"/>
          </w:tcPr>
          <w:p>
            <w:pPr>
              <w:spacing w:before="210" w:line="222" w:lineRule="auto"/>
              <w:ind w:left="41"/>
              <w:rPr>
                <w:rFonts w:ascii="SimHei" w:hAnsi="SimHei" w:eastAsia="SimHei" w:cs="SimHei"/>
                <w:sz w:val="24"/>
                <w:szCs w:val="24"/>
              </w:rPr>
            </w:pPr>
            <w:r>
              <w:rPr>
                <w:rFonts w:ascii="SimHei" w:hAnsi="SimHei" w:eastAsia="SimHei" w:cs="SimHei"/>
                <w:spacing w:val="-3"/>
                <w:sz w:val="24"/>
                <w:szCs w:val="24"/>
              </w:rPr>
              <w:t>项目名称</w:t>
            </w:r>
          </w:p>
        </w:tc>
        <w:tc>
          <w:tcPr>
            <w:tcW w:w="600" w:type="dxa"/>
            <w:tcBorders>
              <w:left w:val="single" w:color="FBDFE4" w:sz="2" w:space="0"/>
              <w:right w:val="single" w:color="FBDFE4" w:sz="2" w:space="0"/>
            </w:tcBorders>
            <w:vAlign w:val="top"/>
          </w:tcPr>
          <w:p>
            <w:pPr>
              <w:spacing w:before="54" w:line="224" w:lineRule="auto"/>
              <w:ind w:left="63"/>
              <w:rPr>
                <w:rFonts w:ascii="SimHei" w:hAnsi="SimHei" w:eastAsia="SimHei" w:cs="SimHei"/>
                <w:sz w:val="24"/>
                <w:szCs w:val="24"/>
              </w:rPr>
            </w:pPr>
            <w:r>
              <w:rPr>
                <w:rFonts w:ascii="SimHei" w:hAnsi="SimHei" w:eastAsia="SimHei" w:cs="SimHei"/>
                <w:spacing w:val="-5"/>
                <w:sz w:val="24"/>
                <w:szCs w:val="24"/>
              </w:rPr>
              <w:t>职权</w:t>
            </w:r>
          </w:p>
          <w:p>
            <w:pPr>
              <w:spacing w:before="21" w:line="217" w:lineRule="auto"/>
              <w:ind w:left="72"/>
              <w:rPr>
                <w:rFonts w:ascii="SimHei" w:hAnsi="SimHei" w:eastAsia="SimHei" w:cs="SimHei"/>
                <w:sz w:val="24"/>
                <w:szCs w:val="24"/>
              </w:rPr>
            </w:pPr>
            <w:r>
              <w:rPr>
                <w:rFonts w:ascii="SimHei" w:hAnsi="SimHei" w:eastAsia="SimHei" w:cs="SimHei"/>
                <w:spacing w:val="-9"/>
                <w:sz w:val="24"/>
                <w:szCs w:val="24"/>
              </w:rPr>
              <w:t>类别</w:t>
            </w:r>
          </w:p>
        </w:tc>
        <w:tc>
          <w:tcPr>
            <w:tcW w:w="5758" w:type="dxa"/>
            <w:tcBorders>
              <w:left w:val="single" w:color="FBDFE4" w:sz="2" w:space="0"/>
              <w:right w:val="single" w:color="FBDFE4" w:sz="2" w:space="0"/>
            </w:tcBorders>
            <w:vAlign w:val="top"/>
          </w:tcPr>
          <w:p>
            <w:pPr>
              <w:spacing w:before="210" w:line="222" w:lineRule="auto"/>
              <w:ind w:left="2404"/>
              <w:rPr>
                <w:rFonts w:ascii="SimHei" w:hAnsi="SimHei" w:eastAsia="SimHei" w:cs="SimHei"/>
                <w:sz w:val="24"/>
                <w:szCs w:val="24"/>
              </w:rPr>
            </w:pPr>
            <w:r>
              <w:rPr>
                <w:rFonts w:ascii="SimHei" w:hAnsi="SimHei" w:eastAsia="SimHei" w:cs="SimHei"/>
                <w:spacing w:val="-3"/>
                <w:sz w:val="24"/>
                <w:szCs w:val="24"/>
              </w:rPr>
              <w:t>设定依据</w:t>
            </w:r>
          </w:p>
        </w:tc>
        <w:tc>
          <w:tcPr>
            <w:tcW w:w="690" w:type="dxa"/>
            <w:tcBorders>
              <w:left w:val="single" w:color="FBDFE4" w:sz="2" w:space="0"/>
              <w:right w:val="single" w:color="FBDFE4" w:sz="2" w:space="0"/>
            </w:tcBorders>
            <w:vAlign w:val="top"/>
          </w:tcPr>
          <w:p>
            <w:pPr>
              <w:spacing w:before="54" w:line="222" w:lineRule="auto"/>
              <w:ind w:left="118"/>
              <w:rPr>
                <w:rFonts w:ascii="SimHei" w:hAnsi="SimHei" w:eastAsia="SimHei" w:cs="SimHei"/>
                <w:sz w:val="24"/>
                <w:szCs w:val="24"/>
              </w:rPr>
            </w:pPr>
            <w:r>
              <w:rPr>
                <w:rFonts w:ascii="SimHei" w:hAnsi="SimHei" w:eastAsia="SimHei" w:cs="SimHei"/>
                <w:spacing w:val="-8"/>
                <w:sz w:val="24"/>
                <w:szCs w:val="24"/>
              </w:rPr>
              <w:t>实施</w:t>
            </w:r>
          </w:p>
          <w:p>
            <w:pPr>
              <w:spacing w:before="24" w:line="217" w:lineRule="auto"/>
              <w:ind w:left="115"/>
              <w:rPr>
                <w:rFonts w:ascii="SimHei" w:hAnsi="SimHei" w:eastAsia="SimHei" w:cs="SimHei"/>
                <w:sz w:val="24"/>
                <w:szCs w:val="24"/>
              </w:rPr>
            </w:pPr>
            <w:r>
              <w:rPr>
                <w:rFonts w:ascii="SimHei" w:hAnsi="SimHei" w:eastAsia="SimHei" w:cs="SimHei"/>
                <w:spacing w:val="-7"/>
                <w:sz w:val="24"/>
                <w:szCs w:val="24"/>
              </w:rPr>
              <w:t>主体</w:t>
            </w:r>
          </w:p>
        </w:tc>
        <w:tc>
          <w:tcPr>
            <w:tcW w:w="4483" w:type="dxa"/>
            <w:tcBorders>
              <w:left w:val="single" w:color="FBDFE4" w:sz="2" w:space="0"/>
              <w:right w:val="single" w:color="FBDFE4" w:sz="2" w:space="0"/>
            </w:tcBorders>
            <w:vAlign w:val="top"/>
          </w:tcPr>
          <w:p>
            <w:pPr>
              <w:spacing w:before="210" w:line="221" w:lineRule="auto"/>
              <w:ind w:left="1767"/>
              <w:rPr>
                <w:rFonts w:ascii="SimHei" w:hAnsi="SimHei" w:eastAsia="SimHei" w:cs="SimHei"/>
                <w:sz w:val="24"/>
                <w:szCs w:val="24"/>
              </w:rPr>
            </w:pPr>
            <w:r>
              <w:rPr>
                <w:rFonts w:ascii="SimHei" w:hAnsi="SimHei" w:eastAsia="SimHei" w:cs="SimHei"/>
                <w:spacing w:val="-3"/>
                <w:sz w:val="24"/>
                <w:szCs w:val="24"/>
              </w:rPr>
              <w:t>履职方式</w:t>
            </w:r>
          </w:p>
        </w:tc>
        <w:tc>
          <w:tcPr>
            <w:tcW w:w="2022" w:type="dxa"/>
            <w:tcBorders>
              <w:left w:val="single" w:color="FBDFE4" w:sz="2" w:space="0"/>
              <w:right w:val="single" w:color="FFFFFF" w:sz="2" w:space="0"/>
            </w:tcBorders>
            <w:vAlign w:val="top"/>
          </w:tcPr>
          <w:p>
            <w:pPr>
              <w:spacing w:before="210" w:line="221" w:lineRule="auto"/>
              <w:ind w:left="536"/>
              <w:rPr>
                <w:rFonts w:ascii="SimHei" w:hAnsi="SimHei" w:eastAsia="SimHei" w:cs="SimHei"/>
                <w:sz w:val="24"/>
                <w:szCs w:val="24"/>
              </w:rPr>
            </w:pPr>
            <w:r>
              <w:rPr>
                <w:rFonts w:ascii="SimHei" w:hAnsi="SimHei" w:eastAsia="SimHei" w:cs="SimHei"/>
                <w:spacing w:val="-3"/>
                <w:sz w:val="24"/>
                <w:szCs w:val="24"/>
              </w:rPr>
              <w:t>追责方式</w:t>
            </w:r>
          </w:p>
        </w:tc>
      </w:tr>
      <w:tr>
        <w:tblPrEx>
          <w:tblBorders>
            <w:top w:val="single" w:color="EC6881" w:sz="2" w:space="0"/>
            <w:left w:val="single" w:color="EC6881" w:sz="2" w:space="0"/>
            <w:bottom w:val="single" w:color="EC6881" w:sz="2" w:space="0"/>
            <w:right w:val="single" w:color="EC6881" w:sz="2" w:space="0"/>
            <w:insideH w:val="single" w:color="EC6881" w:sz="2" w:space="0"/>
            <w:insideV w:val="single" w:color="EC6881" w:sz="2" w:space="0"/>
          </w:tblBorders>
          <w:tblCellMar>
            <w:top w:w="0" w:type="dxa"/>
            <w:left w:w="0" w:type="dxa"/>
            <w:bottom w:w="0" w:type="dxa"/>
            <w:right w:w="0" w:type="dxa"/>
          </w:tblCellMar>
        </w:tblPrEx>
        <w:trPr>
          <w:trHeight w:val="8439" w:hRule="atLeast"/>
        </w:trPr>
        <w:tc>
          <w:tcPr>
            <w:tcW w:w="407" w:type="dxa"/>
            <w:tcBorders>
              <w:left w:val="single" w:color="FFFFFF" w:sz="2" w:space="0"/>
              <w:right w:val="single" w:color="FBDFE4" w:sz="2" w:space="0"/>
            </w:tcBorders>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8"/>
              <w:spacing w:before="65" w:line="271" w:lineRule="exact"/>
              <w:ind w:left="119"/>
              <w:rPr>
                <w:rFonts w:hint="eastAsia" w:eastAsia="FangSong"/>
                <w:lang w:val="en-US" w:eastAsia="zh-CN"/>
              </w:rPr>
            </w:pPr>
            <w:r>
              <w:rPr>
                <w:spacing w:val="-8"/>
                <w:position w:val="1"/>
              </w:rPr>
              <w:t>1</w:t>
            </w:r>
            <w:r>
              <w:rPr>
                <w:rFonts w:hint="eastAsia"/>
                <w:spacing w:val="-8"/>
                <w:position w:val="1"/>
                <w:lang w:val="en-US" w:eastAsia="zh-CN"/>
              </w:rPr>
              <w:t>4</w:t>
            </w:r>
          </w:p>
        </w:tc>
        <w:tc>
          <w:tcPr>
            <w:tcW w:w="1034" w:type="dxa"/>
            <w:tcBorders>
              <w:left w:val="single" w:color="FBDFE4" w:sz="2" w:space="0"/>
              <w:right w:val="single" w:color="FBDFE4" w:sz="2" w:space="0"/>
            </w:tcBorders>
            <w:vAlign w:val="top"/>
          </w:tcPr>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8"/>
              <w:spacing w:before="66" w:line="229" w:lineRule="auto"/>
              <w:ind w:left="106"/>
            </w:pPr>
            <w:r>
              <w:rPr>
                <w:spacing w:val="5"/>
              </w:rPr>
              <w:t>用人单位</w:t>
            </w:r>
          </w:p>
          <w:p>
            <w:pPr>
              <w:pStyle w:val="8"/>
              <w:spacing w:before="63" w:line="232" w:lineRule="auto"/>
              <w:ind w:left="111"/>
            </w:pPr>
            <w:r>
              <w:rPr>
                <w:spacing w:val="4"/>
              </w:rPr>
              <w:t>不办理社</w:t>
            </w:r>
          </w:p>
          <w:p>
            <w:pPr>
              <w:pStyle w:val="8"/>
              <w:spacing w:before="61" w:line="229" w:lineRule="auto"/>
              <w:ind w:left="29"/>
            </w:pPr>
            <w:r>
              <w:rPr>
                <w:spacing w:val="-3"/>
              </w:rPr>
              <w:t>会保险（医</w:t>
            </w:r>
          </w:p>
          <w:p>
            <w:pPr>
              <w:pStyle w:val="8"/>
              <w:spacing w:before="63" w:line="229" w:lineRule="auto"/>
              <w:ind w:left="25"/>
            </w:pPr>
            <w:r>
              <w:rPr>
                <w:spacing w:val="-1"/>
              </w:rPr>
              <w:t>疗保障）登</w:t>
            </w:r>
          </w:p>
          <w:p>
            <w:pPr>
              <w:pStyle w:val="8"/>
              <w:spacing w:before="63" w:line="229" w:lineRule="auto"/>
              <w:ind w:left="104"/>
            </w:pPr>
            <w:r>
              <w:rPr>
                <w:spacing w:val="6"/>
              </w:rPr>
              <w:t>记行为的</w:t>
            </w:r>
          </w:p>
          <w:p>
            <w:pPr>
              <w:pStyle w:val="8"/>
              <w:spacing w:before="63" w:line="232" w:lineRule="auto"/>
              <w:ind w:left="316"/>
            </w:pPr>
            <w:r>
              <w:rPr>
                <w:spacing w:val="1"/>
              </w:rPr>
              <w:t>处罚</w:t>
            </w:r>
          </w:p>
        </w:tc>
        <w:tc>
          <w:tcPr>
            <w:tcW w:w="600" w:type="dxa"/>
            <w:tcBorders>
              <w:left w:val="single" w:color="FBDFE4" w:sz="2" w:space="0"/>
              <w:right w:val="single" w:color="FBDFE4" w:sz="2" w:space="0"/>
            </w:tcBorders>
            <w:vAlign w:val="top"/>
          </w:tcPr>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8" w:lineRule="auto"/>
              <w:rPr>
                <w:rFonts w:ascii="Arial"/>
                <w:sz w:val="21"/>
              </w:rPr>
            </w:pPr>
          </w:p>
          <w:p>
            <w:pPr>
              <w:spacing w:line="259" w:lineRule="auto"/>
              <w:rPr>
                <w:rFonts w:ascii="Arial"/>
                <w:sz w:val="21"/>
              </w:rPr>
            </w:pPr>
          </w:p>
          <w:p>
            <w:pPr>
              <w:pStyle w:val="8"/>
              <w:spacing w:before="65" w:line="289" w:lineRule="auto"/>
              <w:ind w:left="26" w:right="165"/>
            </w:pPr>
            <w:r>
              <w:rPr>
                <w:spacing w:val="1"/>
              </w:rPr>
              <w:t>行政处罚</w:t>
            </w:r>
          </w:p>
        </w:tc>
        <w:tc>
          <w:tcPr>
            <w:tcW w:w="5758" w:type="dxa"/>
            <w:tcBorders>
              <w:left w:val="single" w:color="FBDFE4" w:sz="2" w:space="0"/>
              <w:right w:val="single" w:color="FBDFE4" w:sz="2" w:space="0"/>
            </w:tcBorders>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8"/>
              <w:spacing w:before="65" w:line="288" w:lineRule="auto"/>
              <w:ind w:left="25" w:right="12" w:firstLine="314"/>
              <w:jc w:val="both"/>
            </w:pPr>
            <w:r>
              <w:rPr>
                <w:spacing w:val="7"/>
              </w:rPr>
              <w:t>《中华人民共和国社会保险法》第八十四条：“用人单位不办理社会保险登记的，</w:t>
            </w:r>
            <w:r>
              <w:rPr>
                <w:spacing w:val="-35"/>
              </w:rPr>
              <w:t xml:space="preserve"> </w:t>
            </w:r>
            <w:r>
              <w:rPr>
                <w:spacing w:val="7"/>
              </w:rPr>
              <w:t>由社会保险行政部门责令限期改正；逾</w:t>
            </w:r>
            <w:r>
              <w:rPr>
                <w:spacing w:val="9"/>
              </w:rPr>
              <w:t>期不改正的，对用人单位处应缴社会保险费数额一倍以上三倍以下的罚款，对其直接负责的主管人员和其他直接责任人员处</w:t>
            </w:r>
            <w:r>
              <w:rPr>
                <w:spacing w:val="13"/>
              </w:rPr>
              <w:t>五百元以上三千元以下的罚款。</w:t>
            </w:r>
            <w:r>
              <w:rPr>
                <w:spacing w:val="-61"/>
              </w:rPr>
              <w:t xml:space="preserve"> </w:t>
            </w:r>
            <w:r>
              <w:rPr>
                <w:spacing w:val="13"/>
              </w:rPr>
              <w:t>”</w:t>
            </w:r>
          </w:p>
        </w:tc>
        <w:tc>
          <w:tcPr>
            <w:tcW w:w="690" w:type="dxa"/>
            <w:tcBorders>
              <w:left w:val="single" w:color="FBDFE4" w:sz="2" w:space="0"/>
              <w:right w:val="single" w:color="FBDFE4" w:sz="2" w:space="0"/>
            </w:tcBorders>
            <w:vAlign w:val="top"/>
          </w:tcPr>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pStyle w:val="8"/>
              <w:spacing w:before="65" w:line="230" w:lineRule="auto"/>
              <w:ind w:left="41"/>
            </w:pPr>
            <w:r>
              <w:rPr>
                <w:spacing w:val="5"/>
              </w:rPr>
              <w:t>信阳市</w:t>
            </w:r>
          </w:p>
          <w:p>
            <w:pPr>
              <w:pStyle w:val="8"/>
              <w:spacing w:before="63" w:line="229" w:lineRule="auto"/>
              <w:ind w:left="59"/>
            </w:pPr>
            <w:r>
              <w:rPr>
                <w:rFonts w:hint="eastAsia"/>
                <w:spacing w:val="-1"/>
                <w:lang w:eastAsia="zh-CN"/>
              </w:rPr>
              <w:t>浉河区</w:t>
            </w:r>
            <w:r>
              <w:rPr>
                <w:spacing w:val="-1"/>
              </w:rPr>
              <w:t>医疗保</w:t>
            </w:r>
          </w:p>
          <w:p>
            <w:pPr>
              <w:pStyle w:val="8"/>
              <w:spacing w:before="63" w:line="230" w:lineRule="auto"/>
              <w:ind w:left="158"/>
            </w:pPr>
            <w:r>
              <w:rPr>
                <w:spacing w:val="-4"/>
              </w:rPr>
              <w:t>障局</w:t>
            </w:r>
          </w:p>
        </w:tc>
        <w:tc>
          <w:tcPr>
            <w:tcW w:w="4483" w:type="dxa"/>
            <w:tcBorders>
              <w:left w:val="single" w:color="FBDFE4" w:sz="2" w:space="0"/>
              <w:right w:val="single" w:color="FBDFE4" w:sz="2" w:space="0"/>
            </w:tcBorders>
            <w:vAlign w:val="top"/>
          </w:tcPr>
          <w:p>
            <w:pPr>
              <w:spacing w:line="412" w:lineRule="auto"/>
              <w:rPr>
                <w:rFonts w:ascii="Arial"/>
                <w:sz w:val="21"/>
              </w:rPr>
            </w:pPr>
          </w:p>
          <w:p>
            <w:pPr>
              <w:pStyle w:val="8"/>
              <w:spacing w:before="65" w:line="244" w:lineRule="auto"/>
              <w:ind w:left="27" w:firstLine="7"/>
            </w:pPr>
            <w:r>
              <w:rPr>
                <w:spacing w:val="6"/>
              </w:rPr>
              <w:t>1.立案:依据监督检查职权或者通过投诉、举报、</w:t>
            </w:r>
            <w:r>
              <w:rPr>
                <w:spacing w:val="10"/>
              </w:rPr>
              <w:t>其他部门移送，上级交办等途径发现的违法行为</w:t>
            </w:r>
            <w:r>
              <w:rPr>
                <w:spacing w:val="7"/>
              </w:rPr>
              <w:t>线索，予以核查，决定是否立案。</w:t>
            </w:r>
          </w:p>
          <w:p>
            <w:pPr>
              <w:pStyle w:val="8"/>
              <w:spacing w:before="23" w:line="246" w:lineRule="auto"/>
              <w:ind w:left="27" w:right="11" w:hanging="5"/>
            </w:pPr>
            <w:r>
              <w:rPr>
                <w:spacing w:val="6"/>
              </w:rPr>
              <w:t>2.调查:对立案的案件，全面、客观、公正、及时</w:t>
            </w:r>
            <w:r>
              <w:rPr>
                <w:spacing w:val="11"/>
              </w:rPr>
              <w:t>进行案件调查，收集、调取证据，并依法进行检查。调查或者检查时不少于两人，并主动出示执</w:t>
            </w:r>
            <w:r>
              <w:rPr>
                <w:spacing w:val="3"/>
              </w:rPr>
              <w:t>法证件。</w:t>
            </w:r>
          </w:p>
          <w:p>
            <w:pPr>
              <w:pStyle w:val="8"/>
              <w:spacing w:before="23" w:line="244" w:lineRule="auto"/>
              <w:ind w:left="26" w:right="11" w:hanging="3"/>
            </w:pPr>
            <w:r>
              <w:rPr>
                <w:spacing w:val="6"/>
              </w:rPr>
              <w:t>3.审查:对案件的违法事实、收集的证据、办案的</w:t>
            </w:r>
            <w:r>
              <w:rPr>
                <w:spacing w:val="11"/>
              </w:rPr>
              <w:t>程序、法律适用、处罚内容和幅度当事人的陈述</w:t>
            </w:r>
            <w:r>
              <w:rPr>
                <w:spacing w:val="8"/>
              </w:rPr>
              <w:t>申辩理由等进行审查，提出处理意见；</w:t>
            </w:r>
          </w:p>
          <w:p>
            <w:pPr>
              <w:pStyle w:val="8"/>
              <w:spacing w:before="22" w:line="241" w:lineRule="auto"/>
              <w:ind w:left="27" w:right="11" w:hanging="9"/>
            </w:pPr>
            <w:r>
              <w:rPr>
                <w:spacing w:val="15"/>
              </w:rPr>
              <w:t>4.告知:书面告知当事人拟作出的行政处罚内容</w:t>
            </w:r>
            <w:r>
              <w:t>及事</w:t>
            </w:r>
          </w:p>
          <w:p>
            <w:pPr>
              <w:pStyle w:val="8"/>
              <w:spacing w:before="24" w:line="251" w:lineRule="auto"/>
              <w:ind w:left="54" w:hanging="24"/>
            </w:pPr>
            <w:r>
              <w:rPr>
                <w:spacing w:val="2"/>
              </w:rPr>
              <w:t>实、理由、依据，并告知当事人依法享有陈述权、</w:t>
            </w:r>
            <w:r>
              <w:rPr>
                <w:spacing w:val="4"/>
              </w:rPr>
              <w:t>申辩权。属于听证范围的，告知当事人听证权。</w:t>
            </w:r>
          </w:p>
          <w:p>
            <w:pPr>
              <w:pStyle w:val="8"/>
              <w:spacing w:before="2"/>
              <w:ind w:left="45" w:right="13" w:hanging="22"/>
            </w:pPr>
            <w:r>
              <w:rPr>
                <w:spacing w:val="6"/>
              </w:rPr>
              <w:t>5.决定:依法应当给予行政处罚的，制作加盖本部门印章的行政处罚决定书。</w:t>
            </w:r>
          </w:p>
          <w:p>
            <w:pPr>
              <w:pStyle w:val="8"/>
              <w:spacing w:before="22" w:line="247" w:lineRule="auto"/>
              <w:ind w:left="25" w:right="11" w:hanging="4"/>
              <w:rPr>
                <w:spacing w:val="-27"/>
              </w:rPr>
            </w:pPr>
            <w:r>
              <w:rPr>
                <w:spacing w:val="10"/>
              </w:rPr>
              <w:t>6.送达:行政处罚决定书在七个工作</w:t>
            </w:r>
            <w:r>
              <w:rPr>
                <w:spacing w:val="-25"/>
              </w:rPr>
              <w:t xml:space="preserve"> </w:t>
            </w:r>
            <w:r>
              <w:rPr>
                <w:spacing w:val="10"/>
              </w:rPr>
              <w:t>日</w:t>
            </w:r>
            <w:r>
              <w:rPr>
                <w:spacing w:val="-51"/>
              </w:rPr>
              <w:t xml:space="preserve"> </w:t>
            </w:r>
            <w:r>
              <w:rPr>
                <w:spacing w:val="10"/>
              </w:rPr>
              <w:t>内送达当</w:t>
            </w:r>
            <w:r>
              <w:rPr>
                <w:spacing w:val="12"/>
              </w:rPr>
              <w:t>事人</w:t>
            </w:r>
            <w:r>
              <w:rPr>
                <w:spacing w:val="-27"/>
              </w:rPr>
              <w:t xml:space="preserve"> </w:t>
            </w:r>
          </w:p>
          <w:p>
            <w:pPr>
              <w:pStyle w:val="8"/>
              <w:spacing w:before="22" w:line="247" w:lineRule="auto"/>
              <w:ind w:left="25" w:right="11" w:hanging="4"/>
            </w:pPr>
            <w:r>
              <w:rPr>
                <w:spacing w:val="12"/>
              </w:rPr>
              <w:t>7.执行:监督当事人在决定的期限内，履行</w:t>
            </w:r>
            <w:r>
              <w:rPr>
                <w:spacing w:val="9"/>
              </w:rPr>
              <w:t>生效的行政处罚决定。</w:t>
            </w:r>
            <w:r>
              <w:rPr>
                <w:spacing w:val="-50"/>
              </w:rPr>
              <w:t xml:space="preserve"> </w:t>
            </w:r>
            <w:r>
              <w:rPr>
                <w:spacing w:val="9"/>
              </w:rPr>
              <w:t>当事人在法定期限内不申</w:t>
            </w:r>
            <w:r>
              <w:rPr>
                <w:spacing w:val="11"/>
              </w:rPr>
              <w:t>请行政复议或者提起行政诉讼，又不履行的，依</w:t>
            </w:r>
            <w:r>
              <w:rPr>
                <w:spacing w:val="7"/>
              </w:rPr>
              <w:t>法申请人民法院强制执行。</w:t>
            </w:r>
          </w:p>
          <w:p>
            <w:pPr>
              <w:pStyle w:val="8"/>
              <w:spacing w:before="23" w:line="230" w:lineRule="auto"/>
              <w:ind w:left="20"/>
            </w:pPr>
            <w:r>
              <w:rPr>
                <w:spacing w:val="8"/>
              </w:rPr>
              <w:t>8.法律法规规章规定的其他履职方式。</w:t>
            </w:r>
          </w:p>
        </w:tc>
        <w:tc>
          <w:tcPr>
            <w:tcW w:w="2022" w:type="dxa"/>
            <w:tcBorders>
              <w:left w:val="single" w:color="FBDFE4" w:sz="2" w:space="0"/>
              <w:right w:val="single" w:color="FFFFFF" w:sz="2" w:space="0"/>
            </w:tcBorders>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8"/>
              <w:spacing w:before="65" w:line="252" w:lineRule="auto"/>
              <w:ind w:left="27" w:right="113"/>
              <w:jc w:val="both"/>
            </w:pPr>
            <w:r>
              <w:rPr>
                <w:spacing w:val="8"/>
              </w:rPr>
              <w:t>《医疗保障基金使用监督管理条例》第四</w:t>
            </w:r>
            <w:r>
              <w:rPr>
                <w:spacing w:val="4"/>
              </w:rPr>
              <w:t>十七条</w:t>
            </w:r>
            <w:r>
              <w:rPr>
                <w:spacing w:val="37"/>
              </w:rPr>
              <w:t xml:space="preserve"> </w:t>
            </w:r>
            <w:r>
              <w:rPr>
                <w:spacing w:val="4"/>
              </w:rPr>
              <w:t>医疗保障等</w:t>
            </w:r>
            <w:r>
              <w:rPr>
                <w:spacing w:val="8"/>
              </w:rPr>
              <w:t>行政部门工作人员在医疗保障基金使用监督管理工作中滥用职权、玩忽职守、徇私舞弊的，依法给予处</w:t>
            </w:r>
            <w:r>
              <w:rPr>
                <w:spacing w:val="-3"/>
              </w:rPr>
              <w:t>分。</w:t>
            </w:r>
          </w:p>
        </w:tc>
      </w:tr>
    </w:tbl>
    <w:p>
      <w:pPr>
        <w:pStyle w:val="2"/>
        <w:rPr>
          <w:rFonts w:hint="default" w:eastAsia="宋体"/>
          <w:sz w:val="21"/>
          <w:lang w:val="en-US" w:eastAsia="zh-CN"/>
        </w:rPr>
      </w:pPr>
    </w:p>
    <w:sectPr>
      <w:footerReference r:id="rId12" w:type="default"/>
      <w:pgSz w:w="16839" w:h="11906"/>
      <w:pgMar w:top="1012" w:right="1138" w:bottom="1163" w:left="700" w:header="0" w:footer="79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FangSong">
    <w:panose1 w:val="02010609060101010101"/>
    <w:charset w:val="86"/>
    <w:family w:val="auto"/>
    <w:pitch w:val="default"/>
    <w:sig w:usb0="800002BF" w:usb1="38CF7CFA" w:usb2="00000016" w:usb3="00000000" w:csb0="00040001" w:csb1="00000000"/>
  </w:font>
  <w:font w:name="FZXiaoBiaoSong-B05S">
    <w:panose1 w:val="02000000000000000000"/>
    <w:charset w:val="86"/>
    <w:family w:val="auto"/>
    <w:pitch w:val="default"/>
    <w:sig w:usb0="A00002BF" w:usb1="184F6CFA" w:usb2="00000012" w:usb3="00000000" w:csb0="00040001" w:csb1="00000000"/>
  </w:font>
  <w:font w:name="SimHei">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1" w:lineRule="exact"/>
      <w:ind w:left="7711"/>
      <w:rPr>
        <w:rFonts w:ascii="Arial" w:hAnsi="Arial" w:eastAsia="Arial" w:cs="Arial"/>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1" w:lineRule="exact"/>
      <w:ind w:left="7711"/>
      <w:rPr>
        <w:rFonts w:ascii="Arial" w:hAnsi="Arial" w:eastAsia="Arial" w:cs="Arial"/>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58" w:lineRule="exact"/>
      <w:ind w:left="7711"/>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61" w:lineRule="exact"/>
      <w:ind w:left="7711"/>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58" w:lineRule="exact"/>
      <w:ind w:left="7711"/>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61" w:lineRule="exact"/>
      <w:ind w:left="7711"/>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58" w:lineRule="exact"/>
      <w:ind w:left="7711"/>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EOqPxwCAAArBAAADgAAAAAAAAABACAAAAA1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358" w:lineRule="exact"/>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Bwn/kHAIAACs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QcJ/5BwCAAArBAAADgAAAAAAAAABACAAAAA1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true"/>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2F37F83C"/>
    <w:rsid w:val="37FB2E02"/>
    <w:rsid w:val="3DF7CA2F"/>
    <w:rsid w:val="7AFBCDD7"/>
    <w:rsid w:val="7E5FD810"/>
    <w:rsid w:val="BADF6B75"/>
    <w:rsid w:val="F2D9F4F8"/>
    <w:rsid w:val="FED9C5A5"/>
    <w:rsid w:val="FEF60C2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8"/>
      <w:szCs w:val="28"/>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FangSong" w:hAnsi="FangSong" w:eastAsia="FangSong" w:cs="FangSong"/>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54</TotalTime>
  <ScaleCrop>false</ScaleCrop>
  <LinksUpToDate>false</LinksUpToDate>
  <Application>WPS Office_11.8.2.9980_F1E327BC-269C-435d-A152-05C5408002CA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2023-07-16T15:00:00Z</dcterms:created>
  <dc:creator>Administrator</dc:creator>
  <cp:lastModifiedBy>guest</cp:lastModifiedBy>
  <cp:lastPrinted>2026-01-10T00:25:00Z</cp:lastPrinted>
  <dcterms:modified xsi:type="dcterms:W3CDTF">2026-01-09T16:49:12Z</dcterms:modified>
  <dc:title>附件3：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2026-01-07T16:54:16Z</vt:filetime>
  </property>
  <property fmtid="{D5CDD505-2E9C-101B-9397-08002B2CF9AE}" pid="4" name="KSOProductBuildVer">
    <vt:lpwstr>2052-11.8.2.9980</vt:lpwstr>
  </property>
  <property fmtid="{D5CDD505-2E9C-101B-9397-08002B2CF9AE}" pid="5" name="ICV">
    <vt:lpwstr>A5144C5F89A0B9687B225E697E561C65</vt:lpwstr>
  </property>
</Properties>
</file>